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597-8k_cidhold.htm"/>
      <w:bookmarkStart w:id="1" w:name="ksea03025978k_cidhold"/>
      <w:bookmarkEnd w:id="0"/>
      <w:bookmarkEnd w:id="1"/>
      <w:r>
        <w:rPr>
          <w:bdr w:val="single" w:sz="16" w:space="1" w:color="000000"/>
        </w:rPr>
        <w:t> </w:t>
      </w:r>
    </w:p>
    <w:p>
      <w:pPr>
        <w:pStyle w:val="TextBody"/>
        <w:bidi w:val="0"/>
        <w:jc w:val="center"/>
        <w:rPr/>
      </w:pPr>
      <w:r>
        <w:rPr/>
        <w:t> </w:t>
      </w:r>
    </w:p>
    <w:p>
      <w:pPr>
        <w:pStyle w:val="TextBody"/>
        <w:bidi w:val="0"/>
        <w:jc w:val="center"/>
        <w:rPr>
          <w:b/>
        </w:rPr>
      </w:pPr>
      <w:r>
        <w:rPr>
          <w:b/>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81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1_edei--EntityFileNumber_c20260812"/>
            <w:bookmarkEnd w:id="6"/>
            <w:r>
              <w:rPr>
                <w:b/>
                <w:sz w:val="20"/>
              </w:rPr>
              <w:t>001-42711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8_edei--EntityTaxIdentificationNum"/>
            <w:bookmarkEnd w:id="7"/>
            <w:r>
              <w:rPr>
                <w:b/>
                <w:sz w:val="20"/>
              </w:rPr>
              <w:t>99-2578850</w:t>
            </w:r>
          </w:p>
        </w:tc>
      </w:tr>
      <w:tr>
        <w:trPr/>
        <w:tc>
          <w:tcPr>
            <w:tcW w:w="2210"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5661 S Cameron St, </w:t>
      </w:r>
      <w:bookmarkStart w:id="9" w:name="xdx_90D_edei--EntityAddressAddressLine2_"/>
      <w:bookmarkEnd w:id="9"/>
      <w:r>
        <w:rPr>
          <w:rFonts w:ascii="Times New Roman;Times;Serif" w:hAnsi="Times New Roman;Times;Serif"/>
          <w:b/>
          <w:i w:val="false"/>
          <w:caps w:val="false"/>
          <w:smallCaps w:val="false"/>
          <w:sz w:val="20"/>
        </w:rPr>
        <w:t xml:space="preserve">Suite 100, </w:t>
      </w:r>
      <w:bookmarkStart w:id="10" w:name="xdx_90C_edei--EntityAddressCityOrTown_c2"/>
      <w:bookmarkEnd w:id="10"/>
      <w:r>
        <w:rPr>
          <w:rFonts w:ascii="Times New Roman;Times;Serif" w:hAnsi="Times New Roman;Times;Serif"/>
          <w:b/>
          <w:i w:val="false"/>
          <w:caps w:val="false"/>
          <w:smallCaps w:val="false"/>
          <w:sz w:val="20"/>
        </w:rPr>
        <w:t xml:space="preserve">Las Vegas, </w:t>
      </w:r>
      <w:bookmarkStart w:id="11" w:name="xdx_900_edei--EntityAddressStateOrProvin"/>
      <w:bookmarkEnd w:id="11"/>
      <w:r>
        <w:rPr>
          <w:rFonts w:ascii="Times New Roman;Times;Serif" w:hAnsi="Times New Roman;Times;Serif"/>
          <w:b/>
          <w:i w:val="false"/>
          <w:caps w:val="false"/>
          <w:smallCaps w:val="false"/>
          <w:sz w:val="20"/>
        </w:rPr>
        <w:t xml:space="preserve">Nevada </w:t>
      </w:r>
      <w:bookmarkStart w:id="12" w:name="xdx_900_edei--EntityAddressPostalZipCode"/>
      <w:bookmarkEnd w:id="12"/>
      <w:r>
        <w:rPr>
          <w:rFonts w:ascii="Times New Roman;Times;Serif" w:hAnsi="Times New Roman;Times;Serif"/>
          <w:b/>
          <w:i w:val="false"/>
          <w:caps w:val="false"/>
          <w:smallCaps w:val="false"/>
          <w:sz w:val="20"/>
        </w:rPr>
        <w:t>89118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60812__20"/>
      <w:bookmarkEnd w:id="13"/>
      <w:r>
        <w:rPr>
          <w:rFonts w:ascii="Times New Roman;Times;Serif" w:hAnsi="Times New Roman;Times;Serif"/>
          <w:b/>
          <w:i w:val="false"/>
          <w:caps w:val="false"/>
          <w:smallCaps w:val="false"/>
          <w:sz w:val="20"/>
        </w:rPr>
        <w:t>303)-</w:t>
      </w:r>
      <w:bookmarkStart w:id="14" w:name="xdx_90E_edei--LocalPhoneNumber_c20260812"/>
      <w:bookmarkEnd w:id="14"/>
      <w:r>
        <w:rPr>
          <w:rFonts w:ascii="Times New Roman;Times;Serif" w:hAnsi="Times New Roman;Times;Serif"/>
          <w:b/>
          <w:i w:val="false"/>
          <w:caps w:val="false"/>
          <w:smallCaps w:val="false"/>
          <w:sz w:val="20"/>
        </w:rPr>
        <w:t>332-4122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2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C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18"/>
        <w:gridCol w:w="60"/>
        <w:gridCol w:w="1334"/>
        <w:gridCol w:w="60"/>
        <w:gridCol w:w="2833"/>
      </w:tblGrid>
      <w:tr>
        <w:trPr/>
        <w:tc>
          <w:tcPr>
            <w:tcW w:w="5918"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34"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33"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5918" w:type="dxa"/>
            <w:tcBorders/>
            <w:shd w:fill="CCEEFF" w:val="clear"/>
            <w:tcMar>
              <w:bottom w:w="0" w:type="dxa"/>
            </w:tcMar>
            <w:vAlign w:val="center"/>
          </w:tcPr>
          <w:p>
            <w:pPr>
              <w:pStyle w:val="TableContents"/>
              <w:bidi w:val="0"/>
              <w:spacing w:before="0" w:after="283"/>
              <w:jc w:val="center"/>
              <w:rPr>
                <w:sz w:val="20"/>
              </w:rPr>
            </w:pPr>
            <w:bookmarkStart w:id="19" w:name="xdx_901_edei--Security12bTitle_c20260812"/>
            <w:bookmarkEnd w:id="19"/>
            <w:r>
              <w:rPr>
                <w:sz w:val="20"/>
              </w:rPr>
              <w:t>Common Stock, par value of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sz w:val="20"/>
              </w:rPr>
            </w:pPr>
            <w:bookmarkStart w:id="20" w:name="xdx_905_edei--TradingSymbol_c20260812__2"/>
            <w:bookmarkEnd w:id="20"/>
            <w:r>
              <w:rPr>
                <w:sz w:val="20"/>
              </w:rPr>
              <w:t>DAIC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3"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5_edei--SecurityExchangeName_c2026"/>
            <w:bookmarkEnd w:id="21"/>
            <w:r>
              <w:rPr>
                <w:sz w:val="20"/>
              </w:rPr>
              <w:t>Nasdaq Stock Market LLC</w:t>
            </w:r>
          </w:p>
        </w:tc>
      </w:tr>
      <w:tr>
        <w:trPr/>
        <w:tc>
          <w:tcPr>
            <w:tcW w:w="5918" w:type="dxa"/>
            <w:tcBorders/>
            <w:shd w:fill="FFFFFF" w:val="clear"/>
            <w:tcMar>
              <w:bottom w:w="0" w:type="dxa"/>
            </w:tcMar>
            <w:vAlign w:val="center"/>
          </w:tcPr>
          <w:p>
            <w:pPr>
              <w:pStyle w:val="TableContents"/>
              <w:bidi w:val="0"/>
              <w:spacing w:before="0" w:after="283"/>
              <w:jc w:val="center"/>
              <w:rPr>
                <w:sz w:val="20"/>
              </w:rPr>
            </w:pPr>
            <w:bookmarkStart w:id="22" w:name="xdx_903_edei--Security12bTitle_c20260812"/>
            <w:bookmarkEnd w:id="22"/>
            <w:r>
              <w:rPr>
                <w:sz w:val="20"/>
              </w:rPr>
              <w:t>Warrants, each exercisable for one share of Common Stock at an exercise price of $287.50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center"/>
              <w:rPr>
                <w:sz w:val="20"/>
              </w:rPr>
            </w:pPr>
            <w:bookmarkStart w:id="23" w:name="xdx_906_edei--TradingSymbol_c20260812__2"/>
            <w:bookmarkEnd w:id="23"/>
            <w:r>
              <w:rPr>
                <w:sz w:val="20"/>
              </w:rPr>
              <w:t>DAICW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3"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4" w:name="xdx_90F_edei--SecurityExchangeName_c2026"/>
            <w:bookmarkEnd w:id="24"/>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283"/>
              <w:jc w:val="both"/>
              <w:rPr>
                <w:i/>
              </w:rPr>
            </w:pPr>
            <w:r>
              <w:rPr>
                <w:i/>
              </w:rPr>
              <w:t>Reflects giving effect to the reverse stock split as of 4:01 p.m. Eastern Time on May 29, 2026 as described in the 8-K filed by CID HoldCo, Inc. with the Securities and Exchange Commission on May 28,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6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D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CID HoldCo, Inc., a Delaware corporation (the “Company”), received a written notification (the “Additional Staff Determination”) from the Listing Qualifications Department of The Nasdaq Stock Market LLC (“Nasdaq”) identifying an additional basis for the potential delisting of the Company’s common stock, par value $0.0001 per share (the “Common Stock”), from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Additional Staff Determination, on February 10, 2026, Nasdaq’s staff notified the Company that for the previous consecutive 30 trading days, the market value of its publicly held shares (“MVPHS”) had been below the minimum $15,000,000 required for continued listing on The Nasdaq Global Market as set forth in Nasdaq Listing Rule 5450(b)(2)(C) (the “MVPHS Rule”). In accordance with Nasdaq Listing Rule 5810(c)(3)(D), the Company was provided 180 calendar days, or until August 10, 2026, to regain compliance with the MVPHS Rule. The Company did not regain compliance with the MVPHS Rule by the August 10, 2026 deadline. Accordingly, Nasdaq determined that this matter serves as an additional basis for delisting the Company’s securities from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Current Report on Form 8-K filed with the Securities and Exchange Commission on August 12, 2026, on August 6, 2026, the Company received a staff determination from Nasdaq (the “Initial Staff Determination”) to delist the Common Stock from Nasdaq pursuant to Nasdaq Listing Rule 5450(b)(2)(A) for failure to satisfy the minimum Market Value of Listed Securities (“MVLS”) requirement of $50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timely requested a hearing before the Nasdaq Hearings Panel (the “Hearings Panel”) with respect to the Initial Staff Determination and the Additional Staff Determination and paid the applicable $20,000 hearing fee (the “Hearing”). The hearing request stayed the suspension of the Company’s securities and the filing of a Form 25-NSE with the Securities and Exchange Commission pending the issuance of a written decision by the Hearings Panel. The Common Stock remains listed on Nasdaq pending the outcome of the Hearing.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Staff Determination provides that the Hearings Panel will consider this additional deficiency in their decision regarding the Company’s continued listing on The Nasdaq Global Market at the Hearing. The Company intends to present its views with respect to this additional deficiency to the Hearings Panel at its Hearing.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continuing to pursue potential strategic alternatives to address the deficiencies.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Hearings Panel will grant the Company’s request for continued listing or that the Company will be able to evidence compliance with the applicable listing criteria within any period of time that may be granted by the Hearings Panel. There can be no assurance that the Hearings Panel will decide in the Company’s favor with respect to the Initial Staff Determination, the Additional Staff Determination, or any other matter. The Hearings Panel’s decision will determine the future of trading of the Common Stock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2.04. Triggering Events That Accelerate or Increase a Direct Financial Obligation or an Obligation under an Off-Balance Sheet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the Company’s Current Report on Form 8-K filed with the Securities and Exchange Commission on July 2, 2026, CID HoldCo, Inc. (the “Company”) entered into that certain Loan Agreement dated December 4, 2025, including all associated Transaction Documents (the “Loan Agreement”), with J.J. Astor &amp; Co. The obligations under the Loan Agreement are evidenced by that certain Senior Secured Convertible Note dated December 4, 2025 (the “Note”), which is secured by that certain Pledge and Security Agreement (the “Security Agreement”). Pursuant to that certain Note Purchase and Assignment Agreement dated June 22, 2026, by and between J.J. Astor &amp; Co., as seller, and LHT I, LLC, an affiliate of Phillips Equities &amp; Trust, LLC, as buyer (the “Assignment Agreement”), J.J. Astor &amp; Co. sold, assigned, transferred, and conveyed to LHT I, LLC (“LHT I”) all of its right, title, and interest in and to the Note, the Loan Agreement, and the related Transaction Documents, including all obligations, liens, security interests, and collateral rights arising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Company received a Notice of Default and Demand to Assemble Collateral (the “Default Notice”) from counsel to LHT I. The Default Notice states that, as a result of the Company’s numerous failures to make the required Minimum Monthly Installment Payments beginning in January 2026, coupled with the staff determination of delisting made by Nasdaq effective August 6, 2026, the Company is in default of its obligations under the Loan Agreement. Specifically, LHT I alleges that the Company is in breach of Sections 5(a)(i) and 5(a)(v)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Default Notice, as of August 12, 2026, the Default Amount owed under the Loan Agreement is $1,057,417.37, inclusive of attorneys’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4.5 of the Security Agreement, LHT I has demanded that the Company immediately assemble all Collateral (as defined in the Security Agreement) and make it available to LHT I or its representative. The Default Notice further stated that if the Company failed to respond or coordinate collection of the Collateral by 5:00 p.m. Eastern Time on August 13, 2026, LHT I would proceed to exercise all rights and remedies cumulatively available to it under the Loan Agreement and applicable law, including foreclosure on the Company’s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the LHT I to proceed with foreclosure on the Company’s assets, which will result in the transfer of a material portion of the Company’s operations and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28" w:type="dxa"/>
          <w:right w:w="0" w:type="dxa"/>
        </w:tblCellMar>
      </w:tblPr>
      <w:tblGrid>
        <w:gridCol w:w="1700"/>
        <w:gridCol w:w="60"/>
        <w:gridCol w:w="6485"/>
      </w:tblGrid>
      <w:tr>
        <w:trPr/>
        <w:tc>
          <w:tcPr>
            <w:tcW w:w="1700" w:type="dxa"/>
            <w:tcBorders>
              <w:bottom w:val="single" w:sz="12" w:space="0" w:color="000000"/>
            </w:tcBorders>
            <w:vAlign w:val="center"/>
          </w:tcPr>
          <w:p>
            <w:pPr>
              <w:pStyle w:val="TableContents"/>
              <w:bidi w:val="0"/>
              <w:spacing w:before="0" w:after="283"/>
              <w:jc w:val="left"/>
              <w:rPr>
                <w:b/>
              </w:rPr>
            </w:pPr>
            <w:r>
              <w:rPr>
                <w:b/>
              </w:rPr>
              <w:t>Exhibit 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1700"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Forward-looking statements include all statements that are not historical facts, including statements regarding the Hearing and the outcome of the Hearing, if any, the Company’s pursuit of potential strategic alternatives and the Company’s ability to regain compliance with Nasdaq continued listing requirements, and LHT I’s intend to proceed with foreclosure. All forward-looking statements are based on the Company’s current expectations and beliefs concerning future developments and their potential effects on the Company. Forward-looking statements are subject to risks and uncertainties, including the risk that the Company may not be successful in its appeal before the Hearings Panel, that the Hearings Panel may not continue the listing of the Common Stock, that additional deficiencies could arise, that the Company may not regain compliance with applicable listing standards, and that the Company’s lenders may exercise remedies including foreclosure on the Company’s assets, which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2195"/>
        <w:gridCol w:w="365"/>
        <w:gridCol w:w="2300"/>
      </w:tblGrid>
      <w:tr>
        <w:trPr/>
        <w:tc>
          <w:tcPr>
            <w:tcW w:w="21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rPr>
            </w:pPr>
            <w:r>
              <w:rPr>
                <w:b/>
              </w:rPr>
              <w:t>CID HoldCo, Inc.</w:t>
            </w:r>
          </w:p>
        </w:tc>
      </w:tr>
      <w:tr>
        <w:trPr/>
        <w:tc>
          <w:tcPr>
            <w:tcW w:w="21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18, 2026</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Edmund Nabrotzky</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1584</Words>
  <Characters>8677</Characters>
  <CharactersWithSpaces>10259</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