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3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April 24, 2026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CID HoldCo, Inc.</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p>
        </w:tc>
        <w:tc>
          <w:tcPr>
            <w:tcW w:w="5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9"/>
        </w:trPr>
        <w:tc>
          <w:tcPr>
            <w:tcW w:w="31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20" w:type="dxa"/>
            <w:vAlign w:val="bottom"/>
            <w:gridSpan w:val="3"/>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001-42711</w:t>
            </w:r>
          </w:p>
        </w:tc>
        <w:tc>
          <w:tcPr>
            <w:tcW w:w="10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99-2578850</w:t>
            </w:r>
          </w:p>
        </w:tc>
      </w:tr>
      <w:tr>
        <w:trPr>
          <w:trHeight w:val="198"/>
        </w:trPr>
        <w:tc>
          <w:tcPr>
            <w:tcW w:w="3100" w:type="dxa"/>
            <w:vAlign w:val="bottom"/>
            <w:tcBorders>
              <w:top w:val="single" w:sz="8" w:color="auto"/>
            </w:tcBorders>
          </w:tcPr>
          <w:p>
            <w:pPr>
              <w:jc w:val="center"/>
              <w:ind w:left="8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tcPr>
          <w:p>
            <w:pPr>
              <w:jc w:val="center"/>
              <w:ind w:right="3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of Incorporation)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spacing w:after="0"/>
              <w:rPr>
                <w:sz w:val="24"/>
                <w:szCs w:val="24"/>
                <w:color w:val="auto"/>
              </w:rPr>
            </w:pPr>
          </w:p>
        </w:tc>
        <w:tc>
          <w:tcPr>
            <w:tcW w:w="5320" w:type="dxa"/>
            <w:vAlign w:val="bottom"/>
            <w:gridSpan w:val="4"/>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45"/>
        </w:trPr>
        <w:tc>
          <w:tcPr>
            <w:tcW w:w="3100" w:type="dxa"/>
            <w:vAlign w:val="bottom"/>
          </w:tcPr>
          <w:p>
            <w:pPr>
              <w:spacing w:after="0"/>
              <w:rPr>
                <w:sz w:val="21"/>
                <w:szCs w:val="21"/>
                <w:color w:val="auto"/>
              </w:rPr>
            </w:pPr>
          </w:p>
        </w:tc>
        <w:tc>
          <w:tcPr>
            <w:tcW w:w="5320" w:type="dxa"/>
            <w:vAlign w:val="bottom"/>
            <w:gridSpan w:val="4"/>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282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8420" w:type="dxa"/>
            <w:vAlign w:val="bottom"/>
            <w:tcBorders>
              <w:top w:val="single" w:sz="8" w:color="auto"/>
            </w:tcBorders>
            <w:gridSpan w:val="5"/>
          </w:tcPr>
          <w:p>
            <w:pPr>
              <w:jc w:val="center"/>
              <w:ind w:left="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5"/>
        </w:trPr>
        <w:tc>
          <w:tcPr>
            <w:tcW w:w="3100" w:type="dxa"/>
            <w:vAlign w:val="bottom"/>
          </w:tcPr>
          <w:p>
            <w:pPr>
              <w:spacing w:after="0"/>
              <w:rPr>
                <w:sz w:val="24"/>
                <w:szCs w:val="24"/>
                <w:color w:val="auto"/>
              </w:rPr>
            </w:pPr>
          </w:p>
        </w:tc>
        <w:tc>
          <w:tcPr>
            <w:tcW w:w="52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(303)-332-4122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p>
        </w:tc>
        <w:tc>
          <w:tcPr>
            <w:tcW w:w="5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14"/>
        </w:trPr>
        <w:tc>
          <w:tcPr>
            <w:tcW w:w="6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Trading</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6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Symbol(s)</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6"/>
        </w:trPr>
        <w:tc>
          <w:tcPr>
            <w:tcW w:w="6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of $0.0001 per share</w:t>
            </w:r>
          </w:p>
        </w:tc>
        <w:tc>
          <w:tcPr>
            <w:tcW w:w="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DAIC</w:t>
            </w:r>
          </w:p>
        </w:tc>
        <w:tc>
          <w:tcPr>
            <w:tcW w:w="4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684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Common Stock at an exercise price of $11.50 per</w:t>
            </w:r>
          </w:p>
        </w:tc>
        <w:tc>
          <w:tcPr>
            <w:tcW w:w="134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rPr>
              <w:t>DAICW</w:t>
            </w:r>
          </w:p>
        </w:tc>
        <w:tc>
          <w:tcPr>
            <w:tcW w:w="30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6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w:t>
            </w: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24, 2026, CID HoldCo, Inc. (the “Company”) completed the first closing (the “First Closing”) under that certain Note Purchase Agreement, dated April 17, 2026 (the “Note Purchase Agreement”), by and between the Company and White Lion Capital, LLC, a Nevada limited liability company (the “Holder”). In connection with the First Closing, the Company issued to the Holder a Senior Secured Convertible Promissory Note in the original principal amount of $287,500 (the “Note”). The Note was issued with an original issue discount of 20%, resulting in cash proceeds to the Company of $230,000, of which $20,000 was withheld by the Holder to cover legal document fees. Pursuant to the Note Purchase Agreement, the proceeds from the First Closing are required to be applied to make the Company’s scheduled monthly payments under the senior secured convertible note issued by the Company to J.J. Astor &amp; Co. pursuant to that certain Loan Agreement dated December 4, 2025.</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Note bears interest at 8% per annum, and the interest for the first six months accrues immediately and is guaranteed. The Note matures on the six-month anniversary of the issue date.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Note is convertible, at the option of the Holder, into shares of the Company’s common stock, par value $0.0001 per share (the “Common Stock”), at a variable conversion price equal to 80% of the lowest daily volume-weighted average price of the Common Stock during the fifteen trading day period ending on the latest complete trading day prior to the applicable conversion date.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no event shall the Holder be entitled to convert any portion of the Note to the extent that such conversion would result in the Holder and its affiliates beneficially owning in excess of 4.99% of the outstanding shares of Common Stock, provided that the Holder may increase the ownership limitation up to 9.99% upon sixty-one days’ prior written notice to the Company.</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Note is a second senior secured obligation of the Company, secured by all of the assets, personal property of every kind, intellectual property, claims, products and proceeds of the Company. The Note is subject to a second priority lien on the collateral, behind the first priority lien held by J.J. Astor &amp; Co. pursuant to that certain Loan Agreement dated December 4, 2025.</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Note contains customary events of default, including, among others, failure to pay principal or interest when due, failure to honor conversion obligations, breach of covenants or representations and warranties under the Note or certain other transaction documents, appointment of a receiver or trustee, bankruptcy proceedings, delisting of the Common Stock from Nasdaq, failure to comply with reporting requirements under the Securities Exchange Act of 1934, as amended, and cross-defaults with other agreements between the parties. Upon an event of default, the Note becomes immediately due and payable, and the Holder may, at its option, convert the Note at a default conversion price of $0.01 per share.</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may prepay the Note at any time without the prior written consent of the Holder for an amount equal to the original principal amount (or the default amount, as applicable), less all payments previously made, plus accrued and unpaid interest (including guaranteed interest), plus all other amounts, costs, expenses, and liquidated damages due under the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2.03 of this Current Report on Form 8-K is incorporated herein by reference.</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As described in Item 2.03 above, on April 24, 2026, the Company issued the Note to the Holder with an original principal amount of $287,500. The Note is convertible into shares of Common Stock in accordance with its terms, as described above.</w:t>
      </w:r>
    </w:p>
    <w:p>
      <w:pPr>
        <w:spacing w:after="0" w:line="18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Note and securities issued in connection with the First Closing were not registered under the Securities Act and were issued in reliance upon the exemption from registration provided by Section 4(a)(2) of the Securities Act of 1933, as amended or Regulation D promulgated thereunder as a transaction by an issuer not involving any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2026-04-30T14:24:05Z</dcterms:created>
  <dcterms:modified xsi:type="dcterms:W3CDTF">2026-04-30T14:24:05Z</dcterms:modified>
</cp:coreProperties>
</file>