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January 28,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93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38100</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7373</w:t>
            </w:r>
          </w:p>
        </w:tc>
        <w:tc>
          <w:tcPr>
            <w:tcW w:w="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99-2578850</w:t>
            </w:r>
          </w:p>
        </w:tc>
      </w:tr>
      <w:tr>
        <w:trPr>
          <w:trHeight w:val="189"/>
        </w:trPr>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(Primary Standard Industrial</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5661 S Cameron St,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Las Vegas, Nevada 89118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(303) 332-4122</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5661 S Cameron St, Suite 100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Las Vegas, Nevada 89118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(303) 332-4122</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DLA Piper LLP (US)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 Atlantic Center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1201 West Peachtree Street, Suite 2900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Atlanta, GA 30309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Gerry Williams</w:t>
      </w:r>
    </w:p>
    <w:p>
      <w:pPr>
        <w:spacing w:after="0" w:line="1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Penny J. Minna</w:t>
      </w:r>
    </w:p>
    <w:p>
      <w:pPr>
        <w:spacing w:after="0" w:line="1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(404) 736-7891</w:t>
      </w:r>
    </w:p>
    <w:p>
      <w:pPr>
        <w:spacing w:after="0" w:line="19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As soon as practicable after the effective date of this Registration Statement.</w:t>
      </w:r>
    </w:p>
    <w:p>
      <w:pPr>
        <w:spacing w:after="0" w:line="219" w:lineRule="exact"/>
        <w:rPr>
          <w:sz w:val="24"/>
          <w:szCs w:val="24"/>
          <w:color w:val="auto"/>
        </w:rPr>
      </w:pPr>
    </w:p>
    <w:p>
      <w:pPr>
        <w:jc w:val="both"/>
        <w:ind w:firstLine="308"/>
        <w:spacing w:after="0" w:line="227"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firstLine="308"/>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firstLine="308"/>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firstLine="308"/>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firstLine="308"/>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74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5"/>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4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4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59" w:lineRule="exact"/>
        <w:rPr>
          <w:sz w:val="24"/>
          <w:szCs w:val="24"/>
          <w:color w:val="auto"/>
        </w:rPr>
      </w:pPr>
    </w:p>
    <w:p>
      <w:pPr>
        <w:jc w:val="both"/>
        <w:ind w:firstLine="308"/>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58" w:lineRule="exact"/>
        <w:rPr>
          <w:sz w:val="24"/>
          <w:szCs w:val="24"/>
          <w:color w:val="auto"/>
        </w:rPr>
      </w:pPr>
    </w:p>
    <w:p>
      <w:pPr>
        <w:jc w:val="both"/>
        <w:ind w:firstLine="308"/>
        <w:spacing w:after="0" w:line="264"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71393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549275</wp:posOffset>
            </wp:positionV>
            <wp:extent cx="71393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jc w:val="both"/>
        <w:spacing w:after="0" w:line="270" w:lineRule="auto"/>
        <w:rPr>
          <w:sz w:val="20"/>
          <w:szCs w:val="20"/>
          <w:color w:val="auto"/>
        </w:rPr>
      </w:pPr>
      <w:r>
        <w:rPr>
          <w:rFonts w:ascii="Times New Roman" w:cs="Times New Roman" w:eastAsia="Times New Roman" w:hAnsi="Times New Roman"/>
          <w:sz w:val="17"/>
          <w:szCs w:val="17"/>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SUBJECT TO COMPLETION, DATED JANUARY 28, 2026</w:t>
      </w: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23,809,523 shares of Common Stock</w:t>
      </w:r>
    </w:p>
    <w:p>
      <w:pPr>
        <w:spacing w:after="0" w:line="31"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7"/>
          <w:szCs w:val="17"/>
          <w:b w:val="1"/>
          <w:bCs w:val="1"/>
          <w:color w:val="auto"/>
        </w:rPr>
        <w:t>Series A-1 Warrants to Purchase up to 23,809,523 shares of Common Stock Series A-2 Warrants to Purchase up to 23,809,523 shares of Common Stock Pre-Funded Warrants to Purchase up to 23,809,523 shares of Common Stock Placement Agent Warrants to Purchase up to 1,547,619 shares of Common Stock</w:t>
      </w:r>
    </w:p>
    <w:p>
      <w:pPr>
        <w:spacing w:after="0" w:line="3" w:lineRule="exact"/>
        <w:rPr>
          <w:sz w:val="20"/>
          <w:szCs w:val="20"/>
          <w:color w:val="auto"/>
        </w:rPr>
      </w:pPr>
    </w:p>
    <w:p>
      <w:pPr>
        <w:jc w:val="center"/>
        <w:ind w:left="340" w:right="300"/>
        <w:spacing w:after="0" w:line="263" w:lineRule="auto"/>
        <w:rPr>
          <w:sz w:val="20"/>
          <w:szCs w:val="20"/>
          <w:color w:val="auto"/>
        </w:rPr>
      </w:pPr>
      <w:r>
        <w:rPr>
          <w:rFonts w:ascii="Times New Roman" w:cs="Times New Roman" w:eastAsia="Times New Roman" w:hAnsi="Times New Roman"/>
          <w:sz w:val="17"/>
          <w:szCs w:val="17"/>
          <w:b w:val="1"/>
          <w:bCs w:val="1"/>
          <w:color w:val="auto"/>
        </w:rPr>
        <w:t>Up to 72,976,188 shares of Common Stock Underlying the Series A-1 Warrants, Series A-2 Warrants, Pre-Funded Warrants and Placement Agent Warrants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offering up to 23,809,523 shares of common stock, par value $0.0001 per share (the “Common Stock”), together with Series A-1 warrants (the “Series A-1 Warrants”) to purchase up to 23,809,523 shares of Common Stock and Series A-2 warrants (the “Series A-2 Warrants” and collectively with the Series A-1 Warrants, the “Warrants”) to purchase up to 23,809,523 shares of Common Stock pursuant to this prospectus. The assumed combined public offering price for each share of Common Stock, together with one Series A-1 Warrant and one Series A-2 Warrant, is $0.4200, which is equal to the last reported sale price of our Common Stock on the Nasdaq Stock Market LLC (“Nasdaq”) on January 27, 2026. The shares of Common Stock and Warrants will be separately issued. Each Warrant will have an exercise price of $ per share, will be exercisable beginning on the effective date of stockholder approval of the issuance of the shares upon exercise of the Warrants (“Warrant Stockholder Approval”), provided, however, if the Pricing Conditions (as defined below) are met, the Warrants will be exercisable upon issuance (the “Initial Exercise Date”). The Series A-1 Warrants will expire on the five-year anniversary of the date of the Initial Exercise Date and the Series A-2 Warrants will expire on the eighteen-month anniversary of the Initial Exercise Date. As used herein “Pricing Conditions” mean that the combined public offering price per share and accompanying Warrants is such that the Warrant Stockholder Approval is not required under the rules of Nasdaq because either</w:t>
      </w:r>
    </w:p>
    <w:p>
      <w:pPr>
        <w:spacing w:after="0" w:line="8" w:lineRule="exact"/>
        <w:rPr>
          <w:sz w:val="20"/>
          <w:szCs w:val="20"/>
          <w:color w:val="auto"/>
        </w:rPr>
      </w:pPr>
    </w:p>
    <w:p>
      <w:pPr>
        <w:jc w:val="both"/>
        <w:ind w:firstLine="3"/>
        <w:spacing w:after="0" w:line="257" w:lineRule="auto"/>
        <w:tabs>
          <w:tab w:leader="none" w:pos="2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is an at-the-market offering under Nasdaq rules and such price equals or exceeds the sum of (a) the applicable “Minimum Price” per share under Nasdaq Rule 5635(d) plus (b) $0.125 per whole share of Common Stock underlying the Warrants or (ii) the offering is a discounted offering where the pricing and discount (including attributing a value of $0.125 per whole share underlying the Warrants) meet the pricing requirements under Nasdaq’s rules.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also offering up to 23,809,523 pre-funded warrants (the “Pre-Funded Warrants”), together with accompanying Warrants to purchase up to 47,619,046 shares of Common Stock to those purchasers whose purchase of shares of Common Stock in this offering would result in the purchaser, together with its affiliates and certain related parties, beneficially owning more than 4.99% (or, at the election of the purchaser, 9.99%) of our outstanding Common Stock following the consummation of this offering or if such purchaser otherwise elects to purchase Pre-Funded Warrants, in lieu of the shares of our Common Stock that would result in ownership in excess of 4.99% (or, at the election of the purchaser, 9.99%). Each Pre-Funded Warrant will be exercisable for one share of Common Stock at an exercise price of $0.0001 per share. Each Pre-Funded Warrant is being issued together with the same Warrants described above being issued with each share of Common Stock. The assumed combined public offering price for each such Pre-Funded Warrant, together with accompanying Warrants, is $0.4199, which is the combined public offering price per share and Warrants (equal to the last reported sale price of our Common Stock on Nasdaq on January 27, 2026), minus $0.0001. Each Pre-Funded Warrant will be exercisable upon issuance and may be exercised at any time until all of the Pre-Funded Warrants are exercised in full. The Pre-Funded Warrants and accompanying Warrants are immediately separable and will be issued separately in this offering. For each Pre-Funded Warrant we sell, the number of shares of common stock we are offering will be decreased on a one-for-one basis. This prospectus also relates to the offering of the shares of Common Stock issuable upon exercise of the Warrants, Pre-Funded Warrants and Placement Agent Warrants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1393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7"/>
          <w:szCs w:val="17"/>
          <w:color w:val="auto"/>
        </w:rPr>
        <w:t>There is no established public trading market for the Warrants or the Pre-Funded Warrants, and we do not expect a market to develop. We do not intend to apply for listing of the Warrants or the Pre-Funded Warrants on any securities exchange or other nationally recognized trading system. Without an active trading market, the liquidity of the Warrants and the Pre-Funded Warrants will be limited.</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securities will be offered at a fixed combined public offering price and are expected to be issued in a single closing. We will deliver all securities to be issued in connection with this offering delivery versus payment/receipt versus payment upon receipt by us of investor funds. Accordingly, neither we nor the Placement Agent (as defined herein) have made any arrangements to place investor funds in an escrow account or trust account since the Placement Agent will not receive investor funds in connection with the sale of the securities offered hereunder.</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engaged (the “Placement Agent”), to act as our exclusive placement agent in connection with this offering. The Placement Agent has agreed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of securities or dollar amount. We have agreed to pay to the Placement Agent the Placement Agent fees set forth in the table below, which assumes that we sell all of the securities offered by this prospectus. There is no minimum number of securities or amount of proceeds required as a condition to closing in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In addition, because there is no escrow trust or similar arrangement and no minimum offering amount, investors could be in a position where they have invested in our company, but we are unable to fulfill all of our contemplated objectives due to a lack of interest in this offering. Further, any proceeds from the sale of securities offered by us will be available for our immediate use, despite uncertainty about whether we would be able to use such funds to effectively implement our business plan. We will bear all costs associated with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on page 103 of this prospectus for more information regarding these arrangements.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Common Stock and the warrants issued in connection with the closing of our business combination (the “Public Warrants”) are traded on the Nasdaq Stock Market LLC under the symbol “DAIC” and “DAICW”, respectively. On January 27, 2026, the last reported sale price of our Common Stock on the Nasdaq Stock Market LLC was $0.4200 per share, and the closing price of our Public Warrants was $0.0375 per Public Warrant.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combined public offering price per share of Common Stock and accompanying Warrants and the combined public offering price per Pre-Funded Warrant and accompanying Warrants we are offering and the exercise price and other terms of the Warrants were negotiated between us and the purchasers, in consultation with the Placement Agent based on the trading of our Common Stock prior to this offering, among other factors. Other factors considered in determining the public offering price of the securities we are offering and the exercise price and other terms of the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71393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spacing w:after="0" w:line="284" w:lineRule="auto"/>
        <w:rPr>
          <w:sz w:val="20"/>
          <w:szCs w:val="20"/>
          <w:color w:val="auto"/>
        </w:rPr>
      </w:pPr>
      <w:r>
        <w:rPr>
          <w:rFonts w:ascii="Times New Roman" w:cs="Times New Roman" w:eastAsia="Times New Roman" w:hAnsi="Times New Roman"/>
          <w:sz w:val="17"/>
          <w:szCs w:val="17"/>
          <w:color w:val="auto"/>
        </w:rPr>
        <w:t>We are an “emerging growth company” and a “smaller reporting company,” each as defined under federal securities laws and are subject to reduced public company reporting requirements.</w:t>
      </w:r>
    </w:p>
    <w:p>
      <w:pPr>
        <w:spacing w:after="0" w:line="14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risks. Before deciding whether to invest in our securities, you should consider carefully the risks that we have described on page 8 of this prospectus under the caption “Risk Factors.”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 Pre-Funded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20" w:type="dxa"/>
            <w:vAlign w:val="bottom"/>
            <w:gridSpan w:val="2"/>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Per Share and</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Warrant and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20" w:type="dxa"/>
            <w:vAlign w:val="bottom"/>
            <w:gridSpan w:val="2"/>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Accompanying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Accompanying</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4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20" w:type="dxa"/>
            <w:vAlign w:val="bottom"/>
            <w:gridSpan w:val="2"/>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0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5"/>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2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Placement Agent’s fees (1)</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before expenses (2)</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14" w:lineRule="exact"/>
        <w:rPr>
          <w:sz w:val="20"/>
          <w:szCs w:val="20"/>
          <w:color w:val="auto"/>
        </w:rPr>
      </w:pPr>
    </w:p>
    <w:p>
      <w:pPr>
        <w:jc w:val="both"/>
        <w:ind w:left="360" w:right="20" w:hanging="332"/>
        <w:spacing w:after="0" w:line="258" w:lineRule="auto"/>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pay the Placement Agent a total cash fee equal to 6.5% of the gross proceeds raised in this offering. We have also agreed to reimburse the Placement Agent for its legal fees and expenses and other out-of-pocket expenses in an amount up to $125,000 and to pay closing costs (including the out-of-pocket cost of any clearing agent) in an amount not to exceed $15,950. In addition, we have agreed to issue to the Placement Agent, or its designees, warrants to purchase a number of shares of our Common Stock equal to 6.5% of the aggregate number of shares of Common Stock and Pre-Funded Warrants being offered at an exercise price equal to 125% of the combined public offering price per share of Common Stock and accompanying Warrants. We refer you to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on page 103 of this prospectus for additional information regarding Placement Agent compensation.</w:t>
      </w:r>
    </w:p>
    <w:p>
      <w:pPr>
        <w:spacing w:after="0" w:line="226" w:lineRule="exact"/>
        <w:rPr>
          <w:rFonts w:ascii="Times New Roman" w:cs="Times New Roman" w:eastAsia="Times New Roman" w:hAnsi="Times New Roman"/>
          <w:sz w:val="17"/>
          <w:szCs w:val="17"/>
          <w:color w:val="auto"/>
        </w:rPr>
      </w:pPr>
    </w:p>
    <w:p>
      <w:pPr>
        <w:jc w:val="both"/>
        <w:ind w:left="360" w:right="20" w:hanging="332"/>
        <w:spacing w:after="0" w:line="268" w:lineRule="auto"/>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We refer you to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on page 103 of this prospectus for additional information regarding Placement Agent compensation.</w:t>
      </w:r>
    </w:p>
    <w:p>
      <w:pPr>
        <w:spacing w:after="0" w:line="18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We expect to deliver the securities to the purchasers in the offering on or about</w:t>
            </w:r>
          </w:p>
        </w:tc>
        <w:tc>
          <w:tcPr>
            <w:tcW w:w="5640" w:type="dxa"/>
            <w:vAlign w:val="bottom"/>
            <w:gridSpan w:val="2"/>
          </w:tcPr>
          <w:p>
            <w:pPr>
              <w:jc w:val="right"/>
              <w:ind w:right="1855"/>
              <w:spacing w:after="0"/>
              <w:rPr>
                <w:sz w:val="20"/>
                <w:szCs w:val="20"/>
                <w:color w:val="auto"/>
              </w:rPr>
            </w:pPr>
            <w:r>
              <w:rPr>
                <w:rFonts w:ascii="Times New Roman" w:cs="Times New Roman" w:eastAsia="Times New Roman" w:hAnsi="Times New Roman"/>
                <w:sz w:val="17"/>
                <w:szCs w:val="17"/>
                <w:color w:val="auto"/>
              </w:rPr>
              <w:t>, 2026, subject to satisfaction of certain conditions.</w:t>
            </w:r>
          </w:p>
        </w:tc>
      </w:tr>
      <w:tr>
        <w:trPr>
          <w:trHeight w:val="410"/>
        </w:trPr>
        <w:tc>
          <w:tcPr>
            <w:tcW w:w="6460" w:type="dxa"/>
            <w:vAlign w:val="bottom"/>
            <w:gridSpan w:val="2"/>
          </w:tcPr>
          <w:p>
            <w:pPr>
              <w:ind w:left="396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4780" w:type="dxa"/>
            <w:vAlign w:val="bottom"/>
          </w:tcPr>
          <w:p>
            <w:pPr>
              <w:jc w:val="right"/>
              <w:ind w:right="3875"/>
              <w:spacing w:after="0"/>
              <w:rPr>
                <w:sz w:val="20"/>
                <w:szCs w:val="20"/>
                <w:color w:val="auto"/>
              </w:rPr>
            </w:pPr>
            <w:r>
              <w:rPr>
                <w:rFonts w:ascii="Times New Roman" w:cs="Times New Roman" w:eastAsia="Times New Roman" w:hAnsi="Times New Roman"/>
                <w:sz w:val="17"/>
                <w:szCs w:val="17"/>
                <w:b w:val="1"/>
                <w:bCs w:val="1"/>
                <w:color w:val="auto"/>
              </w:rPr>
              <w:t>, 2026</w:t>
            </w:r>
          </w:p>
        </w:tc>
      </w:tr>
      <w:tr>
        <w:trPr>
          <w:trHeight w:val="620"/>
        </w:trPr>
        <w:tc>
          <w:tcPr>
            <w:tcW w:w="5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680" w:type="dxa"/>
            <w:vAlign w:val="bottom"/>
          </w:tcPr>
          <w:p>
            <w:pPr>
              <w:spacing w:after="0"/>
              <w:rPr>
                <w:sz w:val="19"/>
                <w:szCs w:val="19"/>
                <w:color w:val="auto"/>
              </w:rPr>
            </w:pPr>
          </w:p>
        </w:tc>
      </w:tr>
      <w:tr>
        <w:trPr>
          <w:trHeight w:val="204"/>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5"/>
        </w:trPr>
        <w:tc>
          <w:tcPr>
            <w:tcW w:w="2120" w:type="dxa"/>
            <w:vAlign w:val="bottom"/>
            <w:tcBorders>
              <w:bottom w:val="single" w:sz="8" w:color="0000EE"/>
            </w:tcBorders>
            <w:gridSpan w:val="7"/>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w w:val="99"/>
              </w:rPr>
              <w:t>ABOUT THIS PROSPECTUS</w:t>
            </w:r>
          </w:p>
        </w:tc>
        <w:tc>
          <w:tcPr>
            <w:tcW w:w="7440" w:type="dxa"/>
            <w:vAlign w:val="bottom"/>
            <w:tcBorders>
              <w:bottom w:val="single" w:sz="8" w:color="CCEEFF"/>
            </w:tcBorders>
            <w:gridSpan w:val="11"/>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ind w:left="695"/>
              <w:spacing w:after="0" w:line="167" w:lineRule="exact"/>
              <w:rPr>
                <w:sz w:val="20"/>
                <w:szCs w:val="20"/>
                <w:color w:val="auto"/>
              </w:rPr>
            </w:pPr>
            <w:r>
              <w:rPr>
                <w:rFonts w:ascii="Times New Roman" w:cs="Times New Roman" w:eastAsia="Times New Roman" w:hAnsi="Times New Roman"/>
                <w:sz w:val="17"/>
                <w:szCs w:val="17"/>
                <w:color w:val="auto"/>
              </w:rPr>
              <w:t>ii</w:t>
            </w:r>
          </w:p>
        </w:tc>
      </w:tr>
      <w:tr>
        <w:trPr>
          <w:trHeight w:val="176"/>
        </w:trPr>
        <w:tc>
          <w:tcPr>
            <w:tcW w:w="5500" w:type="dxa"/>
            <w:vAlign w:val="bottom"/>
            <w:tcBorders>
              <w:bottom w:val="single" w:sz="8" w:color="0000EE"/>
            </w:tcBorders>
            <w:gridSpan w:val="14"/>
          </w:tcPr>
          <w:p>
            <w:pPr>
              <w:spacing w:after="0" w:line="167" w:lineRule="exact"/>
              <w:rPr>
                <w:sz w:val="20"/>
                <w:szCs w:val="20"/>
                <w:color w:val="auto"/>
              </w:rPr>
            </w:pPr>
            <w:r>
              <w:rPr>
                <w:rFonts w:ascii="Times New Roman" w:cs="Times New Roman" w:eastAsia="Times New Roman" w:hAnsi="Times New Roman"/>
                <w:sz w:val="17"/>
                <w:szCs w:val="17"/>
                <w:color w:val="0000EE"/>
                <w:w w:val="99"/>
              </w:rPr>
              <w:t>CAUTIONARY NOTE REGARDING FORWARD-LOOKING STATEMENTS</w:t>
            </w:r>
          </w:p>
        </w:tc>
        <w:tc>
          <w:tcPr>
            <w:tcW w:w="4060" w:type="dxa"/>
            <w:vAlign w:val="bottom"/>
            <w:gridSpan w:val="4"/>
          </w:tcPr>
          <w:p>
            <w:pPr>
              <w:spacing w:after="0"/>
              <w:rPr>
                <w:sz w:val="15"/>
                <w:szCs w:val="15"/>
                <w:color w:val="auto"/>
              </w:rPr>
            </w:pP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0"/>
              </w:rPr>
              <w:t>iv</w:t>
            </w:r>
          </w:p>
        </w:tc>
      </w:tr>
      <w:tr>
        <w:trPr>
          <w:trHeight w:val="194"/>
        </w:trPr>
        <w:tc>
          <w:tcPr>
            <w:tcW w:w="9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PROSPECTUS SUMMARY</w:t>
            </w:r>
          </w:p>
        </w:tc>
        <w:tc>
          <w:tcPr>
            <w:tcW w:w="1680" w:type="dxa"/>
            <w:vAlign w:val="bottom"/>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1</w:t>
            </w:r>
          </w:p>
        </w:tc>
      </w:tr>
      <w:tr>
        <w:trPr>
          <w:trHeight w:val="176"/>
        </w:trPr>
        <w:tc>
          <w:tcPr>
            <w:tcW w:w="1240" w:type="dxa"/>
            <w:vAlign w:val="bottom"/>
            <w:tcBorders>
              <w:top w:val="single" w:sz="8" w:color="0000EE"/>
              <w:bottom w:val="single" w:sz="8" w:color="0000EE"/>
            </w:tcBorders>
            <w:gridSpan w:val="3"/>
          </w:tcPr>
          <w:p>
            <w:pPr>
              <w:spacing w:after="0" w:line="167" w:lineRule="exact"/>
              <w:rPr>
                <w:sz w:val="20"/>
                <w:szCs w:val="20"/>
                <w:color w:val="auto"/>
              </w:rPr>
            </w:pPr>
            <w:r>
              <w:rPr>
                <w:rFonts w:ascii="Times New Roman" w:cs="Times New Roman" w:eastAsia="Times New Roman" w:hAnsi="Times New Roman"/>
                <w:sz w:val="17"/>
                <w:szCs w:val="17"/>
                <w:color w:val="0000EE"/>
                <w:w w:val="99"/>
              </w:rPr>
              <w:t>THE OFFERING</w:t>
            </w:r>
          </w:p>
        </w:tc>
        <w:tc>
          <w:tcPr>
            <w:tcW w:w="740" w:type="dxa"/>
            <w:vAlign w:val="bottom"/>
            <w:tcBorders>
              <w:top w:val="single" w:sz="8" w:color="0000EE"/>
            </w:tcBorders>
            <w:gridSpan w:val="3"/>
          </w:tcPr>
          <w:p>
            <w:pPr>
              <w:spacing w:after="0"/>
              <w:rPr>
                <w:sz w:val="15"/>
                <w:szCs w:val="15"/>
                <w:color w:val="auto"/>
              </w:rPr>
            </w:pPr>
          </w:p>
        </w:tc>
        <w:tc>
          <w:tcPr>
            <w:tcW w:w="7580" w:type="dxa"/>
            <w:vAlign w:val="bottom"/>
            <w:tcBorders>
              <w:top w:val="single" w:sz="8" w:color="CCEEFF"/>
            </w:tcBorders>
            <w:gridSpan w:val="12"/>
          </w:tcPr>
          <w:p>
            <w:pPr>
              <w:spacing w:after="0"/>
              <w:rPr>
                <w:sz w:val="15"/>
                <w:szCs w:val="15"/>
                <w:color w:val="auto"/>
              </w:rPr>
            </w:pPr>
          </w:p>
        </w:tc>
        <w:tc>
          <w:tcPr>
            <w:tcW w:w="1680" w:type="dxa"/>
            <w:vAlign w:val="bottom"/>
            <w:tcBorders>
              <w:top w:val="single" w:sz="8" w:color="CCEEFF"/>
            </w:tcBorders>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6</w:t>
            </w:r>
          </w:p>
        </w:tc>
      </w:tr>
      <w:tr>
        <w:trPr>
          <w:trHeight w:val="176"/>
        </w:trPr>
        <w:tc>
          <w:tcPr>
            <w:tcW w:w="9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RISK FACTORS</w:t>
            </w:r>
          </w:p>
        </w:tc>
        <w:tc>
          <w:tcPr>
            <w:tcW w:w="1680" w:type="dxa"/>
            <w:vAlign w:val="bottom"/>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8</w:t>
            </w:r>
          </w:p>
        </w:tc>
      </w:tr>
      <w:tr>
        <w:trPr>
          <w:trHeight w:val="38"/>
        </w:trPr>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2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7"/>
        </w:trPr>
        <w:tc>
          <w:tcPr>
            <w:tcW w:w="9560" w:type="dxa"/>
            <w:vAlign w:val="bottom"/>
            <w:gridSpan w:val="18"/>
          </w:tcPr>
          <w:p>
            <w:pPr>
              <w:spacing w:after="0" w:line="167" w:lineRule="exact"/>
              <w:rPr>
                <w:sz w:val="20"/>
                <w:szCs w:val="20"/>
                <w:color w:val="auto"/>
              </w:rPr>
            </w:pPr>
            <w:r>
              <w:rPr>
                <w:rFonts w:ascii="Times New Roman" w:cs="Times New Roman" w:eastAsia="Times New Roman" w:hAnsi="Times New Roman"/>
                <w:sz w:val="17"/>
                <w:szCs w:val="17"/>
                <w:color w:val="0000EE"/>
              </w:rPr>
              <w:t>USE OF PROCEEDS</w:t>
            </w: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49</w:t>
            </w:r>
          </w:p>
        </w:tc>
      </w:tr>
      <w:tr>
        <w:trPr>
          <w:trHeight w:val="29"/>
        </w:trPr>
        <w:tc>
          <w:tcPr>
            <w:tcW w:w="7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4"/>
        </w:trPr>
        <w:tc>
          <w:tcPr>
            <w:tcW w:w="9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MARKET INFORMATION FOR SECURITIES AND DIVIDEND POLICY</w:t>
            </w:r>
          </w:p>
        </w:tc>
        <w:tc>
          <w:tcPr>
            <w:tcW w:w="1680" w:type="dxa"/>
            <w:vAlign w:val="bottom"/>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50</w:t>
            </w:r>
          </w:p>
        </w:tc>
      </w:tr>
      <w:tr>
        <w:trPr>
          <w:trHeight w:val="176"/>
        </w:trPr>
        <w:tc>
          <w:tcPr>
            <w:tcW w:w="5280" w:type="dxa"/>
            <w:vAlign w:val="bottom"/>
            <w:tcBorders>
              <w:top w:val="single" w:sz="8" w:color="0000EE"/>
            </w:tcBorders>
            <w:gridSpan w:val="13"/>
          </w:tcPr>
          <w:p>
            <w:pPr>
              <w:spacing w:after="0" w:line="167" w:lineRule="exact"/>
              <w:rPr>
                <w:sz w:val="20"/>
                <w:szCs w:val="20"/>
                <w:color w:val="auto"/>
              </w:rPr>
            </w:pPr>
            <w:r>
              <w:rPr>
                <w:rFonts w:ascii="Times New Roman" w:cs="Times New Roman" w:eastAsia="Times New Roman" w:hAnsi="Times New Roman"/>
                <w:sz w:val="17"/>
                <w:szCs w:val="17"/>
                <w:color w:val="0000EE"/>
              </w:rPr>
              <w:t>CAPITALIZATION</w:t>
            </w:r>
          </w:p>
        </w:tc>
        <w:tc>
          <w:tcPr>
            <w:tcW w:w="4280" w:type="dxa"/>
            <w:vAlign w:val="bottom"/>
            <w:tcBorders>
              <w:top w:val="single" w:sz="8" w:color="CCEEFF"/>
            </w:tcBorders>
            <w:gridSpan w:val="5"/>
          </w:tcPr>
          <w:p>
            <w:pPr>
              <w:spacing w:after="0"/>
              <w:rPr>
                <w:sz w:val="15"/>
                <w:szCs w:val="15"/>
                <w:color w:val="auto"/>
              </w:rPr>
            </w:pPr>
          </w:p>
        </w:tc>
        <w:tc>
          <w:tcPr>
            <w:tcW w:w="1680" w:type="dxa"/>
            <w:vAlign w:val="bottom"/>
            <w:tcBorders>
              <w:top w:val="single" w:sz="8" w:color="CCEEFF"/>
            </w:tcBorders>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51</w:t>
            </w:r>
          </w:p>
        </w:tc>
      </w:tr>
      <w:tr>
        <w:trPr>
          <w:trHeight w:val="194"/>
        </w:trPr>
        <w:tc>
          <w:tcPr>
            <w:tcW w:w="820" w:type="dxa"/>
            <w:vAlign w:val="bottom"/>
            <w:tcBorders>
              <w:top w:val="single" w:sz="8" w:color="0000EE"/>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8"/>
              </w:rPr>
              <w:t>DILUTION</w:t>
            </w:r>
          </w:p>
        </w:tc>
        <w:tc>
          <w:tcPr>
            <w:tcW w:w="56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8180" w:type="dxa"/>
            <w:vAlign w:val="bottom"/>
            <w:tcBorders>
              <w:bottom w:val="single" w:sz="8" w:color="CCEEFF"/>
            </w:tcBorders>
            <w:gridSpan w:val="14"/>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52</w:t>
            </w:r>
          </w:p>
        </w:tc>
      </w:tr>
      <w:tr>
        <w:trPr>
          <w:trHeight w:val="176"/>
        </w:trPr>
        <w:tc>
          <w:tcPr>
            <w:tcW w:w="9560" w:type="dxa"/>
            <w:vAlign w:val="bottom"/>
            <w:gridSpan w:val="18"/>
          </w:tcPr>
          <w:p>
            <w:pPr>
              <w:spacing w:after="0" w:line="167"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53</w:t>
            </w:r>
          </w:p>
        </w:tc>
      </w:tr>
      <w:tr>
        <w:trPr>
          <w:trHeight w:val="194"/>
        </w:trPr>
        <w:tc>
          <w:tcPr>
            <w:tcW w:w="1240" w:type="dxa"/>
            <w:vAlign w:val="bottom"/>
            <w:tcBorders>
              <w:top w:val="single" w:sz="8" w:color="0000EE"/>
              <w:bottom w:val="single" w:sz="8" w:color="0000EE"/>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OUR BUSINESS</w:t>
            </w:r>
          </w:p>
        </w:tc>
        <w:tc>
          <w:tcPr>
            <w:tcW w:w="7220" w:type="dxa"/>
            <w:vAlign w:val="bottom"/>
            <w:tcBorders>
              <w:top w:val="single" w:sz="8" w:color="0000EE"/>
              <w:bottom w:val="single" w:sz="8" w:color="CCEEFF"/>
            </w:tcBorders>
            <w:gridSpan w:val="14"/>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66</w:t>
            </w:r>
          </w:p>
        </w:tc>
      </w:tr>
      <w:tr>
        <w:trPr>
          <w:trHeight w:val="176"/>
        </w:trPr>
        <w:tc>
          <w:tcPr>
            <w:tcW w:w="1240" w:type="dxa"/>
            <w:vAlign w:val="bottom"/>
            <w:tcBorders>
              <w:bottom w:val="single" w:sz="8" w:color="0000EE"/>
            </w:tcBorders>
            <w:gridSpan w:val="3"/>
          </w:tcPr>
          <w:p>
            <w:pPr>
              <w:spacing w:after="0" w:line="167" w:lineRule="exact"/>
              <w:rPr>
                <w:sz w:val="20"/>
                <w:szCs w:val="20"/>
                <w:color w:val="auto"/>
              </w:rPr>
            </w:pPr>
            <w:r>
              <w:rPr>
                <w:rFonts w:ascii="Times New Roman" w:cs="Times New Roman" w:eastAsia="Times New Roman" w:hAnsi="Times New Roman"/>
                <w:sz w:val="17"/>
                <w:szCs w:val="17"/>
                <w:color w:val="0000EE"/>
                <w:w w:val="97"/>
              </w:rPr>
              <w:t>MANAGEMENT</w:t>
            </w:r>
          </w:p>
        </w:tc>
        <w:tc>
          <w:tcPr>
            <w:tcW w:w="8320" w:type="dxa"/>
            <w:vAlign w:val="bottom"/>
            <w:gridSpan w:val="15"/>
          </w:tcPr>
          <w:p>
            <w:pPr>
              <w:spacing w:after="0"/>
              <w:rPr>
                <w:sz w:val="15"/>
                <w:szCs w:val="15"/>
                <w:color w:val="auto"/>
              </w:rPr>
            </w:pP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82</w:t>
            </w:r>
          </w:p>
        </w:tc>
      </w:tr>
      <w:tr>
        <w:trPr>
          <w:trHeight w:val="176"/>
        </w:trPr>
        <w:tc>
          <w:tcPr>
            <w:tcW w:w="9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EXECUTIVE COMPENSATION</w:t>
            </w:r>
          </w:p>
        </w:tc>
        <w:tc>
          <w:tcPr>
            <w:tcW w:w="1680" w:type="dxa"/>
            <w:vAlign w:val="bottom"/>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90</w:t>
            </w:r>
          </w:p>
        </w:tc>
      </w:tr>
      <w:tr>
        <w:trPr>
          <w:trHeight w:val="38"/>
        </w:trPr>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76"/>
        </w:trPr>
        <w:tc>
          <w:tcPr>
            <w:tcW w:w="5200" w:type="dxa"/>
            <w:vAlign w:val="bottom"/>
            <w:tcBorders>
              <w:bottom w:val="single" w:sz="8" w:color="0000EE"/>
            </w:tcBorders>
            <w:gridSpan w:val="12"/>
          </w:tcPr>
          <w:p>
            <w:pPr>
              <w:spacing w:after="0" w:line="167" w:lineRule="exact"/>
              <w:rPr>
                <w:sz w:val="20"/>
                <w:szCs w:val="20"/>
                <w:color w:val="auto"/>
              </w:rPr>
            </w:pPr>
            <w:r>
              <w:rPr>
                <w:rFonts w:ascii="Times New Roman" w:cs="Times New Roman" w:eastAsia="Times New Roman" w:hAnsi="Times New Roman"/>
                <w:sz w:val="17"/>
                <w:szCs w:val="17"/>
                <w:color w:val="0000EE"/>
                <w:w w:val="98"/>
              </w:rPr>
              <w:t>CERTAIN RELATIONSHIPS AND RELATED PARTY TRANSACTIONS</w:t>
            </w:r>
          </w:p>
        </w:tc>
        <w:tc>
          <w:tcPr>
            <w:tcW w:w="4360" w:type="dxa"/>
            <w:vAlign w:val="bottom"/>
            <w:gridSpan w:val="6"/>
          </w:tcPr>
          <w:p>
            <w:pPr>
              <w:spacing w:after="0"/>
              <w:rPr>
                <w:sz w:val="15"/>
                <w:szCs w:val="15"/>
                <w:color w:val="auto"/>
              </w:rPr>
            </w:pP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95</w:t>
            </w:r>
          </w:p>
        </w:tc>
      </w:tr>
      <w:tr>
        <w:trPr>
          <w:trHeight w:val="194"/>
        </w:trPr>
        <w:tc>
          <w:tcPr>
            <w:tcW w:w="64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3160" w:type="dxa"/>
            <w:vAlign w:val="bottom"/>
            <w:tcBorders>
              <w:bottom w:val="single" w:sz="8" w:color="CCEEFF"/>
            </w:tcBorders>
            <w:gridSpan w:val="2"/>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96</w:t>
            </w:r>
          </w:p>
        </w:tc>
      </w:tr>
      <w:tr>
        <w:trPr>
          <w:trHeight w:val="176"/>
        </w:trPr>
        <w:tc>
          <w:tcPr>
            <w:tcW w:w="3960" w:type="dxa"/>
            <w:vAlign w:val="bottom"/>
            <w:tcBorders>
              <w:bottom w:val="single" w:sz="8" w:color="0000EE"/>
            </w:tcBorders>
            <w:gridSpan w:val="9"/>
          </w:tcPr>
          <w:p>
            <w:pPr>
              <w:spacing w:after="0" w:line="167" w:lineRule="exact"/>
              <w:rPr>
                <w:sz w:val="20"/>
                <w:szCs w:val="20"/>
                <w:color w:val="auto"/>
              </w:rPr>
            </w:pPr>
            <w:r>
              <w:rPr>
                <w:rFonts w:ascii="Times New Roman" w:cs="Times New Roman" w:eastAsia="Times New Roman" w:hAnsi="Times New Roman"/>
                <w:sz w:val="17"/>
                <w:szCs w:val="17"/>
                <w:color w:val="0000EE"/>
              </w:rPr>
              <w:t>DESCRIPTION OF SECURITIES WE ARE OFFERING</w:t>
            </w:r>
          </w:p>
        </w:tc>
        <w:tc>
          <w:tcPr>
            <w:tcW w:w="5600" w:type="dxa"/>
            <w:vAlign w:val="bottom"/>
            <w:gridSpan w:val="9"/>
          </w:tcPr>
          <w:p>
            <w:pPr>
              <w:spacing w:after="0"/>
              <w:rPr>
                <w:sz w:val="15"/>
                <w:szCs w:val="15"/>
                <w:color w:val="auto"/>
              </w:rPr>
            </w:pP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97</w:t>
            </w:r>
          </w:p>
        </w:tc>
      </w:tr>
      <w:tr>
        <w:trPr>
          <w:trHeight w:val="176"/>
        </w:trPr>
        <w:tc>
          <w:tcPr>
            <w:tcW w:w="9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PLAN OF DISTRIBUTION</w:t>
            </w:r>
          </w:p>
        </w:tc>
        <w:tc>
          <w:tcPr>
            <w:tcW w:w="1680" w:type="dxa"/>
            <w:vAlign w:val="bottom"/>
            <w:shd w:val="clear" w:color="auto" w:fill="CCEEFF"/>
          </w:tcPr>
          <w:p>
            <w:pPr>
              <w:jc w:val="center"/>
              <w:ind w:left="695"/>
              <w:spacing w:after="0" w:line="176" w:lineRule="exact"/>
              <w:rPr>
                <w:sz w:val="20"/>
                <w:szCs w:val="20"/>
                <w:color w:val="auto"/>
              </w:rPr>
            </w:pPr>
            <w:r>
              <w:rPr>
                <w:rFonts w:ascii="Times New Roman" w:cs="Times New Roman" w:eastAsia="Times New Roman" w:hAnsi="Times New Roman"/>
                <w:sz w:val="17"/>
                <w:szCs w:val="17"/>
                <w:color w:val="auto"/>
              </w:rPr>
              <w:t>103</w:t>
            </w:r>
          </w:p>
        </w:tc>
      </w:tr>
      <w:tr>
        <w:trPr>
          <w:trHeight w:val="38"/>
        </w:trPr>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76"/>
        </w:trPr>
        <w:tc>
          <w:tcPr>
            <w:tcW w:w="9560" w:type="dxa"/>
            <w:vAlign w:val="bottom"/>
            <w:gridSpan w:val="18"/>
          </w:tcPr>
          <w:p>
            <w:pPr>
              <w:spacing w:after="0" w:line="167" w:lineRule="exact"/>
              <w:rPr>
                <w:sz w:val="20"/>
                <w:szCs w:val="20"/>
                <w:color w:val="auto"/>
              </w:rPr>
            </w:pPr>
            <w:r>
              <w:rPr>
                <w:rFonts w:ascii="Times New Roman" w:cs="Times New Roman" w:eastAsia="Times New Roman" w:hAnsi="Times New Roman"/>
                <w:sz w:val="17"/>
                <w:szCs w:val="17"/>
                <w:color w:val="0000EE"/>
              </w:rPr>
              <w:t>UNITED STATES FEDERAL INCOME TAX CONSIDERATIONS</w:t>
            </w:r>
          </w:p>
        </w:tc>
        <w:tc>
          <w:tcPr>
            <w:tcW w:w="1680" w:type="dxa"/>
            <w:vAlign w:val="bottom"/>
          </w:tcPr>
          <w:p>
            <w:pPr>
              <w:jc w:val="center"/>
              <w:ind w:left="695"/>
              <w:spacing w:after="0" w:line="167" w:lineRule="exact"/>
              <w:rPr>
                <w:sz w:val="20"/>
                <w:szCs w:val="20"/>
                <w:color w:val="auto"/>
              </w:rPr>
            </w:pPr>
            <w:r>
              <w:rPr>
                <w:rFonts w:ascii="Times New Roman" w:cs="Times New Roman" w:eastAsia="Times New Roman" w:hAnsi="Times New Roman"/>
                <w:sz w:val="17"/>
                <w:szCs w:val="17"/>
                <w:color w:val="auto"/>
              </w:rPr>
              <w:t>106</w:t>
            </w:r>
          </w:p>
        </w:tc>
      </w:tr>
      <w:tr>
        <w:trPr>
          <w:trHeight w:val="194"/>
        </w:trPr>
        <w:tc>
          <w:tcPr>
            <w:tcW w:w="740" w:type="dxa"/>
            <w:vAlign w:val="bottom"/>
            <w:tcBorders>
              <w:top w:val="single" w:sz="8" w:color="0000EE"/>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7"/>
              </w:rPr>
              <w:t>EXPERTS</w:t>
            </w:r>
          </w:p>
        </w:tc>
        <w:tc>
          <w:tcPr>
            <w:tcW w:w="3940" w:type="dxa"/>
            <w:vAlign w:val="bottom"/>
            <w:tcBorders>
              <w:top w:val="single" w:sz="8" w:color="0000EE"/>
              <w:bottom w:val="single" w:sz="8" w:color="CCEEFF"/>
            </w:tcBorders>
            <w:gridSpan w:val="10"/>
            <w:shd w:val="clear" w:color="auto" w:fill="CCEEFF"/>
          </w:tcPr>
          <w:p>
            <w:pPr>
              <w:spacing w:after="0"/>
              <w:rPr>
                <w:sz w:val="16"/>
                <w:szCs w:val="16"/>
                <w:color w:val="auto"/>
              </w:rPr>
            </w:pPr>
          </w:p>
        </w:tc>
        <w:tc>
          <w:tcPr>
            <w:tcW w:w="4880" w:type="dxa"/>
            <w:vAlign w:val="bottom"/>
            <w:tcBorders>
              <w:bottom w:val="single" w:sz="8" w:color="CCEEFF"/>
            </w:tcBorders>
            <w:gridSpan w:val="7"/>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111</w:t>
            </w:r>
          </w:p>
        </w:tc>
      </w:tr>
      <w:tr>
        <w:trPr>
          <w:trHeight w:val="167"/>
        </w:trPr>
        <w:tc>
          <w:tcPr>
            <w:tcW w:w="9560" w:type="dxa"/>
            <w:vAlign w:val="bottom"/>
            <w:gridSpan w:val="18"/>
          </w:tcPr>
          <w:p>
            <w:pPr>
              <w:spacing w:after="0" w:line="167" w:lineRule="exact"/>
              <w:rPr>
                <w:sz w:val="20"/>
                <w:szCs w:val="20"/>
                <w:color w:val="auto"/>
              </w:rPr>
            </w:pPr>
            <w:r>
              <w:rPr>
                <w:rFonts w:ascii="Times New Roman" w:cs="Times New Roman" w:eastAsia="Times New Roman" w:hAnsi="Times New Roman"/>
                <w:sz w:val="17"/>
                <w:szCs w:val="17"/>
                <w:color w:val="0000EE"/>
              </w:rPr>
              <w:t>LEGAL MATTERS</w:t>
            </w: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111</w:t>
            </w:r>
          </w:p>
        </w:tc>
      </w:tr>
      <w:tr>
        <w:trPr>
          <w:trHeight w:val="29"/>
        </w:trPr>
        <w:tc>
          <w:tcPr>
            <w:tcW w:w="7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4"/>
        </w:trPr>
        <w:tc>
          <w:tcPr>
            <w:tcW w:w="4220" w:type="dxa"/>
            <w:vAlign w:val="bottom"/>
            <w:tcBorders>
              <w:bottom w:val="single" w:sz="8" w:color="0000EE"/>
              <w:right w:val="single" w:sz="8" w:color="CCEE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WHERE YOU CAN FIND ADDITIONAL INFORMATION</w:t>
            </w:r>
          </w:p>
        </w:tc>
        <w:tc>
          <w:tcPr>
            <w:tcW w:w="5340" w:type="dxa"/>
            <w:vAlign w:val="bottom"/>
            <w:tcBorders>
              <w:bottom w:val="single" w:sz="8" w:color="CCEEFF"/>
            </w:tcBorders>
            <w:gridSpan w:val="8"/>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w w:val="93"/>
              </w:rPr>
              <w:t>111</w:t>
            </w:r>
          </w:p>
        </w:tc>
      </w:tr>
      <w:tr>
        <w:trPr>
          <w:trHeight w:val="176"/>
        </w:trPr>
        <w:tc>
          <w:tcPr>
            <w:tcW w:w="5640" w:type="dxa"/>
            <w:vAlign w:val="bottom"/>
            <w:tcBorders>
              <w:bottom w:val="single" w:sz="8" w:color="0000EE"/>
            </w:tcBorders>
            <w:gridSpan w:val="15"/>
          </w:tcPr>
          <w:p>
            <w:pPr>
              <w:spacing w:after="0" w:line="167" w:lineRule="exact"/>
              <w:rPr>
                <w:sz w:val="20"/>
                <w:szCs w:val="20"/>
                <w:color w:val="auto"/>
              </w:rPr>
            </w:pPr>
            <w:r>
              <w:rPr>
                <w:rFonts w:ascii="Times New Roman" w:cs="Times New Roman" w:eastAsia="Times New Roman" w:hAnsi="Times New Roman"/>
                <w:sz w:val="17"/>
                <w:szCs w:val="17"/>
                <w:color w:val="0000EE"/>
              </w:rPr>
              <w:t>CHANGES IN INDEPENDENT REGISTERED PUBLIC ACCOUNTING FIRM</w:t>
            </w:r>
          </w:p>
        </w:tc>
        <w:tc>
          <w:tcPr>
            <w:tcW w:w="3920" w:type="dxa"/>
            <w:vAlign w:val="bottom"/>
            <w:gridSpan w:val="3"/>
          </w:tcPr>
          <w:p>
            <w:pPr>
              <w:spacing w:after="0"/>
              <w:rPr>
                <w:sz w:val="15"/>
                <w:szCs w:val="15"/>
                <w:color w:val="auto"/>
              </w:rPr>
            </w:pPr>
          </w:p>
        </w:tc>
        <w:tc>
          <w:tcPr>
            <w:tcW w:w="1680" w:type="dxa"/>
            <w:vAlign w:val="bottom"/>
          </w:tcPr>
          <w:p>
            <w:pPr>
              <w:jc w:val="center"/>
              <w:ind w:left="715"/>
              <w:spacing w:after="0" w:line="167" w:lineRule="exact"/>
              <w:rPr>
                <w:sz w:val="20"/>
                <w:szCs w:val="20"/>
                <w:color w:val="auto"/>
              </w:rPr>
            </w:pPr>
            <w:r>
              <w:rPr>
                <w:rFonts w:ascii="Times New Roman" w:cs="Times New Roman" w:eastAsia="Times New Roman" w:hAnsi="Times New Roman"/>
                <w:sz w:val="17"/>
                <w:szCs w:val="17"/>
                <w:color w:val="auto"/>
                <w:w w:val="93"/>
              </w:rPr>
              <w:t>111</w:t>
            </w:r>
          </w:p>
        </w:tc>
      </w:tr>
      <w:tr>
        <w:trPr>
          <w:trHeight w:val="176"/>
        </w:trPr>
        <w:tc>
          <w:tcPr>
            <w:tcW w:w="95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INDEX TO CONSOLIDATED FINANCIAL STATEMENTS</w:t>
            </w:r>
          </w:p>
        </w:tc>
        <w:tc>
          <w:tcPr>
            <w:tcW w:w="1680" w:type="dxa"/>
            <w:vAlign w:val="bottom"/>
            <w:shd w:val="clear" w:color="auto" w:fill="CCEEFF"/>
          </w:tcPr>
          <w:p>
            <w:pPr>
              <w:jc w:val="center"/>
              <w:ind w:left="715"/>
              <w:spacing w:after="0" w:line="176" w:lineRule="exact"/>
              <w:rPr>
                <w:sz w:val="20"/>
                <w:szCs w:val="20"/>
                <w:color w:val="auto"/>
              </w:rPr>
            </w:pPr>
            <w:r>
              <w:rPr>
                <w:rFonts w:ascii="Times New Roman" w:cs="Times New Roman" w:eastAsia="Times New Roman" w:hAnsi="Times New Roman"/>
                <w:sz w:val="17"/>
                <w:szCs w:val="17"/>
                <w:color w:val="auto"/>
              </w:rPr>
              <w:t>F-1</w:t>
            </w:r>
          </w:p>
        </w:tc>
      </w:tr>
      <w:tr>
        <w:trPr>
          <w:trHeight w:val="38"/>
        </w:trPr>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registration statement we filed with the Securities and Exchange Commission (the “SEC”) includes exhibits that provide more detail of the matters discussed in this prospectus. You should read this prospectus and the related exhibits filed with the SEC before making your investment decision. You should rely only on the information provided in this prospectus. You should not assume that the information contained in this prospectus or any related free writing prospectus is accurate on any date subsequent to the date set forth on the front of the document, even though this prospectus or any related free writing prospectus is delivered, or securities are sold, on a later date.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forms a part, and you may obtain copies of those documents as described in this prospectus under the heading “Where You Can Find More Information.”</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You should rely only on the information that we have included in this prospectus and any related free writing prospectus that we may authorize to be provided to you. Neither we, nor the placement agent, have authorized any dealer, salesman or other person to give any information or to make any representation other than those contained in this prospectus or any related free writing prospectus that we may authorize to be provided to you. You must not rely upon any information or representation not contained in this prospectus or any related free writing prospectus. This prospectus and any related free writing prospectus do not constitute an offer to sell or the solicitation of an offer to buy any securities other than the registered securities to which they relate, nor does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When we refer to “CID HoldCo,” “we,” “our,” “us” and the “Company” in this prospectus, we mean CID HoldCo, Inc., unless otherwise specified. When we refer to “you,” we mean the potential holders of the applicable securities.</w:t>
      </w:r>
    </w:p>
    <w:p>
      <w:pPr>
        <w:spacing w:after="0" w:line="15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 xml:space="preserve">Solely for convenience, tradenames referred to in this prospectus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symbols, but those references are not intended to indicate, in any way, that we will not assert, to the fullest extent under applicable law, our rights, or that the applicable owner will not assert its rights, to these tradenames.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7"/>
          <w:szCs w:val="17"/>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 w:cs="Times New Roman" w:eastAsia="Times New Roman" w:hAnsi="Times New Roman"/>
          <w:sz w:val="17"/>
          <w:szCs w:val="17"/>
          <w:b w:val="1"/>
          <w:bCs w:val="1"/>
          <w:i w:val="1"/>
          <w:iCs w:val="1"/>
          <w:color w:val="auto"/>
        </w:rPr>
        <w:t>ShoulderUp Merger</w:t>
      </w:r>
      <w:r>
        <w:rPr>
          <w:rFonts w:ascii="Times New Roman" w:cs="Times New Roman" w:eastAsia="Times New Roman" w:hAnsi="Times New Roman"/>
          <w:sz w:val="17"/>
          <w:szCs w:val="17"/>
          <w:color w:val="auto"/>
        </w:rPr>
        <w:t>”), with SUAC surviving the ShoulderUp Merger as a wholly-owned subsidiary of the Company (“</w:t>
      </w:r>
      <w:r>
        <w:rPr>
          <w:rFonts w:ascii="Times New Roman" w:cs="Times New Roman" w:eastAsia="Times New Roman" w:hAnsi="Times New Roman"/>
          <w:sz w:val="17"/>
          <w:szCs w:val="17"/>
          <w:b w:val="1"/>
          <w:bCs w:val="1"/>
          <w:i w:val="1"/>
          <w:iCs w:val="1"/>
          <w:color w:val="auto"/>
        </w:rPr>
        <w:t>SUAC Surviving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(ii) simultaneously with the ShoulderUp Merger, SEI Merger Sub merged with and into SEE ID (“</w:t>
      </w:r>
      <w:r>
        <w:rPr>
          <w:rFonts w:ascii="Times New Roman" w:cs="Times New Roman" w:eastAsia="Times New Roman" w:hAnsi="Times New Roman"/>
          <w:sz w:val="17"/>
          <w:szCs w:val="17"/>
          <w:b w:val="1"/>
          <w:bCs w:val="1"/>
          <w:i w:val="1"/>
          <w:iCs w:val="1"/>
          <w:color w:val="auto"/>
        </w:rPr>
        <w:t>the SEE ID Merger</w:t>
      </w:r>
      <w:r>
        <w:rPr>
          <w:rFonts w:ascii="Times New Roman" w:cs="Times New Roman" w:eastAsia="Times New Roman" w:hAnsi="Times New Roman"/>
          <w:sz w:val="17"/>
          <w:szCs w:val="17"/>
          <w:color w:val="auto"/>
        </w:rPr>
        <w:t>”), with SEE ID surviving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SEE ID Merger as a wholly-owned subsidiary of the Company (the “</w:t>
      </w:r>
      <w:r>
        <w:rPr>
          <w:rFonts w:ascii="Times New Roman" w:cs="Times New Roman" w:eastAsia="Times New Roman" w:hAnsi="Times New Roman"/>
          <w:sz w:val="17"/>
          <w:szCs w:val="17"/>
          <w:b w:val="1"/>
          <w:bCs w:val="1"/>
          <w:i w:val="1"/>
          <w:iCs w:val="1"/>
          <w:color w:val="auto"/>
        </w:rPr>
        <w:t>Surviving Company</w:t>
      </w:r>
      <w:r>
        <w:rPr>
          <w:rFonts w:ascii="Times New Roman" w:cs="Times New Roman" w:eastAsia="Times New Roman" w:hAnsi="Times New Roman"/>
          <w:sz w:val="17"/>
          <w:szCs w:val="17"/>
          <w:color w:val="auto"/>
        </w:rPr>
        <w:t>”) (the ShoulderUp Merger and the SEE ID Merger, together the “</w:t>
      </w:r>
      <w:r>
        <w:rPr>
          <w:rFonts w:ascii="Times New Roman" w:cs="Times New Roman" w:eastAsia="Times New Roman" w:hAnsi="Times New Roman"/>
          <w:sz w:val="17"/>
          <w:szCs w:val="17"/>
          <w:b w:val="1"/>
          <w:bCs w:val="1"/>
          <w:i w:val="1"/>
          <w:iCs w:val="1"/>
          <w:color w:val="auto"/>
        </w:rPr>
        <w:t>Mergers</w:t>
      </w:r>
      <w:r>
        <w:rPr>
          <w:rFonts w:ascii="Times New Roman" w:cs="Times New Roman" w:eastAsia="Times New Roman" w:hAnsi="Times New Roman"/>
          <w:sz w:val="17"/>
          <w:szCs w:val="17"/>
          <w:color w:val="auto"/>
        </w:rPr>
        <w:t>” and together with the other transactions contemplated by the Business Combination Agreement, the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Concurrently with the Closing, the Company and the persons identified in Schedule A thereto, entered into the Registration Rights Agreement, which provides customary demand and piggyback registration rights. See </w:t>
      </w:r>
      <w:r>
        <w:rPr>
          <w:rFonts w:ascii="Times New Roman" w:cs="Times New Roman" w:eastAsia="Times New Roman" w:hAnsi="Times New Roman"/>
          <w:sz w:val="17"/>
          <w:szCs w:val="17"/>
          <w:i w:val="1"/>
          <w:iCs w:val="1"/>
          <w:color w:val="auto"/>
        </w:rPr>
        <w:t>“Certain Relationships and Related Party Transactions - Registration Rights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76" w:lineRule="exact"/>
        <w:rPr>
          <w:sz w:val="20"/>
          <w:szCs w:val="20"/>
          <w:color w:val="auto"/>
        </w:rPr>
      </w:pPr>
    </w:p>
    <w:p>
      <w:pPr>
        <w:ind w:left="620" w:hanging="310"/>
        <w:spacing w:after="0" w:line="28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against the combined company or others following the consummation of the Business Combination and any definitive agreements with respect thereto;</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meet stock exchange listing standards following the consummation of the Business Combination;</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Company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p>
      <w:pPr>
        <w:spacing w:after="0" w:line="165"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SEE ID or the Company may be adversely affected by other economic, business, or competitive factors;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estimates of expenses, profitability and preliminary and unaudited financial results for the fourth quarter and fiscal year ended December 31, 2025;</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raise financing in the future;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in retaining or recruiting, or changes required in, our officers, key employees or directors;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public securities’ potential liquidity and trading;</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will result from the Business Combination may be greater than anticipated;</w:t>
      </w:r>
    </w:p>
    <w:p>
      <w:pPr>
        <w:spacing w:after="0" w:line="165"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the ability to adequately protect the Company’s intellectual property rights;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relating to the business, operations and financial performance of the Company detailed under the section entitled “Risk Factors” herein</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any of these risks materialize or our assumptions prove incorrect, actual results could differ materially from the results implied by these forward-looking statements.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and elsewhere in this prospectus. The risks described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220980</wp:posOffset>
            </wp:positionV>
            <wp:extent cx="7135495" cy="5890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5890260"/>
                    </a:xfrm>
                    <a:prstGeom prst="rect">
                      <a:avLst/>
                    </a:prstGeom>
                    <a:noFill/>
                  </pic:spPr>
                </pic:pic>
              </a:graphicData>
            </a:graphic>
          </wp:anchor>
        </w:drawing>
        <w:t>PROSPECTUS SUMMARY</w:t>
      </w: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As used in this prospectus, unless the context otherwise requires or indicates, references to “Company,” “we,” “our,” and “us,” refer to CID HoldCo, Inc. and its subsidiaries.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71393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00"/>
          </w:cols>
          <w:pgMar w:left="440" w:top="555" w:right="459" w:bottom="1440" w:gutter="0" w:footer="0" w:header="0"/>
        </w:sectPr>
      </w:pPr>
    </w:p>
    <w:bookmarkStart w:id="9" w:name="page10"/>
    <w:bookmarkEnd w:id="9"/>
    <w:p>
      <w:pPr>
        <w:jc w:val="both"/>
        <w:spacing w:after="0" w:line="28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220980</wp:posOffset>
            </wp:positionV>
            <wp:extent cx="7135495" cy="5499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5499100"/>
                    </a:xfrm>
                    <a:prstGeom prst="rect">
                      <a:avLst/>
                    </a:prstGeom>
                    <a:noFill/>
                  </pic:spPr>
                </pic:pic>
              </a:graphicData>
            </a:graphic>
          </wp:anchor>
        </w:drawing>
        <w:t>In short, we bring a next generation capability to know when, where and why assets move in the enterprise, providing an opportunity to apply AI to complex edge processes.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 Financing</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Line of Credit</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of the Company’s Common Stock. In connection with the ELOC Agreement, we also entered into a registration rights agreement with New Circle and previously filed a separate resale registration statement covering up to 5,524,624 shares issuable under the ELOC Agreement. No shares under the ELOC Agreement are being offered or sold pursuant to this prospectus.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future use of the ELOC Agreement will depend on market conditions, our trading price and volume, and our liquidity needs, and could be dilutive to existing stockholders and place downward pressure on our stock price. Only 5,524,624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if made, would be used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71393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00"/>
          </w:cols>
          <w:pgMar w:left="440" w:top="559"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220980</wp:posOffset>
            </wp:positionV>
            <wp:extent cx="7135495" cy="5629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5629910"/>
                    </a:xfrm>
                    <a:prstGeom prst="rect">
                      <a:avLst/>
                    </a:prstGeom>
                    <a:noFill/>
                  </pic:spPr>
                </pic:pic>
              </a:graphicData>
            </a:graphic>
          </wp:anchor>
        </w:drawing>
        <w:t>Recent Developments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Secured Convertible Loan Agreement</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December 5, 2025, we entered into a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$226,615.18.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Convertible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Convertible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Preliminary Financial Results for the Three Months and Fiscal Year Ended December 31, 2025</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of the date of this prospectus, the Company expects revenue of approximately $4.3 to $4.6 million for the three months ended December 31, 2025. For the fiscal year ended December 31, 2025, the Company expects revenue of approximately $5.6 to $5.9 million. The growth of the Company’s revenue in the fourth quarter of 2025 reflects the acquisition of some key customers and the shipment of initial hardware platform orders for their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71393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00"/>
          </w:cols>
          <w:pgMar w:left="440" w:top="555" w:right="45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220980</wp:posOffset>
            </wp:positionV>
            <wp:extent cx="7135495" cy="510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5108575"/>
                    </a:xfrm>
                    <a:prstGeom prst="rect">
                      <a:avLst/>
                    </a:prstGeom>
                    <a:noFill/>
                  </pic:spPr>
                </pic:pic>
              </a:graphicData>
            </a:graphic>
          </wp:anchor>
        </w:drawing>
        <w:t>The financial data included in this prospectus has been prepared by, and is the responsibility of, our management. The foregoing information and estimates are subject to revision as we prepare our financial statements as of and for the year ended December 31, 2025, including all disclosures required by GAAP, and as our auditors conduct their audit of these financial statements. Our independent registered public accounting firm, Carr, Riggs &amp; Ingram, LLC, has not audited, reviewed, compiled or performed any procedures with respect to this preliminary financial information and, accordingly, Carr, Riggs &amp; Ingram, LLC does not express an opinion or any other form of assurance with respect thereto. Since this information is preliminary and highly subjective, it should not be relied on as indicative of future actual results. We do not intend to update or otherwise revise the preliminary estimates to reflect future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2025,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were formed as a Delaware corporation on February 27, 2024.</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Our principal executive office is located at 5661 S Cameron St, Suite 100, Las Vegas, Nevada 89118 and our telephone number is (303) 332-4122. Our website is https://daic.ai. The information found on, or that can be accessed from or that is hyperlinked to, our website is not part of this prospectus.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71393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00"/>
          </w:cols>
          <w:pgMar w:left="440" w:top="559"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220980</wp:posOffset>
            </wp:positionV>
            <wp:extent cx="7135495" cy="5890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5890260"/>
                    </a:xfrm>
                    <a:prstGeom prst="rect">
                      <a:avLst/>
                    </a:prstGeom>
                    <a:noFill/>
                  </pic:spPr>
                </pic:pic>
              </a:graphicData>
            </a:graphic>
          </wp:anchor>
        </w:drawing>
        <w:t>Risk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Associated with the Company</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17"/>
          <w:szCs w:val="17"/>
          <w:i w:val="1"/>
          <w:iCs w:val="1"/>
          <w:color w:val="auto"/>
        </w:rPr>
        <w:t xml:space="preserve">“Risk Factors,” </w:t>
      </w:r>
      <w:r>
        <w:rPr>
          <w:rFonts w:ascii="Times New Roman" w:cs="Times New Roman" w:eastAsia="Times New Roman" w:hAnsi="Times New Roman"/>
          <w:sz w:val="17"/>
          <w:szCs w:val="17"/>
          <w:color w:val="auto"/>
        </w:rPr>
        <w:t>alone or in combination with other events or circumstances, may have a material adverse effect on our business, cash flows, financial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results of operations. Important factors and risks that could cause actual results to differ materially from those in the forward-looking statements include, among others:</w:t>
      </w:r>
    </w:p>
    <w:p>
      <w:pPr>
        <w:spacing w:after="0" w:line="172" w:lineRule="exact"/>
        <w:rPr>
          <w:sz w:val="20"/>
          <w:szCs w:val="20"/>
          <w:color w:val="auto"/>
        </w:rPr>
      </w:pPr>
    </w:p>
    <w:p>
      <w:pPr>
        <w:ind w:left="620" w:hanging="312"/>
        <w:spacing w:after="0" w:line="28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5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and our ability to grow the Company’s business depends on retaining and expanding the Company’s customer base.</w:t>
      </w:r>
    </w:p>
    <w:p>
      <w:pPr>
        <w:spacing w:after="0" w:line="214"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maintain and enhance the Company’s brand and reputation.</w:t>
      </w:r>
    </w:p>
    <w:p>
      <w:pPr>
        <w:spacing w:after="0" w:line="214"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 limited operating history.</w:t>
      </w:r>
    </w:p>
    <w:p>
      <w:pPr>
        <w:spacing w:after="0" w:line="214"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incidents or real or perceived errors, failures or bugs in the Company’s systems or website could impair its business.</w:t>
      </w:r>
    </w:p>
    <w:p>
      <w:pPr>
        <w:spacing w:after="0" w:line="214"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management team has limited experience managing a public company.</w:t>
      </w:r>
    </w:p>
    <w:p>
      <w:pPr>
        <w:spacing w:after="0" w:line="214" w:lineRule="exact"/>
        <w:rPr>
          <w:rFonts w:ascii="Times New Roman" w:cs="Times New Roman" w:eastAsia="Times New Roman" w:hAnsi="Times New Roman"/>
          <w:sz w:val="17"/>
          <w:szCs w:val="17"/>
          <w:color w:val="auto"/>
        </w:rPr>
      </w:pPr>
    </w:p>
    <w:p>
      <w:pPr>
        <w:ind w:left="620" w:right="20" w:hanging="312"/>
        <w:spacing w:after="0" w:line="28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internal controls over financial reporting may not be effective and the Company’s independent registered public accounting firm may not be able to certify as to their effectiveness.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Relating to this Offering</w:t>
      </w:r>
    </w:p>
    <w:p>
      <w:pPr>
        <w:spacing w:after="0" w:line="219" w:lineRule="exact"/>
        <w:rPr>
          <w:sz w:val="20"/>
          <w:szCs w:val="20"/>
          <w:color w:val="auto"/>
        </w:rPr>
      </w:pPr>
    </w:p>
    <w:p>
      <w:pPr>
        <w:ind w:left="620" w:hanging="312"/>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experience immediate dilution in the book value per share of the Common Stock purchased in the offering.</w:t>
      </w:r>
    </w:p>
    <w:p>
      <w:pPr>
        <w:spacing w:after="0" w:line="214"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purchase our securities in this offering, you may experience future dilution as a result of future equity offerings or other equity issuances.</w:t>
      </w:r>
    </w:p>
    <w:p>
      <w:pPr>
        <w:spacing w:after="0" w:line="214"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A substantial number of shares of Common Stock may be sold in the market following this offering, which may depress the market price for our Common Stock.</w:t>
      </w:r>
    </w:p>
    <w:p>
      <w:pPr>
        <w:spacing w:after="0" w:line="247" w:lineRule="exact"/>
        <w:rPr>
          <w:rFonts w:ascii="Times New Roman" w:cs="Times New Roman" w:eastAsia="Times New Roman" w:hAnsi="Times New Roman"/>
          <w:sz w:val="32"/>
          <w:szCs w:val="32"/>
          <w:color w:val="auto"/>
          <w:vertAlign w:val="subscript"/>
        </w:rPr>
      </w:pPr>
    </w:p>
    <w:p>
      <w:pPr>
        <w:ind w:left="620" w:hanging="312"/>
        <w:spacing w:after="0" w:line="185" w:lineRule="auto"/>
        <w:tabs>
          <w:tab w:leader="none" w:pos="620" w:val="left"/>
        </w:tabs>
        <w:numPr>
          <w:ilvl w:val="0"/>
          <w:numId w:val="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We have broad discretion to determine how to use the funds raised in this offering and may use them in ways that may not enhance our operating results or the price of our Common Stock.</w:t>
      </w:r>
    </w:p>
    <w:p>
      <w:pPr>
        <w:spacing w:after="0" w:line="189" w:lineRule="exact"/>
        <w:rPr>
          <w:rFonts w:ascii="Times New Roman" w:cs="Times New Roman" w:eastAsia="Times New Roman" w:hAnsi="Times New Roman"/>
          <w:sz w:val="32"/>
          <w:szCs w:val="32"/>
          <w:color w:val="auto"/>
          <w:vertAlign w:val="subscript"/>
        </w:rPr>
      </w:pPr>
    </w:p>
    <w:p>
      <w:pPr>
        <w:ind w:left="620" w:hanging="312"/>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public market for the Warrants and Pre-Funded Warrants being offered in this offering.</w:t>
      </w:r>
    </w:p>
    <w:p>
      <w:pPr>
        <w:spacing w:after="0" w:line="214" w:lineRule="exact"/>
        <w:rPr>
          <w:rFonts w:ascii="Times New Roman" w:cs="Times New Roman" w:eastAsia="Times New Roman" w:hAnsi="Times New Roman"/>
          <w:sz w:val="17"/>
          <w:szCs w:val="17"/>
          <w:color w:val="auto"/>
        </w:rPr>
      </w:pPr>
    </w:p>
    <w:p>
      <w:pPr>
        <w:ind w:left="620" w:hanging="312"/>
        <w:spacing w:after="0" w:line="185" w:lineRule="auto"/>
        <w:tabs>
          <w:tab w:leader="none" w:pos="620" w:val="left"/>
        </w:tabs>
        <w:numPr>
          <w:ilvl w:val="0"/>
          <w:numId w:val="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The holders of Warrants and Pre-Funded Warrants purchased in this offering will have no rights as common stockholders until such holders exercise their Warrants and Pre-Funded Warrants and acquire shares of our Common Stock, except as set forth in the Warrants and Pre-Funded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should carefully review and consider the risk factors set forth under the section entitled “</w:t>
      </w:r>
      <w:r>
        <w:rPr>
          <w:rFonts w:ascii="Times New Roman" w:cs="Times New Roman" w:eastAsia="Times New Roman" w:hAnsi="Times New Roman"/>
          <w:sz w:val="17"/>
          <w:szCs w:val="17"/>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71393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00"/>
          </w:cols>
          <w:pgMar w:left="440" w:top="555" w:right="4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434"/>
        </w:trPr>
        <w:tc>
          <w:tcPr>
            <w:tcW w:w="2100" w:type="dxa"/>
            <w:vAlign w:val="bottom"/>
            <w:tcBorders>
              <w:top w:val="single" w:sz="8" w:color="auto"/>
              <w:lef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jc w:val="center"/>
              <w:ind w:right="2535"/>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393"/>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Common Stock Offered</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Up to 23,809,523 shares based on the sale of our Common Stock at an assumed combined public offering price of $0.4200 per</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share of common stock, which is the closing price of our Common Stock on January 27, 2026, and assuming no sale of any Pre-</w:t>
            </w:r>
          </w:p>
        </w:tc>
      </w:tr>
      <w:tr>
        <w:trPr>
          <w:trHeight w:val="222"/>
        </w:trPr>
        <w:tc>
          <w:tcPr>
            <w:tcW w:w="2100" w:type="dxa"/>
            <w:vAlign w:val="bottom"/>
            <w:tcBorders>
              <w:left w:val="single" w:sz="8" w:color="auto"/>
            </w:tcBorders>
          </w:tcPr>
          <w:p>
            <w:pPr>
              <w:spacing w:after="0"/>
              <w:rPr>
                <w:sz w:val="19"/>
                <w:szCs w:val="19"/>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Funded Warrants.</w:t>
            </w:r>
          </w:p>
        </w:tc>
      </w:tr>
      <w:tr>
        <w:trPr>
          <w:trHeight w:val="393"/>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Pre-Funded Warrants</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If the issuance of shares of our Common Stock to a purchaser in this offering would result in such purchaser, together with its</w:t>
            </w:r>
          </w:p>
        </w:tc>
      </w:tr>
      <w:tr>
        <w:trPr>
          <w:trHeight w:val="205"/>
        </w:trPr>
        <w:tc>
          <w:tcPr>
            <w:tcW w:w="21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Offered</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affiliates and certain related parties, beneficially owning more than 4.99% (or, at the election of the purchaser, 9.99%) of our</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outstanding common stock following the consummation of this offering or if such purchaser otherwise elects to purchase Pre-</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Funded Warrants, then such purchaser may purchase, if they so choose, in lieu of the shares of our Common Stock that would</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result in such excess ownership, a Pre-Funded Warrant to purchase shares of our Common Stock for a purchase price per share of</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common stock subject to such Pre-Funded Warrant equal to the per share public offering price for the common stock to be sold in</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this offering less $0.0001. Each Pre-Funded Warrant will have an exercise price of $0.0001 per share, will be exercisable upon</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issuance and may be exercised at any time until all of the Pre-Funded Warrants are exercised in full. Purchasers of Pre-Funded</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Warrants will also receive accompanying Warrants as if such purchasers were buying shares of our Common Stock in this</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offering. This prospectus also relates to the offering of the shares of common stock issuable upon exercise of these Pre-Funded</w:t>
            </w:r>
          </w:p>
        </w:tc>
      </w:tr>
      <w:tr>
        <w:trPr>
          <w:trHeight w:val="222"/>
        </w:trPr>
        <w:tc>
          <w:tcPr>
            <w:tcW w:w="2100" w:type="dxa"/>
            <w:vAlign w:val="bottom"/>
            <w:tcBorders>
              <w:left w:val="single" w:sz="8" w:color="auto"/>
            </w:tcBorders>
          </w:tcPr>
          <w:p>
            <w:pPr>
              <w:spacing w:after="0"/>
              <w:rPr>
                <w:sz w:val="19"/>
                <w:szCs w:val="19"/>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Warrants.</w:t>
            </w:r>
          </w:p>
        </w:tc>
      </w:tr>
      <w:tr>
        <w:trPr>
          <w:trHeight w:val="393"/>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Warrants Offered</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Each share of Common Stock or Pre-Funded Warrant is being sold together with one Series A-1 Warrant to purchase one share of</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Common Stock and one Series A-2 Warrant to purchase one share of Common Stock. Each Warrant will have an exercise price</w:t>
            </w:r>
          </w:p>
        </w:tc>
      </w:tr>
      <w:tr>
        <w:trPr>
          <w:trHeight w:val="205"/>
        </w:trPr>
        <w:tc>
          <w:tcPr>
            <w:tcW w:w="2100" w:type="dxa"/>
            <w:vAlign w:val="bottom"/>
            <w:tcBorders>
              <w:left w:val="single" w:sz="8" w:color="auto"/>
            </w:tcBorders>
          </w:tcPr>
          <w:p>
            <w:pPr>
              <w:spacing w:after="0"/>
              <w:rPr>
                <w:sz w:val="17"/>
                <w:szCs w:val="17"/>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w:t>
            </w:r>
          </w:p>
        </w:tc>
        <w:tc>
          <w:tcPr>
            <w:tcW w:w="8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per share and will be exercisable beginning on the effective date of the Warrant Stockholder Approval, provided however,</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if the Pricing Conditions are met, each Warrant will be exercisable upon issuance (the “Initial Exercise Date”). The Series A-1</w:t>
            </w:r>
          </w:p>
        </w:tc>
      </w:tr>
      <w:tr>
        <w:trPr>
          <w:trHeight w:val="201"/>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Warrants will expire on the five-year anniversary of the Initial Exercise Date and the Series A-2 Warrants will expire on the</w:t>
            </w:r>
          </w:p>
        </w:tc>
      </w:tr>
      <w:tr>
        <w:trPr>
          <w:trHeight w:val="205"/>
        </w:trPr>
        <w:tc>
          <w:tcPr>
            <w:tcW w:w="2100" w:type="dxa"/>
            <w:vAlign w:val="bottom"/>
            <w:tcBorders>
              <w:left w:val="single" w:sz="8" w:color="auto"/>
            </w:tcBorders>
          </w:tcPr>
          <w:p>
            <w:pPr>
              <w:spacing w:after="0"/>
              <w:rPr>
                <w:sz w:val="17"/>
                <w:szCs w:val="17"/>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eighteen-month anniversary of the Initial Exercise Date. See the section of this prospectus entitled “</w:t>
            </w:r>
            <w:r>
              <w:rPr>
                <w:rFonts w:ascii="Times New Roman" w:cs="Times New Roman" w:eastAsia="Times New Roman" w:hAnsi="Times New Roman"/>
                <w:sz w:val="17"/>
                <w:szCs w:val="17"/>
                <w:i w:val="1"/>
                <w:iCs w:val="1"/>
                <w:color w:val="auto"/>
              </w:rPr>
              <w:t>Description of Securities We</w:t>
            </w:r>
          </w:p>
        </w:tc>
      </w:tr>
      <w:tr>
        <w:trPr>
          <w:trHeight w:val="226"/>
        </w:trPr>
        <w:tc>
          <w:tcPr>
            <w:tcW w:w="2100" w:type="dxa"/>
            <w:vAlign w:val="bottom"/>
            <w:tcBorders>
              <w:left w:val="single" w:sz="8" w:color="auto"/>
            </w:tcBorders>
          </w:tcPr>
          <w:p>
            <w:pPr>
              <w:spacing w:after="0"/>
              <w:rPr>
                <w:sz w:val="19"/>
                <w:szCs w:val="19"/>
                <w:color w:val="auto"/>
              </w:rPr>
            </w:pP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Are Offering</w:t>
            </w:r>
            <w:r>
              <w:rPr>
                <w:rFonts w:ascii="Times New Roman" w:cs="Times New Roman" w:eastAsia="Times New Roman" w:hAnsi="Times New Roman"/>
                <w:sz w:val="17"/>
                <w:szCs w:val="17"/>
                <w:color w:val="auto"/>
              </w:rPr>
              <w:t>” for additional information.</w:t>
            </w:r>
          </w:p>
        </w:tc>
      </w:tr>
      <w:tr>
        <w:trPr>
          <w:trHeight w:val="393"/>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Assumed Public Offering</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$0.4200 per share</w:t>
            </w:r>
          </w:p>
        </w:tc>
      </w:tr>
      <w:tr>
        <w:trPr>
          <w:trHeight w:val="222"/>
        </w:trPr>
        <w:tc>
          <w:tcPr>
            <w:tcW w:w="21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Price</w:t>
            </w:r>
          </w:p>
        </w:tc>
        <w:tc>
          <w:tcPr>
            <w:tcW w:w="540" w:type="dxa"/>
            <w:vAlign w:val="bottom"/>
          </w:tcPr>
          <w:p>
            <w:pPr>
              <w:spacing w:after="0"/>
              <w:rPr>
                <w:sz w:val="19"/>
                <w:szCs w:val="19"/>
                <w:color w:val="auto"/>
              </w:rPr>
            </w:pPr>
          </w:p>
        </w:tc>
        <w:tc>
          <w:tcPr>
            <w:tcW w:w="8600" w:type="dxa"/>
            <w:vAlign w:val="bottom"/>
            <w:tcBorders>
              <w:right w:val="single" w:sz="8" w:color="auto"/>
            </w:tcBorders>
          </w:tcPr>
          <w:p>
            <w:pPr>
              <w:spacing w:after="0"/>
              <w:rPr>
                <w:sz w:val="19"/>
                <w:szCs w:val="19"/>
                <w:color w:val="auto"/>
              </w:rPr>
            </w:pPr>
          </w:p>
        </w:tc>
      </w:tr>
      <w:tr>
        <w:trPr>
          <w:trHeight w:val="393"/>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Common Stock issued and</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29,273,322 shares of Common Stock (as of September 30, 2025, as adjusted for subsequent issuances of shares of Common</w:t>
            </w:r>
          </w:p>
        </w:tc>
      </w:tr>
      <w:tr>
        <w:trPr>
          <w:trHeight w:val="205"/>
        </w:trPr>
        <w:tc>
          <w:tcPr>
            <w:tcW w:w="21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outstanding prior to the</w:t>
            </w:r>
          </w:p>
        </w:tc>
        <w:tc>
          <w:tcPr>
            <w:tcW w:w="91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Stock pursuant to the ELOC Agreement)</w:t>
            </w:r>
          </w:p>
        </w:tc>
      </w:tr>
      <w:tr>
        <w:trPr>
          <w:trHeight w:val="222"/>
        </w:trPr>
        <w:tc>
          <w:tcPr>
            <w:tcW w:w="21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Offering</w:t>
            </w:r>
          </w:p>
        </w:tc>
        <w:tc>
          <w:tcPr>
            <w:tcW w:w="540" w:type="dxa"/>
            <w:vAlign w:val="bottom"/>
          </w:tcPr>
          <w:p>
            <w:pPr>
              <w:spacing w:after="0"/>
              <w:rPr>
                <w:sz w:val="19"/>
                <w:szCs w:val="19"/>
                <w:color w:val="auto"/>
              </w:rPr>
            </w:pPr>
          </w:p>
        </w:tc>
        <w:tc>
          <w:tcPr>
            <w:tcW w:w="8600" w:type="dxa"/>
            <w:vAlign w:val="bottom"/>
            <w:tcBorders>
              <w:right w:val="single" w:sz="8" w:color="auto"/>
            </w:tcBorders>
          </w:tcPr>
          <w:p>
            <w:pPr>
              <w:spacing w:after="0"/>
              <w:rPr>
                <w:sz w:val="19"/>
                <w:szCs w:val="19"/>
                <w:color w:val="auto"/>
              </w:rPr>
            </w:pPr>
          </w:p>
        </w:tc>
      </w:tr>
      <w:tr>
        <w:trPr>
          <w:trHeight w:val="207"/>
        </w:trPr>
        <w:tc>
          <w:tcPr>
            <w:tcW w:w="2100" w:type="dxa"/>
            <w:vAlign w:val="bottom"/>
            <w:tcBorders>
              <w:left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0" w:type="dxa"/>
            <w:vAlign w:val="bottom"/>
            <w:tcBorders>
              <w:bottom w:val="single" w:sz="8" w:color="auto"/>
              <w:right w:val="single" w:sz="8" w:color="auto"/>
            </w:tcBorders>
          </w:tcPr>
          <w:p>
            <w:pPr>
              <w:spacing w:after="0"/>
              <w:rPr>
                <w:sz w:val="18"/>
                <w:szCs w:val="18"/>
                <w:color w:val="auto"/>
              </w:rPr>
            </w:pPr>
          </w:p>
        </w:tc>
      </w:tr>
      <w:tr>
        <w:trPr>
          <w:trHeight w:val="624"/>
        </w:trPr>
        <w:tc>
          <w:tcPr>
            <w:tcW w:w="2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jc w:val="right"/>
              <w:ind w:right="5495"/>
              <w:spacing w:after="0"/>
              <w:rPr>
                <w:sz w:val="20"/>
                <w:szCs w:val="20"/>
                <w:color w:val="auto"/>
              </w:rPr>
            </w:pPr>
            <w:r>
              <w:rPr>
                <w:rFonts w:ascii="Times New Roman" w:cs="Times New Roman" w:eastAsia="Times New Roman" w:hAnsi="Times New Roman"/>
                <w:sz w:val="17"/>
                <w:szCs w:val="17"/>
                <w:color w:val="auto"/>
              </w:rPr>
              <w:t>6</w:t>
            </w:r>
          </w:p>
        </w:tc>
      </w:tr>
    </w:tbl>
    <w:p>
      <w:pPr>
        <w:sectPr>
          <w:pgSz w:w="11900" w:h="16838" w:orient="portrait"/>
          <w:cols w:equalWidth="0" w:num="1">
            <w:col w:w="11240"/>
          </w:cols>
          <w:pgMar w:left="320" w:top="3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Common Stock issued and</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outstanding after the</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Offering</w:t>
      </w:r>
    </w:p>
    <w:p>
      <w:pPr>
        <w:spacing w:after="0" w:line="20" w:lineRule="exact"/>
        <w:rPr>
          <w:sz w:val="20"/>
          <w:szCs w:val="20"/>
          <w:color w:val="auto"/>
        </w:rPr>
      </w:pPr>
      <w:r>
        <w:rPr>
          <w:sz w:val="20"/>
          <w:szCs w:val="20"/>
          <w:color w:val="auto"/>
        </w:rPr>
        <w:br w:type="column"/>
      </w:r>
    </w:p>
    <w:p>
      <w:pPr>
        <w:ind w:right="20"/>
        <w:spacing w:after="0" w:line="284" w:lineRule="auto"/>
        <w:rPr>
          <w:sz w:val="20"/>
          <w:szCs w:val="20"/>
          <w:color w:val="auto"/>
        </w:rPr>
      </w:pPr>
      <w:r>
        <w:rPr>
          <w:rFonts w:ascii="Times New Roman" w:cs="Times New Roman" w:eastAsia="Times New Roman" w:hAnsi="Times New Roman"/>
          <w:sz w:val="17"/>
          <w:szCs w:val="17"/>
          <w:color w:val="auto"/>
        </w:rPr>
        <w:t>53,082,845 shares of Common Stock (assuming the full exercise of any Pre-Funded Warrants issued in this offering and no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-1418590</wp:posOffset>
            </wp:positionH>
            <wp:positionV relativeFrom="paragraph">
              <wp:posOffset>-427355</wp:posOffset>
            </wp:positionV>
            <wp:extent cx="7135495" cy="4204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420497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1820" w:space="300"/>
            <w:col w:w="8880"/>
          </w:cols>
          <w:pgMar w:left="440" w:top="559" w:right="45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for working capital and general corporate purposes. See “</w:t>
      </w:r>
      <w:r>
        <w:rPr>
          <w:rFonts w:ascii="Times New Roman" w:cs="Times New Roman" w:eastAsia="Times New Roman" w:hAnsi="Times New Roman"/>
          <w:sz w:val="17"/>
          <w:szCs w:val="17"/>
          <w:i w:val="1"/>
          <w:iCs w:val="1"/>
          <w:color w:val="auto"/>
        </w:rPr>
        <w:t>Use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Proceeds</w:t>
      </w:r>
      <w:r>
        <w:rPr>
          <w:rFonts w:ascii="Times New Roman" w:cs="Times New Roman" w:eastAsia="Times New Roman" w:hAnsi="Times New Roman"/>
          <w:sz w:val="17"/>
          <w:szCs w:val="17"/>
          <w:color w:val="auto"/>
        </w:rPr>
        <w:t>” on page 49 of this prospectus.</w:t>
      </w:r>
    </w:p>
    <w:p>
      <w:pPr>
        <w:spacing w:after="0" w:line="149" w:lineRule="exact"/>
        <w:rPr>
          <w:sz w:val="20"/>
          <w:szCs w:val="20"/>
          <w:color w:val="auto"/>
        </w:rPr>
      </w:pPr>
    </w:p>
    <w:p>
      <w:pPr>
        <w:sectPr>
          <w:pgSz w:w="11900" w:h="16838" w:orient="portrait"/>
          <w:cols w:equalWidth="0" w:num="2">
            <w:col w:w="1400" w:space="720"/>
            <w:col w:w="8880"/>
          </w:cols>
          <w:pgMar w:left="440" w:top="559"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0"/>
        <w:spacing w:after="0" w:line="284" w:lineRule="auto"/>
        <w:rPr>
          <w:sz w:val="20"/>
          <w:szCs w:val="20"/>
          <w:color w:val="auto"/>
        </w:rPr>
      </w:pPr>
      <w:r>
        <w:rPr>
          <w:rFonts w:ascii="Times New Roman" w:cs="Times New Roman" w:eastAsia="Times New Roman" w:hAnsi="Times New Roman"/>
          <w:sz w:val="17"/>
          <w:szCs w:val="17"/>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sectPr>
          <w:pgSz w:w="11900" w:h="16838" w:orient="portrait"/>
          <w:cols w:equalWidth="0" w:num="2">
            <w:col w:w="1400" w:space="720"/>
            <w:col w:w="8880"/>
          </w:cols>
          <w:pgMar w:left="440" w:top="559"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Nasdaq ticker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Common Stock: DAIC</w:t>
      </w:r>
    </w:p>
    <w:p>
      <w:pPr>
        <w:spacing w:after="0" w:line="200" w:lineRule="exact"/>
        <w:rPr>
          <w:sz w:val="20"/>
          <w:szCs w:val="20"/>
          <w:color w:val="auto"/>
        </w:rPr>
      </w:pPr>
    </w:p>
    <w:p>
      <w:pPr>
        <w:sectPr>
          <w:pgSz w:w="11900" w:h="16838" w:orient="portrait"/>
          <w:cols w:equalWidth="0" w:num="2">
            <w:col w:w="1560" w:space="560"/>
            <w:col w:w="8880"/>
          </w:cols>
          <w:pgMar w:left="440" w:top="559" w:right="459" w:bottom="1440" w:gutter="0" w:footer="0" w:header="0"/>
          <w:type w:val="continuous"/>
        </w:sectPr>
      </w:pPr>
    </w:p>
    <w:p>
      <w:pPr>
        <w:spacing w:after="0" w:line="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Warrants: DAICW</w:t>
      </w:r>
    </w:p>
    <w:p>
      <w:pPr>
        <w:spacing w:after="0" w:line="215" w:lineRule="exact"/>
        <w:rPr>
          <w:sz w:val="20"/>
          <w:szCs w:val="20"/>
          <w:color w:val="auto"/>
        </w:rPr>
      </w:pPr>
    </w:p>
    <w:p>
      <w:pPr>
        <w:jc w:val="both"/>
        <w:ind w:left="2120" w:right="20"/>
        <w:spacing w:after="0" w:line="268" w:lineRule="auto"/>
        <w:rPr>
          <w:sz w:val="20"/>
          <w:szCs w:val="20"/>
          <w:color w:val="auto"/>
        </w:rPr>
      </w:pPr>
      <w:r>
        <w:rPr>
          <w:rFonts w:ascii="Times New Roman" w:cs="Times New Roman" w:eastAsia="Times New Roman" w:hAnsi="Times New Roman"/>
          <w:sz w:val="17"/>
          <w:szCs w:val="17"/>
          <w:color w:val="auto"/>
        </w:rPr>
        <w:t>There is no established trading market for the Warrants or Pre-Funded Warrants and we do not expect a market to develop. In addition, we do not intend to apply for the listing of the Warrants or Pre-Funded Warrants on any national securities exchange or other trading market. Without an active trading market, the liquidity of the Warrants and Pre-Funded Warrants will be limited.</w:t>
      </w:r>
    </w:p>
    <w:p>
      <w:pPr>
        <w:sectPr>
          <w:pgSz w:w="11900" w:h="16838" w:orient="portrait"/>
          <w:cols w:equalWidth="0" w:num="1">
            <w:col w:w="11000"/>
          </w:cols>
          <w:pgMar w:left="440" w:top="559" w:right="459" w:bottom="1440" w:gutter="0" w:footer="0" w:header="0"/>
          <w:type w:val="continuous"/>
        </w:sectPr>
      </w:pPr>
    </w:p>
    <w:p>
      <w:pPr>
        <w:spacing w:after="0" w:line="16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foregoing discussion and tables above are based on 29,273,322 shares of Common Stock outstanding as of September 30, 2025, adjusted for subsequent issuances disclosed in this prospectus, and excludes:</w:t>
      </w:r>
    </w:p>
    <w:p>
      <w:pPr>
        <w:spacing w:after="0" w:line="153" w:lineRule="exact"/>
        <w:rPr>
          <w:sz w:val="20"/>
          <w:szCs w:val="20"/>
          <w:color w:val="auto"/>
        </w:rPr>
      </w:pPr>
    </w:p>
    <w:p>
      <w:pPr>
        <w:ind w:left="640" w:hanging="306"/>
        <w:spacing w:after="0" w:line="185" w:lineRule="auto"/>
        <w:tabs>
          <w:tab w:leader="none" w:pos="640" w:val="left"/>
        </w:tabs>
        <w:numPr>
          <w:ilvl w:val="0"/>
          <w:numId w:val="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1,797,840 shares of our Common Stock issuable upon the exercise of vested stock options as of September 30, 2025, with a weighted-average exercise price of $0.1008 per share;</w:t>
      </w:r>
    </w:p>
    <w:p>
      <w:pPr>
        <w:spacing w:after="0" w:line="189" w:lineRule="exact"/>
        <w:rPr>
          <w:rFonts w:ascii="Times New Roman" w:cs="Times New Roman" w:eastAsia="Times New Roman" w:hAnsi="Times New Roman"/>
          <w:sz w:val="32"/>
          <w:szCs w:val="32"/>
          <w:color w:val="auto"/>
          <w:vertAlign w:val="subscript"/>
        </w:rPr>
      </w:pPr>
    </w:p>
    <w:p>
      <w:pPr>
        <w:ind w:left="640" w:hanging="306"/>
        <w:spacing w:after="0" w:line="185" w:lineRule="auto"/>
        <w:tabs>
          <w:tab w:leader="none" w:pos="640" w:val="left"/>
        </w:tabs>
        <w:numPr>
          <w:ilvl w:val="0"/>
          <w:numId w:val="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15,654,983 shares of our Common Stock issuable upon the exercise of outstanding warrants as of September 30, 2025, with a weighted-average exercise price of $11.50 per share; and</w:t>
      </w:r>
    </w:p>
    <w:p>
      <w:pPr>
        <w:spacing w:after="0" w:line="202" w:lineRule="exact"/>
        <w:rPr>
          <w:rFonts w:ascii="Times New Roman" w:cs="Times New Roman" w:eastAsia="Times New Roman" w:hAnsi="Times New Roman"/>
          <w:sz w:val="32"/>
          <w:szCs w:val="32"/>
          <w:color w:val="auto"/>
          <w:vertAlign w:val="subscript"/>
        </w:rPr>
      </w:pPr>
    </w:p>
    <w:p>
      <w:pPr>
        <w:ind w:left="64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230,770 shares of our Common Stock issuable upon the exercise of outstanding warrants as of December 31, 2025, with a weighted-average exercise</w:t>
      </w:r>
    </w:p>
    <w:p>
      <w:pPr>
        <w:spacing w:after="0" w:line="26" w:lineRule="exact"/>
        <w:rPr>
          <w:rFonts w:ascii="Times New Roman" w:cs="Times New Roman" w:eastAsia="Times New Roman" w:hAnsi="Times New Roman"/>
          <w:sz w:val="32"/>
          <w:szCs w:val="32"/>
          <w:color w:val="auto"/>
          <w:vertAlign w:val="subscript"/>
        </w:rPr>
      </w:pPr>
    </w:p>
    <w:p>
      <w:pPr>
        <w:ind w:left="640" w:hanging="306"/>
        <w:spacing w:after="0" w:line="263"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of $1.69 per share, subject to adjustments in the event of certain stock dividends and distributions, stock splits, stock combinations, reclassifications or similar events affecting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71393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00"/>
          </w:cols>
          <w:pgMar w:left="440" w:top="559" w:right="45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We believe that the proceeds of this offering, combined with our limited funds currently on hand, will only be sufficient for us to operate for a relatively limited amount of time. Since we will be unable to generate sufficient funds, if any, to fund our operations for at least several years, we will need to seek additional equity or debt financing to provide the capital required to implement our business plan. If we are unable to raise capital, we could be required to seek bankruptcy protection or other alternatives that would likely result in our securityholders losing some or all of their investment in us.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believe that the proceeds of this offering, combined with our limited funds currently on hand, will only be sufficient for us to operate for a relatively limited amount of time. Since we will be unable to generate sufficient, if any, revenue or cash flow to fund our operations for at least several years, we will need to seek additional equity or debt financing to provide the capital required to implement our business plan.</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Additionally, this offering is being made on a “best efforts” basis and we may sell fewer than all of the securities offered hereby and may receive significantly less in net proceeds from this offering, which will provide us only limited working capital. We believe that the net proceeds from this offering, together with our existing cash and cash equivalents, will meet our capital needs for the next six to nine months under our current business plan. Without giving effect to the receipt of any proceeds from this offering, we currently estimate that our existing cash and cash equivalents are sufficient to fund business operations into the first quarter of 2026.</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do not currently have any arrangements or credit facilities in place as a source of funds. There can be no assurance that we will be able to raise sufficient additional capital on acceptable terms, or at all. If such financing is not available on satisfactory terms, or is not available at all, we may be required to further delay, scale back or eliminate the development of business opportunities and our operations and financial condition may be materially adversely affected. Furthermore, if we are unable to raise capital, we could be required to seek bankruptcy protection or other alternatives that would likely result in our securityholders losing some or all of their investment in us. This is a reasonable best efforts offering, no minimum amount of securities is required to be sold, and we may not raise the amount of capital we believe is required for our business plans, including our near-term business plans.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will experience immediate dilution in the book value per share of the Common Stock purchased in the offering.</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Since the public offering price of our Common Stock in this offering is substantially higher than the net tangible book value per share of our outstanding Common Stock outstanding prior to this offering, you will suffer dilution in the book value of the Common Stock you purchase in this offering. The shares of Common Stock sold in this offering, if any, will be sold from time to time at various prices. After giving effect to the sale of our Common Stock in the aggregate offering amount of $10.0 million at an assumed public offering price of $0.4200 per share, and after deducting estimated offering commissions and expenses payable by us, you would suffer immediate dilution of $0.28 per share in the net tangible book value of the Common Stock. See the section titled “</w:t>
      </w:r>
      <w:r>
        <w:rPr>
          <w:rFonts w:ascii="Times New Roman" w:cs="Times New Roman" w:eastAsia="Times New Roman" w:hAnsi="Times New Roman"/>
          <w:sz w:val="17"/>
          <w:szCs w:val="17"/>
          <w:i w:val="1"/>
          <w:iCs w:val="1"/>
          <w:color w:val="auto"/>
        </w:rPr>
        <w:t>Dilution</w:t>
      </w:r>
      <w:r>
        <w:rPr>
          <w:rFonts w:ascii="Times New Roman" w:cs="Times New Roman" w:eastAsia="Times New Roman" w:hAnsi="Times New Roman"/>
          <w:sz w:val="17"/>
          <w:szCs w:val="17"/>
          <w:color w:val="auto"/>
        </w:rPr>
        <w:t>” for a more detailed discussion of the dilution you will incur if you purchase shares in this offering.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If you purchase our securities in this offering you may experience future dilution as a result of future equity offerings or other equity issuances.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will likely offer and issue additional shares of our Common Stock or other equity or convertible debt securities in order to raise additional capital. Future equity offerings or other equity issuances may be at a price per share that is equal to or greater than the price per share paid by investors in this offering. Future investors in such offerings may have rights superior to existing stockholders, and the price per share at which we sell additional shares of Common Stock or other equity or convertible debt securities in future transactions may be at a higher or lower price per share than the price per share in this offering.</w:t>
      </w:r>
    </w:p>
    <w:p>
      <w:pPr>
        <w:spacing w:after="0" w:line="16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A substantial number of shares of Common Stock may be sold in the market following this offering, which may depress the market price for our Common Stock.</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securities offered hereby will be freely tradable without restriction or further registration under the Securities Act of 1933, as amended (the “Securities Act”). Sales of a substantial number of shares of our Common Stock in the public market following this offering, or the perception that such sales could occur, could cause the market price of our Common Stock to decline.</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management will have broad discretion over the use of net proceeds from this offering, and we could spend the net proceeds from this offering in ways our stockholders may not agree with or that do not yield a favorable return, if at all. We currently expect to use the net proceeds from this offering for working capital and general corporate purposes, including costs and expenses associated with being a public company. However, our use of these net proceeds may differ substantially from our current plans. If we do not invest or apply the net proceeds of this offering in ways that improve our operating results,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FINRA sales practice requirements may limit a stockholder’s ability to buy and sell our securities.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FINRA “suitability rules.”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the investment is in the customer’s “best interest” and meet other SEC requirements. Both SEC Regulation Best Interest and FINRA’s suitability requirements may make it more difficult for broker-dealers to recommend that their customers buy speculative, low-priced securities. They may affect investing in our Common Stock, which may have the effect of reducing the level of trading activity in our securities. As a result, fewer broker-dealers may be willing to make a market in our Common Stock, reducing a stockholder’s ability to resell our Common Stock.</w:t>
      </w:r>
    </w:p>
    <w:p>
      <w:pPr>
        <w:spacing w:after="0" w:line="1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Purchasers who purchase our securities in this offering pursuant to a securities purchase agreement may have rights not available to purchasers that purchase without the benefit of a securities purchase agreement.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 including, but not limited to: (i) timely delivery of shares; (ii) agreement to not enter into variable rate financings for one year from closing, subject to certain exceptions; (iii) agreement to not enter into any financings for 45 days from closing, subject to certain exceptions; and (iv) indemnification for breach of contract.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the Warrants and Pre-Funded Warrants being offered in this offering.</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There is no established public trading market for the Warrants and Pre-Funded Warrants being offered in this offering, and we do not expect a market to develop. In addition, we do not intend to apply to list the Warrants or Pre-Funded Warrants on any securities exchange or nationally recognized trading system, including the Nasdaq Capital Market. Without an active market, the liquidity of the Warrants or Pre-Funded Warrants will be limited.</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holders of Warrants and Pre-Funded Warrants purchased in this offering will have no rights as common stockholders until such holders exercise their Warrants or Pre-Funded Warrants and acquire shares of our Common Stock, except as set forth in the Warrants and Pre-Funded Warrants.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Until a holder of Warrants and Pre-Funded Warrants acquires the shares of Common Stock upon exercise of the Warrants and Pre-Funded Warrants, as the case may be, such holder will have no rights with respect to the shares of Common Stock underlying such Warrants and Pre-Funded Warrants, except as set forth in the Warrants and Pre-Funded Warrants. Upon exercise of the Warrants and Pre-Funded Warrants, holders will be entitled to exercise the rights of common stockholders only as to matters for which the record date occurs after the exercise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Warrants are speculative in nature.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Warrants do not confer any rights of Common Stock ownership on their holders, such as voting rights, but rather merely represent the right to acquire shares of Common Stock at a fixed price for a limited period of time. There can be no assurance that the market price of the Common Stock will ever equal or exceed the exercise price of the Warrants, and consequently, it may not ever be profitable for holders of the Warrants to exercise the Warrants.</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Warrants are not exercisable until stockholder approval, provided however, if the Pricing Conditions are met, the Warrants will be exercisable upon issuance.</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Warrants will have an exercise price of $ per share and will be exercisable beginning on the effective date of the Warrant Stockholder Approval, provided, however, if the Pricing Conditions are met, the Warrants will be exercisable on the Initial Exercise Date. While we intend to promptly seek Warrant Stockholder Approval, there is no guarantee that the Warrant Stockholder Approval will ever be obtained. If we are unable to obtain the Warrant Stockholder Approval, the Warrants may have no value.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for our Common Stock has been volatile and may continue to fluctuate or may decline significantly in the future.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 active, liquid and orderly market for our Common Stock may not be sustained, which could depress the trading price of our Common Stock or cause it to continue to be highly volatile or subject to wide fluctuations. Some of the factors that could negatively affect our share price or result in fluctuations in the price or trading volume of our Common Stock include, among other things:</w:t>
      </w:r>
    </w:p>
    <w:p>
      <w:pPr>
        <w:spacing w:after="0" w:line="166" w:lineRule="exact"/>
        <w:rPr>
          <w:sz w:val="20"/>
          <w:szCs w:val="20"/>
          <w:color w:val="auto"/>
        </w:rPr>
      </w:pPr>
    </w:p>
    <w:p>
      <w:pPr>
        <w:ind w:left="620" w:hanging="310"/>
        <w:spacing w:after="0" w:line="28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limited number of joint design manufacturers and suppliers, component shortages or cost increases, and device quality or recall issues, including firmware update risks, could adversely affect deployments, revenue timing, margins, and investor perceptions.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cloud platform performance, network outages, and cybersecurity or data incidents could harm customer trust and our results, which could impact our stock price.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8" w:name="page19"/>
    <w:bookmarkEnd w:id="18"/>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cycles are long and our pipeline is immature; revenue forecasts may be volatile, and results may vary significantly period to period.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complex and evolving regulatory requirements, including privacy and data protection, FCC/telecom rules, export controls and sanctions, environmental requirements (including conflict minerals), and developing AI regulation, any of which could increase costs or constrain our offerings.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activities and operations in Puerto Rico expose us to additional risks, including disasters, geopolitical events, currency fluctuations, and differing legal regimes.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technology and open-source software and face intellectual property risks that could lead to disputes, licensing costs, product changes, or service interruptions.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our existing financings and potential future equity or debt issuances, as well as outstanding and potential new warrants, could result in dilution, selling pressure, or perceived overhang, adversely affecting our stock price.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This is a “best efforts” offering, no minimum amount of securities is required to be sold, and we may not raise the amount of capital we believe is required for our business plans, including our near-term business plans.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herein.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Thus, we may not raise the amount of capital we believe is required for our operations in the short-term and may need to raise additional funds to complete such short-term operations. Such additional fundraises may not be available on terms acceptable to us, or at all.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1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quarter ended September 30, 2025, we identified the material weakness in our internal control over financial reporting related to the following as of September 30, 2025:</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Costs of Goods Sold</w:t>
      </w:r>
      <w:r>
        <w:rPr>
          <w:rFonts w:ascii="Times New Roman" w:cs="Times New Roman" w:eastAsia="Times New Roman" w:hAnsi="Times New Roman"/>
          <w:sz w:val="17"/>
          <w:szCs w:val="17"/>
          <w:color w:val="auto"/>
        </w:rPr>
        <w:t>. During the preparation of financial statements for the quarter ended June 30, 2025, management identified multiple costs that were improperly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cost of goods sold in the quarter ended March 31, 2025, as well as for the three and nine months ended September 30, 2024, as disclosed in Note 4 of the condensed consolidated financial statements included elsewhere in this prospectus. The root cause of the error was a lack of preventative control designed to ensure proper categorization of expenses on purchase orders generated by our operating departments. In addition, the Company lacked detective controls to ensure finance management reviewed period-over-period changes in cost of goods sold relative to budgeted and actual production levels. As a result of these control deficiencies, cost of goods sold was overstated by $310,160 for the three months ended March 31, 2025, with a corresponding understatement of total operating expenses, and by $137,204 for the three and nine months ended September 30, 2024, also with a corresponding understatement of total operating expenses. See Note 4 of the condensed consolidated financial statements (unaudited) included elsewhere in this prospectus.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Accounting Personnel and Financial Reporting Controls</w:t>
      </w:r>
      <w:r>
        <w:rPr>
          <w:rFonts w:ascii="Times New Roman" w:cs="Times New Roman" w:eastAsia="Times New Roman" w:hAnsi="Times New Roman"/>
          <w:sz w:val="17"/>
          <w:szCs w:val="17"/>
          <w:color w:val="auto"/>
        </w:rPr>
        <w:t>. Management also identified that the Company does not currently have adequate staffing in its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department and has not yet designed and implemented the appropriate processes and internal controls to support accurate and timely financial reporting, which (i) may restrict the Company’s ability to review and approve certain material journal entries which increases the likelihood that a material misstatement of interim or annual financial statements might not be prevented; and (ii) resulted in the Company’s inability to have proper segregation of duties between the preparation, review and approval of certain material reconciliations related to financial reporting in a timely manner.</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Fair Value Calculation Controls</w:t>
      </w:r>
      <w:r>
        <w:rPr>
          <w:rFonts w:ascii="Times New Roman" w:cs="Times New Roman" w:eastAsia="Times New Roman" w:hAnsi="Times New Roman"/>
          <w:sz w:val="17"/>
          <w:szCs w:val="17"/>
          <w:color w:val="auto"/>
        </w:rPr>
        <w:t>. In addition, management identified a material weaknesses in the design of internal controls related to the review of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calculation of SAFE notes performed by a third-party valuation specialist. The controls lacked the precision needed to detect inappropriate inputs that could materially impact valuation.</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a result of the identified material weakness, our management concluded that our internal controls over financial reporting was not effective as of September 30, 2025. The Company is actively working to develop and implement remediation plans related to the material weakness identified. Remediation efforts include enhancing the design and implementation of controls over the accounting for financial instruments and hiring additional qualified accounting personnel.</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17"/>
          <w:szCs w:val="17"/>
          <w:color w:val="auto"/>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September 30, 2025, we had cash of $1,418,834 and working capital deficit of $5,404,007.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Operations—Liquidity and Capital Resources—Funding Requirements and Going Concern.” The financial statements contained elsewhere in this prospectus do not include any adjustments that might result from our inability to consummate this offering or our inability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rapid growth makes it difficult to evaluate our future prospects and increases the risk that we will not continue to grow at or near historical rates.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largely a pre-revenue company, with revenue of $172,661 and $439,640 for the fiscal years ended December 31, 2024 and 2023, respectively, and revenue of $1,257,813 and $183,631 for the nine-month periods ended September 30,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the growth of our business in new use cases.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Historically, most of our revenue has been derived from sales relating to research and development activities, including proof of concept demonstrations. In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effectively manage our growth, our business and results of operations could be harmed.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quarter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attract new customers, our future revenue and results of operations will be harmed.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66" w:lineRule="exact"/>
        <w:rPr>
          <w:sz w:val="20"/>
          <w:szCs w:val="20"/>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customers’ commitments to or preferences for their existing vendors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switching costs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customers’ inexperience with or reluctance to adopt our solutions in their physical operations;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help potential customers successfully deploy and use our solutions;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develop or expand relationships with existing partners or to attract new partners;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expand into new markets;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expand, retain, and motivate our engineering and research and development, sales and marketing, and other personnel;</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new, or the amendment of existing, laws, rules, or regulations that negatively impact the utility of, or that require difficult-to-implement changes to, our solutions; and</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macroeconomic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our efforts to attract new customers are not successful, our business, financial condition, and results of operations will suffer.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retain and expand our relationships with existing customers, our financial position and results of operations will be harmed.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business segment utilizing our solution or an economic downturn affecting their industry. A decrease in our renewal rate would have an adverse effect on our business, financial condition, and results of operations.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estimates of market opportunity and forecasts of market growth included in this prospectus may prove to be inaccurate.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execute our strategic initiatives or meet our long-term financial goals.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3" w:name="page24"/>
    <w:bookmarkEnd w:id="23"/>
    <w:p>
      <w:pPr>
        <w:ind w:right="120" w:firstLine="43"/>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dependence on a key supplier in Israel and the possibility of having to switch suppliers may adversely affect our results of operations.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sales pipeline is immature, and as such, revenue forecasts and projections are likely to be unstable through fiscal year 2025 and into fiscal year 2026.</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2025 and into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4" w:name="page25"/>
    <w:bookmarkEnd w:id="24"/>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length of our sales cycle can be unpredictable, particularly with respect to sales to large customers, and our sales efforts may require considerable time and expense.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1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5" w:name="page26"/>
    <w:bookmarkEnd w:id="25"/>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6" w:name="page27"/>
    <w:bookmarkEnd w:id="26"/>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grow our business is dependent in part on strategic relationships we develop and maintain with third parties.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subscription or pricing models could adversely affect our business, financial condition and results of operations.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7"/>
          <w:szCs w:val="17"/>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66" w:lineRule="exact"/>
        <w:rPr>
          <w:sz w:val="20"/>
          <w:szCs w:val="20"/>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particularly large customers;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expand our relationships with existing customers;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our business domestically and internationally;</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gain new channel partners and retain existing channel partners;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employees and other qualified personnel;</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growth rate of the overall market that our solution addresses;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mix of our revenue;</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performance degradation of our cloud service;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security or cybersecurity breaches;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 and regulations affecting our and our customers’ businesses or product requirements;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in the number of subscriptions or pricing changes upon any renewals of customer agreements;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budgeting cycles and purchasing practices of customers;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by potential customers to purchase alternative solutions from other vendors;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Insolvency or credit difficulties confronting our customers, which could adversely affect their ability to purchase or pay for a subscription to use our solution;</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potential outcomes of future litigation or other disputes;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overall effective tax rate, including impacts caused by any reorganization in our corporate tax structure and any new legislation or regulatory developments;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stock-based compensation expense;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(such as tariffs and duties) and import or export licensing requirements;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timing and success in introducing new features and Applications to the market, including integrations of our solution with additional third-party software and devices;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our competitors or any other change in the competitive dynamics of our industry, including consolidation among competitors, customers or strategic partners;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and realize the anticipated benefits of any future acquisitions of businesses, solutions, or technologies;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the development or acquisition of businesses, solutions, or technologies and potential future charges for impairment of goodwill from acquired companies; or</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described in this prospectus.</w:t>
      </w:r>
    </w:p>
    <w:p>
      <w:pPr>
        <w:spacing w:after="0" w:line="2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exposed to risks related to third-party financing of our customers’ subscriptions to our Dot Cloud SaaS platform.</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and expand our business if we are not able to hire, retain and manage qualified personnel, and in particular, our key personnel.</w:t>
      </w: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maintain and enhance our brand, our business, financial condition, and results of operations may be harmed.</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maintain our company culture as we grow, our success and our business and competitive position may be harmed.</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1" w:name="page32"/>
    <w:bookmarkEnd w:id="31"/>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2" w:name="page33"/>
    <w:bookmarkEnd w:id="32"/>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generate sufficient cash to service our indebtedness, and the terms of our new senior secured convertible facility could materially and adversely affect us.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7"/>
          <w:szCs w:val="17"/>
          <w:color w:val="auto"/>
        </w:rPr>
        <w:t>As we launch our first family of hardware products, there is a heightened risk of product quality issues. As such, 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Our experienced team is working to mitigate any product quality issues but despite best efforts, it is historically most likely that issues will arise during this initial launch and stabilization period which extends through fiscal year 2025.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currency exchange rates fluctuate substantially in the future, the results of our operations, which are reported in U.S. dollars, could be adversely affected.</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1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materially and adversely impacted by U.S. and global market and economic conditions adverse to industries that depend on physical operations.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Business disruptions could have serious adverse consequences on our future revenue and financial condition and result in losses that may not be covered by insurance.</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operations are international in scope, and we plan further geographic expansion, creating a variety of operational challenges.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Our current and future international business and operations involve a variety of risks, including:</w:t>
      </w:r>
    </w:p>
    <w:p>
      <w:pPr>
        <w:spacing w:after="0" w:line="215" w:lineRule="exact"/>
        <w:rPr>
          <w:sz w:val="20"/>
          <w:szCs w:val="20"/>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slower than anticipated availability and adoption of cloud and hybrid infrastructures by international businesses;</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65"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adapt and localize our solution for specific countries;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difficulty collecting accounts receivable, longer sales and payment cycles, and different pricing environments;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labor regulations, including with respect to wage and hour laws, that make it harder to do business in certain regions such as Europe;</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a business in new markets with diverse cultures, languages, customs, legal systems, alternative dispute systems, and regulatory systems;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travel, real estate, infrastructure, legal and compliance costs associated with international operations;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 and the resulting effect on our revenue and expenses, and the cost and risk of entering into hedging transactions if we chose to do so in the future;</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reinvest earnings from operations in one country to fund the capital needs of our operations in other countries;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 or general market preferences for local vendors;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or terrorist activities;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burdens of complying with U.S. and non-U.S. export control laws and regulations, including Export Administration Regulations (EAR); or</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burdens of complying with laws and regulations related to taxation; and regulations, adverse tax burdens, and foreign exchange controls that could make it difficult to repatriate earnings and cash.</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we invest substantial time and resources to further expand our international operations and are unable to do so successfully and in a timely manner, our business and results of operations will suffer.</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entered into, or expect to enter into, various arrangements with our subsidiary in Puerto Rico regarding the intercompany provision of services.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Applicable taxing authorities could challenge the prices for these services.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Legal, Regulatory or Compliance Risks</w:t>
      </w:r>
    </w:p>
    <w:p>
      <w:pPr>
        <w:spacing w:after="0" w:line="21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could be adversely affected by changes in applicable tax laws, regulations, or administrative interpretations thereof. For example, the U.S. federal tax legislation commonly referred to as the Tax Cuts and Jobs Act (the “</w:t>
      </w:r>
      <w:r>
        <w:rPr>
          <w:rFonts w:ascii="Times New Roman" w:cs="Times New Roman" w:eastAsia="Times New Roman" w:hAnsi="Times New Roman"/>
          <w:sz w:val="17"/>
          <w:szCs w:val="17"/>
          <w:b w:val="1"/>
          <w:bCs w:val="1"/>
          <w:i w:val="1"/>
          <w:iCs w:val="1"/>
          <w:color w:val="auto"/>
        </w:rPr>
        <w:t>TCJA</w:t>
      </w:r>
      <w:r>
        <w:rPr>
          <w:rFonts w:ascii="Times New Roman" w:cs="Times New Roman" w:eastAsia="Times New Roman" w:hAnsi="Times New Roman"/>
          <w:sz w:val="17"/>
          <w:szCs w:val="17"/>
          <w:color w:val="auto"/>
        </w:rPr>
        <w:t>”), enacted in December 2017, resulted in fundamental changes to the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 w:cs="Times New Roman" w:eastAsia="Times New Roman" w:hAnsi="Times New Roman"/>
          <w:sz w:val="17"/>
          <w:szCs w:val="17"/>
          <w:b w:val="1"/>
          <w:bCs w:val="1"/>
          <w:i w:val="1"/>
          <w:iCs w:val="1"/>
          <w:color w:val="auto"/>
        </w:rPr>
        <w:t>CARES Act</w:t>
      </w:r>
      <w:r>
        <w:rPr>
          <w:rFonts w:ascii="Times New Roman" w:cs="Times New Roman" w:eastAsia="Times New Roman" w:hAnsi="Times New Roman"/>
          <w:sz w:val="17"/>
          <w:szCs w:val="17"/>
          <w:color w:val="auto"/>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or the Company. In addition, on August 16, 2022, President Biden signed into law the Inflation Reduction Act of 2022, which among other things, imposes a 1% excise tax on the fair market value of stock repurchased by “covered corporations” beginning in 2023. The U.S. Department of the Treasury and the Internal Revenue Service have issued final regulations under Section 4501 that, among other things, define the scope of a “repurchase,” set out an exclusive list of section 317(b) redemptions that are not repurchases, identify transactions treated as economically similar, and describe transactions that are not repurchases. Taxpayers are required to apply these rules in determining whether and to what extent any stock buybacks are subject to the excise tax. Other changes could be enacted in the future to increase the corporate tax rate, limit further the deductibility of interest or effect other changes that could have a material adverse effect on the Company’s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7"/>
          <w:szCs w:val="17"/>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72" w:lineRule="exact"/>
        <w:rPr>
          <w:sz w:val="20"/>
          <w:szCs w:val="20"/>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enforcement actions, and sanctions;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mandatory changes to our solutions and services;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disgorgement of profits, fines, and damages;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and criminal penalties or injunctions;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for damages by our customers or channel partners;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contracts;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intellectual property rights;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temporary or permanent debarment from sales to government organizations.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7"/>
          <w:szCs w:val="17"/>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the requirements of applicable environmental legislation and regulation could have a material adverse effect on our revenue and profitability.</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7"/>
          <w:szCs w:val="17"/>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3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Risks Related to Cybersecurity and Technology</w:t>
      </w:r>
    </w:p>
    <w:p>
      <w:pPr>
        <w:spacing w:after="0" w:line="21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44" w:name="page45"/>
    <w:bookmarkEnd w:id="44"/>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Abuse or misuse of our internal platform controls and system tools could cause significant harm to our business and reputation.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5" w:name="page46"/>
    <w:bookmarkEnd w:id="45"/>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Interruptions or performance problems with either our technology and infrastructure or our data center hosting facilities could, among other things:</w:t>
      </w:r>
    </w:p>
    <w:p>
      <w:pPr>
        <w:spacing w:after="0" w:line="215" w:lineRule="exact"/>
        <w:rPr>
          <w:sz w:val="20"/>
          <w:szCs w:val="20"/>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destruction or disruption of any of our critical business operations, controls, or procedures or information technology systems;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severely affect our ability to conduct normal business operations;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 material weakness in our internal control over financial reporting;</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our customers to terminate their subscriptions;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our issuing credits or paying penalties or fines;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brand and reputation;</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renewal rates or our ability to attract new customers; or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our solution to be perceived as not being secure.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above could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prevent or address the misappropriation of our data.</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6" w:name="page47"/>
    <w:bookmarkEnd w:id="46"/>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protect our proprietary technology and intellectual property rights could substantially harm our business and results of operations.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our patents or patent applications will be enforceable or otherwise upheld as valid.</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patents, trademarks, or other intellectual property rights that we have obtained or may obtain may be challenged by others or invalidated, circumvented, abandoned or lapse. As of September 30, 2024, our patent portfolio consisted of 2 issued U.S. patents, and 1 U.S. patent applications pending for examination. As of September 30, 2024,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t>Confidentiality agreements with employees and others may not adequately prevent disclosure of trade secrets and other proprietary information.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intellectual property disputes, which are costly and may subject us to significant liability and increased costs of doing business.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7"/>
          <w:szCs w:val="17"/>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exposure to risks associated with the use of intellectual property may be increased as a result of acquisitions.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Issues in the use of artificial intelligence (“AI”) in our solution may result in reputational harm or liability.</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sell subscriptions to our Dot Cloud SaaS platform and subject us to possible litigation.</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7"/>
          <w:szCs w:val="17"/>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Indemnity provisions in various agreements potentially expose us to substantial liability for intellectual property infringement, misappropriation, violation, and other losses.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our Common Stock and Public Warrants may be highly volatile and could decline significantly.</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or presented elsewhere in this prospectus, and, among others, the following:</w:t>
      </w:r>
    </w:p>
    <w:p>
      <w:pPr>
        <w:spacing w:after="0" w:line="172" w:lineRule="exact"/>
        <w:rPr>
          <w:sz w:val="20"/>
          <w:szCs w:val="20"/>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 quarterly or annual earnings relative to similar companies;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or news stories about the us, our competitors or our industry, or positive or negative recommendations or withdrawal of research coverage by securities analysts;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press-releases, other public announcements and filings with the SEC;</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acquisitions, business plans or commercial relationships;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the Board or senior management;</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Common Stock by the Company, our directors, executive officers, principal shareholders;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market reaction to any indebtedness we may incur or securities we may issue in the future;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hedging and other derivative transactions in our Common Stock;</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capital market risks related to changes in interest rates, realized investment losses, credit spreads, equity prices, foreign exchange rates and performance of insurance-linked investments;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creditworthiness, financial condition, performance and prospects;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dividend policy and whether dividends on our Common Stock have been, and are likely to be, declared and paid from time to time;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of the investment opportunity associated with our Common Stock relative to other investment alternatives;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or trends in our industry, geographies or customers;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threatened or actual litigation or government investigations.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has limited experience managing a public company.</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meet the continued listing requirements of Nasdaq could result in a delisting of our Common Stock, which could have a material adverse effect on the liquidity of our Common Stock.</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2" w:name="page53"/>
    <w:bookmarkEnd w:id="52"/>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operating results and other operating metrics may fluctuate from quarter to quarter, which makes these metrics difficult to predict.</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72" w:lineRule="exact"/>
        <w:rPr>
          <w:sz w:val="20"/>
          <w:szCs w:val="20"/>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attract new customers;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development and upgrading of our technology platform;</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 service, feature, and content introductions by us or our competitors or any other change in the competitive landscape of our market;</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as a result of competition or otherwise;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disruptions in our supply chain;</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errors in our forecasting of the demand for our products and services, which could lead to lower revenue or increased costs, or both;</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marketing, sales, and other operating expenses that we may incur to grow and expand our operations and to remain competitive;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expansion into international markets;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diversification and growth of our revenue sources;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gross margins and operating margins;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constraints on the availability of consumer financing or increased down payment requirements to finance purchases of our products;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3" w:name="page54"/>
    <w:bookmarkEnd w:id="53"/>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failures or breaches of security or privacy;</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litigation judgments, settlements, or other litigation-related costs, including content costs for past use;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or regulatory environment, including with respect to insurance and consumer product regulations;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and changes in the proportion of our revenue and expenses denominated in foreign currencies;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effective tax rate;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 and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macroeconomic conditions, including lower consumer confidence, recessionary conditions, increased unemployment rates, or stagnant or declining wages.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one of the factors above or the cumulative effect of some of the factors above may result in significant fluctuations in our operating results.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Taking advantage of the reduced disclosure requirements applicable to “emerging growth companies” may make our Common Stock less attractive to 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JOBS Act provides that, so long as a company qualifies as an “emerging growth company,” it will, among other things:</w:t>
      </w:r>
    </w:p>
    <w:p>
      <w:pPr>
        <w:spacing w:after="0" w:line="215" w:lineRule="exact"/>
        <w:rPr>
          <w:sz w:val="20"/>
          <w:szCs w:val="20"/>
          <w:color w:val="auto"/>
        </w:rPr>
      </w:pPr>
    </w:p>
    <w:p>
      <w:pPr>
        <w:ind w:left="620" w:hanging="310"/>
        <w:spacing w:after="0" w:line="284"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7"/>
          <w:szCs w:val="17"/>
          <w:b w:val="1"/>
          <w:bCs w:val="1"/>
          <w:i w:val="1"/>
          <w:iCs w:val="1"/>
          <w:color w:val="auto"/>
        </w:rPr>
        <w:t>Dodd-Frank Act</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for the Business Combination, though we may cease to be an emerging growth company earlier if (1) we have more than $1.235 billion in annual gross revenue, (2) we qualify as a “large accelerated filer” as defined in Rule 12b-2 under the Exchange Act, or (3) we issue, in any three-year period, more than $1.0 billion in non-convertible debt securities.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raise capital in the future may be limited.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forecasts of market growth and other projections included in this prospectus may prove to be inaccurate, and even if the markets in which we compete achieve the forecasted growth, we cannot assure you that our business will grow at a similar rate, if at all.</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Growth forecasts and projections are subject to significant uncertainty and are based on assumptions and estimates that may not prove to be accurate. The forecasts in this 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estimate that the net proceeds from this offering will be approximately $9.2 million, after deducting the Placement Agent’s fees and estimated offering expenses payable by us, and assuming no exercise of the Warrants being issued in this offering. However, because this is a “best 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estimates exclude the proceeds, if any, from the exercise of Warrants issued in this offering. If all of the Warrants issued in this offering were to be exercised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cash at an exercise price of $ per share of common stock, we would receive additional proceeds of approximately $ million. We cannot predict when or if these Warrants will be exercised. It is possible that these Warrants may expire and may never be exercised. Additionally, the Warrants contain a cashless exercise provision that permit exercise of Warrants on a cashless basis at any time where there is no effective registration statement under the Securities Act covering the issuance of the underlying shares.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use the net proceeds of this offering to repay the amounts then outstanding and due to the Lender under the Initial Loan and the Initial Note (including any mandatory prepayments required by the Loan Agreement and the Initial Note), with any surplus intended to be used for working capital expenditures and general corporate purposes. The amounts and timing of these expenditures will depend on numerous factors, including the development of our current business initiatives. The amounts and timing of our actual use of the net proceeds from this offering will vary depending on numerous factors, including the factors described under “Risk Factors” located elsewhere in this prospectus. As a result, our management will have broad discretion in the application of the net proceeds, and investors will be relying on our judgment regarding the application of the net proceeds from this offering.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MARKET INFORMATION FOR SECURITIES AND DIVIDEND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September 30, 2025, there were 29,273,322 shares of Common Stock issued and outstanding, adjusted for subsequent issuances disclosed in this prospectus, held of record by 285 holders, and warrants to purchase an aggregate of 15,654,983 shares of Common Stock outstanding held of record by 4 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ind w:left="488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our capitalization as of September 30, 2025 as follows:</w:t>
      </w:r>
    </w:p>
    <w:p>
      <w:pPr>
        <w:spacing w:after="0" w:line="215" w:lineRule="exact"/>
        <w:rPr>
          <w:sz w:val="20"/>
          <w:szCs w:val="20"/>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60"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as of September 30, 2025, to give effect to (i) the ELOC funding in 2025 resulting in the issuance of 1,530,000 shares of Common Stock for aggregate gross proceeds of approximately $555,016, before deducting placement agent fees and other offering expenses, (ii) this offering resulting in the issuance of 23,809,523 shares of Common Stock for aggregate net proceeds of approximately $9.2 million, after deducting the Placement Agent’s fees and estimated offering expenses payable by us, and (iii) the application of $2.6 million of proceeds to repay outstanding indebtedness, as if such events had occurred on September 30, 2025.</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You should read this table together with “Management’s Discussion and Analysis of Financial Condition and Results of Operations,” as well as our financial statements and related notes and the other financial information appearing elsewhere in this prospectus. The information presented in the capitalization table has been adjusted to reflect the effect of this current offering.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left="755"/>
              <w:spacing w:after="0"/>
              <w:rPr>
                <w:sz w:val="20"/>
                <w:szCs w:val="20"/>
                <w:color w:val="auto"/>
              </w:rPr>
            </w:pPr>
            <w:r>
              <w:rPr>
                <w:rFonts w:ascii="Times New Roman" w:cs="Times New Roman" w:eastAsia="Times New Roman" w:hAnsi="Times New Roman"/>
                <w:sz w:val="17"/>
                <w:szCs w:val="17"/>
                <w:b w:val="1"/>
                <w:bCs w:val="1"/>
                <w:color w:val="auto"/>
              </w:rPr>
              <w:t>As of September 30, 2025</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5" w:lineRule="exact"/>
              <w:rPr>
                <w:sz w:val="20"/>
                <w:szCs w:val="20"/>
                <w:color w:val="auto"/>
              </w:rPr>
            </w:pPr>
            <w:r>
              <w:rPr>
                <w:rFonts w:ascii="Times New Roman" w:cs="Times New Roman" w:eastAsia="Times New Roman" w:hAnsi="Times New Roman"/>
                <w:sz w:val="17"/>
                <w:szCs w:val="17"/>
                <w:b w:val="1"/>
                <w:bCs w:val="1"/>
                <w:color w:val="auto"/>
              </w:rPr>
              <w:t>Actual</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line="185" w:lineRule="exact"/>
              <w:rPr>
                <w:sz w:val="20"/>
                <w:szCs w:val="20"/>
                <w:color w:val="auto"/>
              </w:rPr>
            </w:pPr>
            <w:r>
              <w:rPr>
                <w:rFonts w:ascii="Times New Roman" w:cs="Times New Roman" w:eastAsia="Times New Roman" w:hAnsi="Times New Roman"/>
                <w:sz w:val="17"/>
                <w:szCs w:val="17"/>
                <w:b w:val="1"/>
                <w:bCs w:val="1"/>
                <w:color w:val="auto"/>
                <w:w w:val="99"/>
              </w:rPr>
              <w:t>ELOC</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60"/>
              <w:spacing w:after="0" w:line="185" w:lineRule="exact"/>
              <w:rPr>
                <w:sz w:val="20"/>
                <w:szCs w:val="20"/>
                <w:color w:val="auto"/>
              </w:rPr>
            </w:pPr>
            <w:r>
              <w:rPr>
                <w:rFonts w:ascii="Times New Roman" w:cs="Times New Roman" w:eastAsia="Times New Roman" w:hAnsi="Times New Roman"/>
                <w:sz w:val="17"/>
                <w:szCs w:val="17"/>
                <w:b w:val="1"/>
                <w:bCs w:val="1"/>
                <w:color w:val="auto"/>
              </w:rPr>
              <w:t>Loan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4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Funding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Repayment</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8"/>
              </w:rPr>
              <w:t>As Adjusted</w:t>
            </w:r>
          </w:p>
        </w:tc>
      </w:tr>
      <w:tr>
        <w:trPr>
          <w:trHeight w:val="205"/>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1,418,834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555,016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9,225,000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8,598,850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Common stock, par value $0.0001 per share; 300,000,000 shares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authorized as of September 30, 2025; 27,743,322 shares issued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outstanding, actual; 29,273,322 shares issued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adjusted for ELOC Funding; 53,082,845 shares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issued and outstanding, as adjusted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2,774</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5,308</w:t>
            </w: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56,972,621</w:t>
            </w: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554,863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9,222,619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66,750,103</w:t>
            </w:r>
          </w:p>
        </w:tc>
      </w:tr>
      <w:tr>
        <w:trPr>
          <w:trHeight w:val="23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(59,093,579)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(59,093,579)</w:t>
            </w:r>
          </w:p>
        </w:tc>
      </w:tr>
      <w:tr>
        <w:trPr>
          <w:trHeight w:val="196"/>
        </w:trPr>
        <w:tc>
          <w:tcPr>
            <w:tcW w:w="4540" w:type="dxa"/>
            <w:vAlign w:val="bottom"/>
            <w:tcBorders>
              <w:top w:val="single" w:sz="8" w:color="CCEEFF"/>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shareholders’ equity (deficit)</w:t>
            </w:r>
          </w:p>
        </w:tc>
        <w:tc>
          <w:tcPr>
            <w:tcW w:w="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(2,118,184</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555,016</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9,225,000</w:t>
            </w:r>
          </w:p>
        </w:tc>
        <w:tc>
          <w:tcPr>
            <w:tcW w:w="24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7,661,832</w:t>
            </w:r>
          </w:p>
        </w:tc>
        <w:tc>
          <w:tcPr>
            <w:tcW w:w="100" w:type="dxa"/>
            <w:vAlign w:val="bottom"/>
            <w:tcBorders>
              <w:top w:val="single" w:sz="8" w:color="CCEEFF"/>
              <w:bottom w:val="single" w:sz="8" w:color="CCEEFF"/>
            </w:tcBorders>
          </w:tcPr>
          <w:p>
            <w:pPr>
              <w:spacing w:after="0"/>
              <w:rPr>
                <w:sz w:val="17"/>
                <w:szCs w:val="17"/>
                <w:color w:val="auto"/>
              </w:rPr>
            </w:pPr>
          </w:p>
        </w:tc>
      </w:tr>
      <w:tr>
        <w:trPr>
          <w:trHeight w:val="23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capitalization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(2,118,184</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555,016</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9,225,000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7,661,832</w:t>
            </w:r>
          </w:p>
        </w:tc>
        <w:tc>
          <w:tcPr>
            <w:tcW w:w="100" w:type="dxa"/>
            <w:vAlign w:val="bottom"/>
            <w:shd w:val="clear" w:color="auto" w:fill="CCEEFF"/>
          </w:tcPr>
          <w:p>
            <w:pPr>
              <w:spacing w:after="0"/>
              <w:rPr>
                <w:sz w:val="20"/>
                <w:szCs w:val="20"/>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foregoing discussion and tables above are based on 29,273,322 shares of Common Stock outstanding as of September 30, 2025, adjusted for subsequent issuances disclosed in this prospectus, and excludes the following:</w:t>
      </w:r>
    </w:p>
    <w:p>
      <w:pPr>
        <w:spacing w:after="0" w:line="153" w:lineRule="exact"/>
        <w:rPr>
          <w:sz w:val="20"/>
          <w:szCs w:val="20"/>
          <w:color w:val="auto"/>
        </w:rPr>
      </w:pPr>
    </w:p>
    <w:p>
      <w:pPr>
        <w:ind w:left="620" w:hanging="310"/>
        <w:spacing w:after="0" w:line="284"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1,797,840 shares of our Common Stock issuable upon the exercise of vested stock options as of September 30, 2025, with a weighted-average exercise price of $0.1008 per share;</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15,654,983 shares of our Common Stock issuable upon the exercise of outstanding warrants as of September 30, 2025, with a weighted-average exercise price of $11.50 per share; and</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230,770 shares of our Common Stock issuable upon the exercise of outstanding warrants as of December 31, 2025, with a weighted-average exercise price of $1.69 per share, subject to adjustments in the event of certain stock dividends and distributions, stock splits, stock combinations, reclassifications or similar events affecting the Common Stock.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you purchase securities in this offering, your ownership interest will be diluted to the extent of the difference between the assumed public offering price per share of our Common Stock and the as adjusted net tangible book value per share of our Common Stock immediately after giving effect to this offering.</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net tangible book value as of September 30, 2025 after giving effect to the subsequent issuances of shares of Common Stock pursuant to the ELOC Agreement, was (1,563,168), or $(0.05) per share of our Common Stock. Our net tangible book value is the amount of our total tangible assets minus total liabilities. Net tangible book value per share as of September 30, 2025, is our net tangible book value divided by the number of shares of Common Stock outstanding as of September 30, 2025.</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information below is illustrative only. Our dilution following the closing of this offering will change based on the actual public offering price and other terms of this offering determined at pricing. You should read this table in conjunction with “Management’s Discussion and Analysis of Financial Condition and Results of Operations” and the financial statements and related notes included in our Annual Report on Form 10-K and subsequent quarterly reports.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After giving effect to the sale of the maximum number of shares of Common Stock offered hereby, or shares in this offering at an assumed public offering price of $0.4200 per share of Common Stock, and after deducting estimated Placement Agent fees and estimated offering expenses payable by us, our as adjusted net tangible book value as of September 30, 2025, would have been approximately $7.7 million, or approximately $0.15 per share of Common Stock. This amount represents an immediate increase in as adjusted net tangible book value of $0.20 per share of Common Stock to our existing stockholders and an immediate dilution of $0.28 per share of Common Stock to investors participating in this offering. We determine dilution per share of Common Stock to investors participating in this offering by subtracting as adjusted net tangible book value per share of Common Stock after giving effect to this offering from the assumed public offering price per share of Common Stock paid by investors participating in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illustrates this per share dilution to the new investors purchasing shares of Common Stock in this offering: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combined public offering price per share of Common Stock and accompanying Warrants</w:t>
            </w:r>
          </w:p>
        </w:tc>
        <w:tc>
          <w:tcPr>
            <w:tcW w:w="14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0.4200</w:t>
            </w:r>
          </w:p>
        </w:tc>
      </w:tr>
      <w:tr>
        <w:trPr>
          <w:trHeight w:val="244"/>
        </w:trPr>
        <w:tc>
          <w:tcPr>
            <w:tcW w:w="77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Historical net tangible book value (deficit) per share as of September 30, 2025</w:t>
            </w:r>
            <w:r>
              <w:rPr>
                <w:rFonts w:ascii="Times New Roman" w:cs="Times New Roman" w:eastAsia="Times New Roman" w:hAnsi="Times New Roman"/>
                <w:sz w:val="28"/>
                <w:szCs w:val="28"/>
                <w:color w:val="auto"/>
                <w:vertAlign w:val="superscript"/>
              </w:rPr>
              <w:t>(1)</w:t>
            </w: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(0.05)</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7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As adjusted net tangible book value per share as of September 30, 2025 after this offering</w:t>
            </w:r>
            <w:r>
              <w:rPr>
                <w:rFonts w:ascii="Times New Roman" w:cs="Times New Roman" w:eastAsia="Times New Roman" w:hAnsi="Times New Roman"/>
                <w:sz w:val="28"/>
                <w:szCs w:val="28"/>
                <w:color w:val="auto"/>
                <w:vertAlign w:val="superscript"/>
              </w:rPr>
              <w:t>(2)</w:t>
            </w:r>
          </w:p>
        </w:tc>
        <w:tc>
          <w:tcPr>
            <w:tcW w:w="14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0.15</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4"/>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Increase in net tangible book value per share attributable to investors purchasing in this offering</w:t>
            </w:r>
          </w:p>
        </w:tc>
        <w:tc>
          <w:tcPr>
            <w:tcW w:w="1400" w:type="dxa"/>
            <w:vAlign w:val="bottom"/>
          </w:tcPr>
          <w:p>
            <w:pPr>
              <w:spacing w:after="0"/>
              <w:rPr>
                <w:sz w:val="19"/>
                <w:szCs w:val="19"/>
                <w:color w:val="auto"/>
              </w:rPr>
            </w:pPr>
          </w:p>
        </w:tc>
        <w:tc>
          <w:tcPr>
            <w:tcW w:w="130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0.20</w:t>
            </w:r>
          </w:p>
        </w:tc>
      </w:tr>
      <w:tr>
        <w:trPr>
          <w:trHeight w:val="211"/>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investors purchasing in this offering</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9" w:lineRule="exact"/>
        <w:rPr>
          <w:sz w:val="20"/>
          <w:szCs w:val="20"/>
          <w:color w:val="auto"/>
        </w:rPr>
      </w:pPr>
    </w:p>
    <w:p>
      <w:pPr>
        <w:jc w:val="both"/>
        <w:ind w:left="320" w:hanging="317"/>
        <w:spacing w:after="0" w:line="268"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net tangible book value as of September 30, 2025 was approximately $(1,563,168), or $(0.05) per share based on 29,273,322 shares of Common Stock outstanding, adjusted for subsequent issuances disclosed in this prospectus. Net tangible book value represents the amount of our total tangible assets less our total liabilities, divided by the number of shares of Common Stock outstanding as of that date.</w:t>
      </w:r>
    </w:p>
    <w:p>
      <w:pPr>
        <w:spacing w:after="0" w:line="165" w:lineRule="exact"/>
        <w:rPr>
          <w:rFonts w:ascii="Times New Roman" w:cs="Times New Roman" w:eastAsia="Times New Roman" w:hAnsi="Times New Roman"/>
          <w:sz w:val="17"/>
          <w:szCs w:val="17"/>
          <w:color w:val="auto"/>
        </w:rPr>
      </w:pPr>
    </w:p>
    <w:p>
      <w:pPr>
        <w:jc w:val="both"/>
        <w:ind w:left="320" w:hanging="317"/>
        <w:spacing w:after="0" w:line="260"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 adjusted tangible book value represents our net tangible book value, as described in note (1) above, after giving effect to the sale by us of shares of Common Stock in this offering for aggregate gross proceeds of $10.0 million at an assumed combined public offering price of $0.4200 per share of Common Stock and accompanying Warrants, after deducting Placement Agent fees of 6.5% and estimated offering expenses payable by us, and assuming no exercise of the Warrants offered hereby. The number of shares outstanding after this offering is based on 29,273,322 shares of Common Stock outstanding as of September 30, 2025, adjusted for subsequent issuances disclosed in this prospectus, and excludes the following:</w:t>
      </w:r>
    </w:p>
    <w:p>
      <w:pPr>
        <w:spacing w:after="0" w:line="171"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1,797,840 shares of our Common Stock issuable upon the exercise of vested stock options as of September 30, 2025, with a weighted-average exercise price of $0.1008 per share;</w:t>
      </w:r>
    </w:p>
    <w:p>
      <w:pPr>
        <w:spacing w:after="0" w:line="152" w:lineRule="exact"/>
        <w:rPr>
          <w:rFonts w:ascii="Times New Roman" w:cs="Times New Roman" w:eastAsia="Times New Roman" w:hAnsi="Times New Roman"/>
          <w:sz w:val="17"/>
          <w:szCs w:val="17"/>
          <w:color w:val="auto"/>
        </w:rPr>
      </w:pPr>
    </w:p>
    <w:p>
      <w:pPr>
        <w:ind w:left="640" w:hanging="304"/>
        <w:spacing w:after="0" w:line="185" w:lineRule="auto"/>
        <w:tabs>
          <w:tab w:leader="none" w:pos="640" w:val="left"/>
        </w:tabs>
        <w:numPr>
          <w:ilvl w:val="2"/>
          <w:numId w:val="2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15,654,983 shares of our Common Stock issuable upon the exercise of outstanding warrants as of September 30, 2025, with a weighted-average exercise price of $11.50 per share; and</w:t>
      </w:r>
    </w:p>
    <w:p>
      <w:pPr>
        <w:spacing w:after="0" w:line="202" w:lineRule="exact"/>
        <w:rPr>
          <w:rFonts w:ascii="Times New Roman" w:cs="Times New Roman" w:eastAsia="Times New Roman" w:hAnsi="Times New Roman"/>
          <w:sz w:val="32"/>
          <w:szCs w:val="32"/>
          <w:color w:val="auto"/>
          <w:vertAlign w:val="subscript"/>
        </w:rPr>
      </w:pPr>
    </w:p>
    <w:p>
      <w:pPr>
        <w:ind w:left="64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230,770 shares of our Common Stock issuable upon the exercise of outstanding warrants as of December 31, 2025, with a weighted-average exercise price</w:t>
      </w:r>
    </w:p>
    <w:p>
      <w:pPr>
        <w:spacing w:after="0" w:line="26" w:lineRule="exact"/>
        <w:rPr>
          <w:rFonts w:ascii="Times New Roman" w:cs="Times New Roman" w:eastAsia="Times New Roman" w:hAnsi="Times New Roman"/>
          <w:sz w:val="32"/>
          <w:szCs w:val="32"/>
          <w:color w:val="auto"/>
          <w:vertAlign w:val="subscript"/>
        </w:rPr>
      </w:pPr>
    </w:p>
    <w:p>
      <w:pPr>
        <w:ind w:left="640" w:hanging="304"/>
        <w:spacing w:after="0" w:line="263" w:lineRule="auto"/>
        <w:tabs>
          <w:tab w:leader="none" w:pos="6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$1.69 per share, subject to adjustments in the event of certain stock dividends and distributions, stock splits, stock combinations, reclassifications or similar events affecting the Common Stock.</w:t>
      </w:r>
    </w:p>
    <w:p>
      <w:pPr>
        <w:spacing w:after="0" w:line="17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To the extent that any outstanding options or warrants are exercised, new options or other equity awards are issued under our equity incentive plans, or we issue additional shares in the future, there will be further dilution to new investors participating in this offering.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CID HoldCo, Inc.”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This section generally discusses our financial condition and results of operations for fiscal years 2023 and 2024, and year-to-year comparisons between Q3 results in 2024 and 2025 in accordance with U.S. Generally Accepted Accounting Principles (“GAAP”). A discussion of our financial condition and results of operations and our liquidity and capital resources for fiscal year 2024, and year-to-year comparisons between fiscal years 2023 and 2024 can be found under the heading “Management’s Discussion and Analysis of Financial Condition and Results of Operations” for the fiscal year ended December 31, 2024 and for the three and nine months ended September 30,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CID Holdco, Inc. (the “Company”, “CID” or “CID Holdco”), formerly known as SEE ID Inc, dba Dot AI (the “Legacy Company” or “SEE ID”), was incorporated in Delaware with the headquarters in Las Vegas, Nevada. CID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(160,015,641) or 8.124%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unaudited condensed consolidated financial statements for the three and nine months ended September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Acquiring New Customers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Expanding Within Our Existing Customer Base</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Innovation and Future Growth</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market leadership is supported by continuous innovation in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jc w:val="both"/>
        <w:spacing w:after="0" w:line="268" w:lineRule="auto"/>
        <w:rPr>
          <w:sz w:val="20"/>
          <w:szCs w:val="20"/>
          <w:color w:val="auto"/>
        </w:rPr>
      </w:pPr>
      <w:r>
        <w:rPr>
          <w:rFonts w:ascii="Times New Roman" w:cs="Times New Roman" w:eastAsia="Times New Roman" w:hAnsi="Times New Roman"/>
          <w:sz w:val="17"/>
          <w:szCs w:val="17"/>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Currently, revenues are primarily related to the delivery of feasibility study reports to customers seeking to gain insight into how data driven tracking could improve their business, which is recognized upon acceptance of the feasibility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Allocation of Overhead Costs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Cost of sales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consists primarily of interest incurred for our short term bridge loans.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SAFE agreements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change in the fair value of SAFE agreements represents the unrealized gains or losses resulting from the fluctuations in the estimated value of the outstanding SAFE agreements, or reevaluation of updated market conditions and company-specific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costs expensed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from extinguishment of debt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and Nine Months Ended September 30, 2025 and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Cost of Revenue, Gross Profit, and Gross Margin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total revenue, cost of revenue, gross profit, and gross margin for the three and nine months ended September 30, 2025 and 2024 are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1"/>
        </w:trPr>
        <w:tc>
          <w:tcPr>
            <w:tcW w:w="3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3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7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360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20"/>
                <w:szCs w:val="20"/>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778,482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81,636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696,846</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853.6%</w:t>
            </w:r>
          </w:p>
        </w:tc>
      </w:tr>
      <w:tr>
        <w:trPr>
          <w:trHeight w:val="22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488,286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480,289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6,005.9%</w:t>
            </w:r>
          </w:p>
        </w:tc>
      </w:tr>
      <w:tr>
        <w:trPr>
          <w:trHeight w:val="225"/>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Gross margin %</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37.3%</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373"/>
        </w:trPr>
        <w:tc>
          <w:tcPr>
            <w:tcW w:w="3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3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3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7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360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Borders>
              <w:bottom w:val="single" w:sz="8" w:color="CCEEFF"/>
            </w:tcBorders>
          </w:tcPr>
          <w:p>
            <w:pPr>
              <w:spacing w:after="0"/>
              <w:rPr>
                <w:sz w:val="20"/>
                <w:szCs w:val="20"/>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1,257,813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183,631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1,074,182</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w:t>
            </w:r>
          </w:p>
        </w:tc>
      </w:tr>
      <w:tr>
        <w:trPr>
          <w:trHeight w:val="22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572,558</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18,006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554,552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3,079.8%</w:t>
            </w:r>
          </w:p>
        </w:tc>
      </w:tr>
      <w:tr>
        <w:trPr>
          <w:trHeight w:val="225"/>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685,255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519,630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Gross margin %</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54.5%</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53.6%</w:t>
            </w:r>
          </w:p>
        </w:tc>
      </w:tr>
    </w:tbl>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2025, total revenue increased by approximately $697 thousand, or 853.6%, to $778 thousand compared to $82 thousand for the same period in 2024. The increase was primarily attributable to product revenue recognized during the current quarter from sales of bridges, gateways, and labels to existing customers, partially offset by a $196 thousand revenue reversal tied to an updated estimate based on the timing of actual revenue recognized compared to the estimate utilized related to the $2 million exclusivity client payment. Based on expected $175 million client spend over the 5-year term to retain exclusivity, the Company refined its estimate to recognize the exclusivity payment as revenue across the full 5 years.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Total cost of goods sold increased by $480 thousand, or 6,005.9%, to $488 thousand, reflecting higher material and labor costs associated with increased product sales. As a result, gross profit increased by $217 thousand, or 294.1%, to $290 thousand, compared to $74 thousand for the same period in 2024. Gross margin decreased to 37.3% from 90.2%, primarily due to the higher proportion of product sales, which generally carry lower margins.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the nine months ended September 30, 2025, total revenue increased by approximately $1,074 thousand, or 585.0%, to $1,258 thousand compared to $184 thousand for the same period in 2024. The increase was primarily attributable to product revenue recognized during the current period from sales of bridges, gateways, and labels to existing customers. Total cost of goods sold increased by $555 thousand, or 3,079.8%, to $573 thousand, reflecting higher material and labor costs associated with increased product sales. As a result, gross profit increased by $520 thousand, or 313.7%, to $685 thousand compared to $166 thousand for the same period in 2024. Gross margin decreased to 54.5% from 90.2%, primarily due to the higher proportion of product sales, which generally carry lower margins.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6"/>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0"/>
        </w:trPr>
        <w:tc>
          <w:tcPr>
            <w:tcW w:w="99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Research and development expenses for the three and nine months ended September 30, 2025 and 2024 is summarized as follows: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9"/>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5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397,135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0"/>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9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972,640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Research and development (“R&amp;D”) expenses were $397 thousand for the three months ended September 30, 2025, an increase of $210 thousand, or 112.7%, compared to $187 thousand for the same period in 2024. The increase was primarily driven by the onboarding of additional software and hardware development contractors, as well as higher personnel-related and prototype development costs to support new product initiatives. Our spending for research and development reflects our growing capacity to satisfy customer feature requests and continued investment in our technology roadmap. As a percentage of revenue, R&amp;D expenses decreased to 51.0% from 228.7%, primarily due to significantly higher revenue in the current period.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nine months ended September 30, 2025, research and development (“R&amp;D”) expenses increased by $512 thousand, or 111.4%, to $973 thousand compared to $460 thousand in the prior-year period. The year-to-date increase was primarily driven by onboarding additional development contractors and expanding engineering activities in support of the Company’s long-term product innovation goals. R&amp;D expenses represented 77.3% of total revenue for the nine months ended September 30, 2025, compared to 250.5% in the same period of 2024, reflecting improved operating leverage as revenue expanded.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and marketing expenses for the three and nine months ended September 30, 2025 and 2024 is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6"/>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5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1,111,895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638,584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782.2</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0"/>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9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2,564,891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1,763,170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801,721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960.2</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three months ended September 30, 2025, sales and marketing expenses totaled $1,112 thousand, an increase of $473 thousand, or 74.1%, compared to $639 thousand for the same period in 2024. The increase was primarily driven by enhanced functionality in our customer relationship management software, as well as additional investment in customer support to expand our sales and marketing capabilities We expect to further increase spending in the following quarter to leverage additional public investment and strengthen this department to drive growth.</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For the nine months ended September 30, 2025, sales and marketing expenses totaled $2,565 thousand, an increase of $802 thousand, or 45.5%, compared to $1,763 thousand in the same period of 2024, demonstrating the Company’s ongoing commitment to market expansion and revenue growth.</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6"/>
        </w:trPr>
        <w:tc>
          <w:tcPr>
            <w:tcW w:w="59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0"/>
        </w:trPr>
        <w:tc>
          <w:tcPr>
            <w:tcW w:w="88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General and administrative expense for the three and nine months ended September 30, 2025 and 2024 is summarized as follows: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9"/>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9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2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2,742,753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506,886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2,235,867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0"/>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95"/>
              <w:spacing w:after="0" w:line="185" w:lineRule="exact"/>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2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4,184,688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579.7</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2025, general and administrative expenses totaled $2,743 thousand, an increase of $2,236 thousand, or 441.1%, compared to $507 thousand in the same period last year. The increase is primarily driven by labor costs related to the ramp-up of operations, higher administrative support for business functions, and increased back-office headcount. For the nine months ended September 30, 2025, general and administrative expenses totaled $4,185 thousand, up $3,120 thousand, or 293.1%, compared to $1,064 thousand in the prior year, reflecting the continued expansion of operational infrastructure to support company growth.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and integration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Acquisition and integration expense for the three and nine months ended September 30, 2025 and 2024 are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5"/>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1"/>
        </w:trPr>
        <w:tc>
          <w:tcPr>
            <w:tcW w:w="3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4"/>
        </w:trPr>
        <w:tc>
          <w:tcPr>
            <w:tcW w:w="3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8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0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and integration</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243,230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635,459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(392,229</w:t>
            </w:r>
          </w:p>
        </w:tc>
        <w:tc>
          <w:tcPr>
            <w:tcW w:w="200" w:type="dxa"/>
            <w:vAlign w:val="bottom"/>
            <w:tcBorders>
              <w:top w:val="single" w:sz="8" w:color="CCEEFF"/>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color w:val="auto"/>
                <w:w w:val="8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0"/>
        </w:trPr>
        <w:tc>
          <w:tcPr>
            <w:tcW w:w="3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1"/>
        </w:trPr>
        <w:tc>
          <w:tcPr>
            <w:tcW w:w="3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4"/>
        </w:trPr>
        <w:tc>
          <w:tcPr>
            <w:tcW w:w="3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8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0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and integration</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1,154,857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1,501,261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(346,404</w:t>
            </w:r>
          </w:p>
        </w:tc>
        <w:tc>
          <w:tcPr>
            <w:tcW w:w="200" w:type="dxa"/>
            <w:vAlign w:val="bottom"/>
            <w:tcBorders>
              <w:top w:val="single" w:sz="8" w:color="CCEEFF"/>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color w:val="auto"/>
                <w:w w:val="8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2025, acquisition and integration expenses were $243 thousand, a decrease of $392 thousand, or 61.7%, compared to $635 thousand in the same period of 2024. The decrease reflects lower professional and consulting costs as the Company completed the Business Combination on June 18, 2025. For the nine months ended September 30, 2025, acquisition and integration expenses totaled $1,155 thousand, a decline of $346 thousand, or 23.1%, compared to $1,501 thousand in the prior year period. These expenses primarily consisted of accounting, auditing, and legal fees incurred in connection with the Business Combination, as well as other costs related to transaction execution and post-acquisition integration activities.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color w:val="auto"/>
        </w:rPr>
        <w:t>Other expenses – SAFE agreements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tables below summarize the change in the fair value of SAFE agreements and the SAFE agreements activity for the three and nine months ended September 30, 2025 and 2024:</w:t>
      </w:r>
    </w:p>
    <w:p>
      <w:pPr>
        <w:sectPr>
          <w:pgSz w:w="11900" w:h="16838" w:orient="portrait"/>
          <w:cols w:equalWidth="0" w:num="1">
            <w:col w:w="11240"/>
          </w:cols>
          <w:pgMar w:left="320" w:top="5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 agreements issued for cash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3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8"/>
              </w:rPr>
              <w:t>% Change</w:t>
            </w:r>
          </w:p>
        </w:tc>
      </w:tr>
      <w:tr>
        <w:trPr>
          <w:trHeight w:val="211"/>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(764,446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764,446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390"/>
        </w:trPr>
        <w:tc>
          <w:tcPr>
            <w:tcW w:w="160" w:type="dxa"/>
            <w:vAlign w:val="bottom"/>
          </w:tcPr>
          <w:p>
            <w:pPr>
              <w:spacing w:after="0"/>
              <w:rPr>
                <w:sz w:val="24"/>
                <w:szCs w:val="24"/>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60" w:type="dxa"/>
            <w:vAlign w:val="bottom"/>
          </w:tcPr>
          <w:p>
            <w:pPr>
              <w:spacing w:after="0"/>
              <w:rPr>
                <w:sz w:val="20"/>
                <w:szCs w:val="20"/>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8"/>
              </w:rPr>
              <w:t>% Change</w:t>
            </w:r>
          </w:p>
        </w:tc>
      </w:tr>
      <w:tr>
        <w:trPr>
          <w:trHeight w:val="211"/>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(17,368,415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(14,227,156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(3,141,259</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390"/>
        </w:trPr>
        <w:tc>
          <w:tcPr>
            <w:tcW w:w="160" w:type="dxa"/>
            <w:vAlign w:val="bottom"/>
          </w:tcPr>
          <w:p>
            <w:pPr>
              <w:spacing w:after="0"/>
              <w:rPr>
                <w:sz w:val="24"/>
                <w:szCs w:val="24"/>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For the 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8"/>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31"/>
        </w:trPr>
        <w:tc>
          <w:tcPr>
            <w:tcW w:w="160" w:type="dxa"/>
            <w:vAlign w:val="bottom"/>
          </w:tcPr>
          <w:p>
            <w:pPr>
              <w:spacing w:after="0"/>
              <w:rPr>
                <w:sz w:val="20"/>
                <w:szCs w:val="20"/>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8"/>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185"/>
        </w:trPr>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75"/>
              <w:spacing w:after="0" w:line="185" w:lineRule="exact"/>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160" w:type="dxa"/>
            <w:vAlign w:val="bottom"/>
          </w:tcPr>
          <w:p>
            <w:pPr>
              <w:spacing w:after="0"/>
              <w:rPr>
                <w:sz w:val="20"/>
                <w:szCs w:val="20"/>
                <w:color w:val="auto"/>
              </w:rPr>
            </w:pP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189"/>
        </w:trPr>
        <w:tc>
          <w:tcPr>
            <w:tcW w:w="1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21,200,160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23,334,626</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4,602,950</w:t>
            </w:r>
          </w:p>
        </w:tc>
        <w:tc>
          <w:tcPr>
            <w:tcW w:w="100" w:type="dxa"/>
            <w:vAlign w:val="bottom"/>
          </w:tcPr>
          <w:p>
            <w:pPr>
              <w:spacing w:after="0"/>
              <w:rPr>
                <w:sz w:val="16"/>
                <w:szCs w:val="16"/>
                <w:color w:val="auto"/>
              </w:rPr>
            </w:pPr>
          </w:p>
        </w:tc>
      </w:tr>
      <w:tr>
        <w:trPr>
          <w:trHeight w:val="205"/>
        </w:trPr>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23,752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3,834,500</w:t>
            </w:r>
          </w:p>
        </w:tc>
        <w:tc>
          <w:tcPr>
            <w:tcW w:w="100" w:type="dxa"/>
            <w:vAlign w:val="bottom"/>
          </w:tcPr>
          <w:p>
            <w:pPr>
              <w:spacing w:after="0"/>
              <w:rPr>
                <w:sz w:val="17"/>
                <w:szCs w:val="17"/>
                <w:color w:val="auto"/>
              </w:rPr>
            </w:pPr>
          </w:p>
        </w:tc>
      </w:tr>
      <w:tr>
        <w:trPr>
          <w:trHeight w:val="205"/>
        </w:trPr>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764,446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17,368,415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14,227,156</w:t>
            </w: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(40,726,793)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6"/>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22,664,606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22,664,606</w:t>
            </w:r>
          </w:p>
        </w:tc>
        <w:tc>
          <w:tcPr>
            <w:tcW w:w="100" w:type="dxa"/>
            <w:vAlign w:val="bottom"/>
          </w:tcPr>
          <w:p>
            <w:pPr>
              <w:spacing w:after="0"/>
              <w:rPr>
                <w:sz w:val="20"/>
                <w:szCs w:val="20"/>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-2279015</wp:posOffset>
            </wp:positionV>
            <wp:extent cx="7139305" cy="146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305" cy="1466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-1570355</wp:posOffset>
            </wp:positionV>
            <wp:extent cx="7139305" cy="146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305" cy="14668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-740410</wp:posOffset>
            </wp:positionV>
            <wp:extent cx="7139305" cy="138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-471805</wp:posOffset>
            </wp:positionV>
            <wp:extent cx="7139305" cy="130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-194945</wp:posOffset>
            </wp:positionV>
            <wp:extent cx="7139305" cy="170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305" cy="17081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260" w:space="720"/>
            <w:col w:w="5260"/>
          </w:cols>
          <w:pgMar w:left="320" w:top="529" w:right="339" w:bottom="1440" w:gutter="0" w:footer="0" w:header="0"/>
          <w:type w:val="continuous"/>
        </w:sect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months ended September 30, 2025, there was no change in the fair value of SAFE notes, compared to a decrease of $0.8 million in the same period of 2024, representing a 100% decline. For the nine months ended September 30, 2025, the Company recorded a decrease in fair value of $17.4 million, compared to a decrease of $14.2 million in the prior year, an increase of $3.1 million, or 22%.</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the beginning of the three-month period, no SAFE agreements were outstanding, compared to $22.7 million at the same point in 2024. During the nine months ended September 30, 2025, SAFE agreements at fair value decreased from $23.3 million to zero, following the conversion of all outstanding notes into 2,909,057 shares of Common Stock. No new SAFE agreements were issued for cash during the three months ended September 30, 2025. The change in fair value of $17.4 million for the nine months ended September 30, 2025, was based on the fair value of Common Stock at closing of $14.00 per share.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decrease in the balance of SAFE agreements was primarily driven by the increased estimated fair value of the Company and the higher probability of the Business Combination, which closed on June 18, 2025, qualifying as an “Equity Financing” under the terms of the Company’s SAFE agreements. As a result, all outstanding SAFE notes were converted into Common Stock, and no SAFE notes remained outstanding as of September 30,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2024 and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Cost of Revenue, Gross Profit, and Gross Margin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total revenue, cost of revenue, gross profit, and gross margin for the years ended December 31, 2024 and 2023 are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1"/>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4"/>
        </w:trPr>
        <w:tc>
          <w:tcPr>
            <w:tcW w:w="35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0" w:type="dxa"/>
            <w:vAlign w:val="bottom"/>
            <w:tcBorders>
              <w:bottom w:val="single" w:sz="8" w:color="CCEEFF"/>
            </w:tcBorders>
          </w:tcPr>
          <w:p>
            <w:pPr>
              <w:spacing w:after="0"/>
              <w:rPr>
                <w:sz w:val="19"/>
                <w:szCs w:val="19"/>
                <w:color w:val="auto"/>
              </w:rPr>
            </w:pPr>
          </w:p>
        </w:tc>
      </w:tr>
      <w:tr>
        <w:trPr>
          <w:trHeight w:val="20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172,661</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439,640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(266,979)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24"/>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343,889</w:t>
            </w:r>
          </w:p>
        </w:tc>
        <w:tc>
          <w:tcPr>
            <w:tcW w:w="360" w:type="dxa"/>
            <w:vAlign w:val="bottom"/>
          </w:tcPr>
          <w:p>
            <w:pPr>
              <w:spacing w:after="0"/>
              <w:rPr>
                <w:sz w:val="19"/>
                <w:szCs w:val="19"/>
                <w:color w:val="auto"/>
              </w:rPr>
            </w:pPr>
          </w:p>
        </w:tc>
        <w:tc>
          <w:tcPr>
            <w:tcW w:w="9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86,888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257,001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295.8%</w:t>
            </w:r>
          </w:p>
        </w:tc>
      </w:tr>
      <w:tr>
        <w:trPr>
          <w:trHeight w:val="225"/>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(loss) profit</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(171,228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(523,980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0"/>
              </w:rPr>
              <w:t>)%</w:t>
            </w:r>
          </w:p>
        </w:tc>
      </w:tr>
      <w:tr>
        <w:trPr>
          <w:trHeight w:val="191"/>
        </w:trPr>
        <w:tc>
          <w:tcPr>
            <w:tcW w:w="35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Gross margin %</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(99.2</w:t>
            </w:r>
          </w:p>
        </w:tc>
        <w:tc>
          <w:tcPr>
            <w:tcW w:w="3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80.2</w:t>
            </w:r>
          </w:p>
        </w:tc>
        <w:tc>
          <w:tcPr>
            <w:tcW w:w="2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(179.4</w:t>
            </w:r>
          </w:p>
        </w:tc>
        <w:tc>
          <w:tcPr>
            <w:tcW w:w="3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(223.6</w:t>
            </w: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80"/>
              </w:rPr>
              <w:t>)%</w:t>
            </w:r>
          </w:p>
        </w:tc>
      </w:tr>
      <w:tr>
        <w:trPr>
          <w:trHeight w:val="26"/>
        </w:trPr>
        <w:tc>
          <w:tcPr>
            <w:tcW w:w="3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Revenue decreased by $266,979, or 60.7%, for the year ended December 31, 2024 compared to the year ended December 31, 2023. The decrease in revenue is primarily due to a decrease in feasibility studies to new and existing customers.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Cost of goods sold increased by $257,001, or 295.8%, for the year ended December 31, 2024 compared to the year ended December 31, 2023. The increases are primarily due to additional support staff salaries, compliance cost and cloud hosting cost.</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Our gross margin was (99.2%) for the year ended December 31, 2024 compared to 80.2% for the year ended December 31, 2023. The decrease in gross margin is primarily due to additional support staff salaries, compliance cost and cloud hosting cost.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and development expenses for the years ended December 31, 2024 and 2023 is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1"/>
        </w:trPr>
        <w:tc>
          <w:tcPr>
            <w:tcW w:w="3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4"/>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8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0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759,967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837,453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(77,486</w:t>
            </w:r>
          </w:p>
        </w:tc>
        <w:tc>
          <w:tcPr>
            <w:tcW w:w="200" w:type="dxa"/>
            <w:vAlign w:val="bottom"/>
            <w:tcBorders>
              <w:top w:val="single" w:sz="8" w:color="CCEEFF"/>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color w:val="auto"/>
                <w:w w:val="8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2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Research and development expense decreased by $77,486, or 9.3%, for the year ended December 31, 2024 compared to the year ended December 31, 2023. The decreases are primarily driven by reduced utilization of software and hardware development contractors.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and marketing expenses for the years ended December 31, 2024 and 2023 is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6"/>
          </w:tcPr>
          <w:p>
            <w:pPr>
              <w:jc w:val="center"/>
              <w:ind w:right="415"/>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4"/>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2,524,930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2,074,994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Sales and marketing expenses increased by $2,074,994, or 461.2%, for the year ended December 31, 2024 compared to the year ended December 31, 2023. The increase reflects our continued pivot toward the market and was primarily driven by higher spending on digital marketing services and additional modules and users in our customer relationship management software.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and administrative expenses for the years ended December 31, 2024 and 2023 are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6"/>
          </w:tcPr>
          <w:p>
            <w:pPr>
              <w:jc w:val="center"/>
              <w:ind w:right="415"/>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4"/>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3,588,548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742,041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2,846,507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revenue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and administrative expense increased by $2,846,507, or 383.6%, for the year ended December 31, 2024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increases are primarily due to additional labor costs pertaining to the ramp up of the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color w:val="auto"/>
        </w:rPr>
        <w:t>Other expenses – SAFE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tables below summarize the change in the fair value of SAFE agreements and the SAFE agreements activity for the year ended December 31, 2024 and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8"/>
              </w:rPr>
              <w:t>% Change</w:t>
            </w:r>
          </w:p>
        </w:tc>
      </w:tr>
      <w:tr>
        <w:trPr>
          <w:trHeight w:val="211"/>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SAFE notes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14,492,176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6"/>
              </w:rPr>
              <w:t>14,228,937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390"/>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8"/>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For the year ended</w:t>
            </w:r>
          </w:p>
        </w:tc>
      </w:tr>
      <w:tr>
        <w:trPr>
          <w:trHeight w:val="23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8"/>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59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SAFE agreements at fair value, beginning of period</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4,602,950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2,219,711</w:t>
            </w:r>
          </w:p>
        </w:tc>
        <w:tc>
          <w:tcPr>
            <w:tcW w:w="100" w:type="dxa"/>
            <w:vAlign w:val="bottom"/>
            <w:shd w:val="clear" w:color="auto" w:fill="CCEEFF"/>
          </w:tcPr>
          <w:p>
            <w:pPr>
              <w:spacing w:after="0"/>
              <w:rPr>
                <w:sz w:val="17"/>
                <w:szCs w:val="17"/>
                <w:color w:val="auto"/>
              </w:rPr>
            </w:pP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SAFE agreements issued for cash</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4,239,500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2,120,000</w:t>
            </w:r>
          </w:p>
        </w:tc>
        <w:tc>
          <w:tcPr>
            <w:tcW w:w="100" w:type="dxa"/>
            <w:vAlign w:val="bottom"/>
          </w:tcPr>
          <w:p>
            <w:pPr>
              <w:spacing w:after="0"/>
              <w:rPr>
                <w:sz w:val="17"/>
                <w:szCs w:val="17"/>
                <w:color w:val="auto"/>
              </w:rPr>
            </w:pPr>
          </w:p>
        </w:tc>
      </w:tr>
      <w:tr>
        <w:trPr>
          <w:trHeight w:val="23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14,492,176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263,239</w:t>
            </w:r>
          </w:p>
        </w:tc>
      </w:tr>
      <w:tr>
        <w:trPr>
          <w:trHeight w:val="222"/>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SAFE agreements at fair value, end of period</w:t>
            </w:r>
          </w:p>
        </w:tc>
        <w:tc>
          <w:tcPr>
            <w:tcW w:w="22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23,334,626</w:t>
            </w: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4,602,950</w:t>
            </w:r>
          </w:p>
        </w:tc>
        <w:tc>
          <w:tcPr>
            <w:tcW w:w="100" w:type="dxa"/>
            <w:vAlign w:val="bottom"/>
            <w:tcBorders>
              <w:top w:val="single" w:sz="8" w:color="CCEEFF"/>
            </w:tcBorders>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increase in the liability balance of SAFE agreements for the year ended December 31, 2024, compared to December 31, 2023, was primarily driven by the higher estimated fair value of the Company and the issuance of additional SAFE notes during the year ended December 31, 2024. A corresponding increase in the change in fair value of SAFE notes other expense line items was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 and Going Concern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Company’s assessment of going concern considerations in accordance with FASB ASC Topic 205-40, “Presentation of Financial Statements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September 30, 2025 and December 31, 2024, we had cash of $1,418,834 and $721,032, respectively, and working capital deficit of $5,404,007 and $1,215,988,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date, we have funded our operations primarily with proceeds from the issuance of common shares to PIPE investors contemporaneously with the close of the Business Combination in the amount of $10,837,643 and proceeds from the issuance of bridge loans. As of September 30, 2025, we had cash of $1,418,834. In the future, we expect to finance our cash needs through a combination of equity, debt financings, and improvement of cash from operations derived from selling subscriptions to our platform.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7"/>
          <w:szCs w:val="17"/>
          <w:color w:val="auto"/>
        </w:rPr>
        <w:t>As part of its funding efforts, on June 18, 2025, the Company entered into the ELOC Agreement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ELOC Agreement,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had the option to satisfy the $350,000 commitment fee under the ELOC Agreement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Before the Company elects to sell shares by issuing a purchase notice, the ELOC Agreement represents a purchased put option on the Company’s equity. Once the Company delivers a purchase notice under the ELOC Agreement, the related number of shares to be issued constitutes a forward contract to issue common stock. As the feature is embedded in an equity host, meets the definition of a derivative, and does not qualify for the equity scope exception under ASC 815 Derivatives and Hedging,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September 30, 2025, and therefore was not recorded on the Company’s balance sheet as of that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Nine Months Ended September 30, 2025 and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 summary of our cash flow for the periods presented:</w:t>
      </w:r>
    </w:p>
    <w:p>
      <w:pPr>
        <w:spacing w:after="0" w:line="21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0"/>
              </w:rPr>
              <w:t>(8,197,830)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(3,099,229)</w:t>
            </w:r>
          </w:p>
        </w:tc>
        <w:tc>
          <w:tcPr>
            <w:tcW w:w="100" w:type="dxa"/>
            <w:vAlign w:val="bottom"/>
            <w:shd w:val="clear" w:color="auto" w:fill="CCEEFF"/>
          </w:tcPr>
          <w:p>
            <w:pPr>
              <w:spacing w:after="0"/>
              <w:rPr>
                <w:sz w:val="17"/>
                <w:szCs w:val="17"/>
                <w:color w:val="auto"/>
              </w:rPr>
            </w:pPr>
          </w:p>
        </w:tc>
      </w:tr>
      <w:tr>
        <w:trPr>
          <w:trHeight w:val="205"/>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(1,382,522)</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(579,327)</w:t>
            </w: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1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10,278,154</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3,834,500</w:t>
            </w: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years ended December 31, 2024 and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 summary of our cash flow for the periods presented:</w:t>
      </w:r>
    </w:p>
    <w:p>
      <w:pPr>
        <w:spacing w:after="0" w:line="21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(3,290,008)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(1,668,503)</w:t>
            </w:r>
          </w:p>
        </w:tc>
        <w:tc>
          <w:tcPr>
            <w:tcW w:w="100" w:type="dxa"/>
            <w:vAlign w:val="bottom"/>
            <w:shd w:val="clear" w:color="auto" w:fill="CCEEFF"/>
          </w:tcPr>
          <w:p>
            <w:pPr>
              <w:spacing w:after="0"/>
              <w:rPr>
                <w:sz w:val="17"/>
                <w:szCs w:val="17"/>
                <w:color w:val="auto"/>
              </w:rPr>
            </w:pPr>
          </w:p>
        </w:tc>
      </w:tr>
      <w:tr>
        <w:trPr>
          <w:trHeight w:val="205"/>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(834,220)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(672,319)</w:t>
            </w: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1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2,120,000</w:t>
            </w:r>
          </w:p>
        </w:tc>
        <w:tc>
          <w:tcPr>
            <w:tcW w:w="100" w:type="dxa"/>
            <w:vAlign w:val="bottom"/>
            <w:shd w:val="clear" w:color="auto" w:fill="CCEEFF"/>
          </w:tcPr>
          <w:p>
            <w:pPr>
              <w:spacing w:after="0"/>
              <w:rPr>
                <w:sz w:val="17"/>
                <w:szCs w:val="17"/>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Cash used in operating activities was $8.2 million for the nine months ended September 30, 2025. This consisted of a net loss of $34.4 million, adjusted for non-cash charges of $18.6 million, and changes in our operating assets and liabilities of $7.6 million. The non-cash charges were primarily composed of change in fair value of SAFE note expense of $17.4 million and loss on extinguishment of debt of $5.7 million.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7"/>
          <w:szCs w:val="17"/>
          <w:color w:val="auto"/>
        </w:rPr>
        <w:t>Cash used in operating activities was $3.1 million for the nine months ended September 30, 2024. This consisted of a net loss of $18.9 million, adjusted for non-cash charges of $14.4 million, and changes in our operating assets and liabilities of $1.3 million. The non-cash charges were primarily composed of change in fair value SAFE note expense of $14.2 million.</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Cash used in operating activities was $3.3 million for the year ended December 31, 2024. This consisted of a net loss of $21.5 million, adjusted for non-cash charges of $14.7 million, and changes in our operating assets and liabilities of $3.5 million. The non-cash charges were primarily composed of change in fair value SAFE note expense of $14.5 million.</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Cash used in operating activities was $1.7 million for the year ended December 31, 2023. This consisted of a net loss of $1.9 million, adjusted for non-cash charges of $325 thousand, and changes in our operating assets and liabilities of $54 thousand. The non-cash charges were primarily composed of change in fair value SAFE note expense of $263 thousand.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was $1.4 million for the nine months ended September 30, 2025, which primarily consisted of $484 thousand of property and equipment purchases and $899 thousand of capital expenditures for internal-use software development costs.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was $579 thousand for the nine months ended September 30, 2024, which consisted of capital expenditures for internal-use software development costs.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was $834 thousand for the year ended December 31, 2024, which consisted of capital expenditures for internal-use software development costs.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was $672 thousand for the year ended December 31, 2023, which consisted of capital expenditures for internal-use software development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provided by financing activities was $10.3 million for the nine months ended September 30, 2025, which primarily consisted of $10.8 million in proceeds from PIPE investors.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provided by financing activities was $3.8 million for the nine months ended September 30, 2024, which consisted of $3.8 million of proceeds from issuance of SAFE notes.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provided by financing activities was $4.2 million for the year ended December 31, 2024, which consisted of proceeds from issuance of SAFE agreements for cash.</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Cash provided by financing activities was $2.1 million for the year ended December 31, 2023, which consisted of proceeds from issuance of SAFE agreements for cash.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Commitments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estimated future obligations consist of leases and non-cancelable purchase commitments as of September 30, 2025. For additional discussion on our leases and other commitments, refer to Note 12 – Leases and Note 14 – Commitments and Contingencies to our unaudited condensed consolidated financial statements for the three and nine months ended September 30, 2025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Policies and Estimates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jc w:val="both"/>
        <w:spacing w:after="0" w:line="268" w:lineRule="auto"/>
        <w:rPr>
          <w:sz w:val="20"/>
          <w:szCs w:val="20"/>
          <w:color w:val="auto"/>
        </w:rPr>
      </w:pPr>
      <w:r>
        <w:rPr>
          <w:rFonts w:ascii="Times New Roman" w:cs="Times New Roman" w:eastAsia="Times New Roman" w:hAnsi="Times New Roman"/>
          <w:sz w:val="17"/>
          <w:szCs w:val="17"/>
          <w:color w:val="auto"/>
        </w:rPr>
        <w:t>While our significant accounting policies are more fully described in Note 2 to our unaudited condensed consolidated financial statements for the three and nine months ended September 30, 2025, we believe that the following accounting policies are the most critical to fully understanding and evaluating our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for SAFE Agreements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In accordance with FASB ASC 815 40, </w:t>
      </w:r>
      <w:r>
        <w:rPr>
          <w:rFonts w:ascii="Times New Roman" w:cs="Times New Roman" w:eastAsia="Times New Roman" w:hAnsi="Times New Roman"/>
          <w:sz w:val="17"/>
          <w:szCs w:val="17"/>
          <w:i w:val="1"/>
          <w:iCs w:val="1"/>
          <w:color w:val="auto"/>
        </w:rPr>
        <w:t>Contracts in Entity’s Own Equity,</w:t>
      </w:r>
      <w:r>
        <w:rPr>
          <w:rFonts w:ascii="Times New Roman" w:cs="Times New Roman" w:eastAsia="Times New Roman" w:hAnsi="Times New Roman"/>
          <w:sz w:val="17"/>
          <w:szCs w:val="17"/>
          <w:color w:val="auto"/>
        </w:rPr>
        <w:t xml:space="preserve">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Revenue is recognized when promised goods or services are transferred to customers in an amount that reflects the consideration to which we expect to be entitled in exchange for those goods or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determine revenue recognition through the following steps:</w:t>
      </w:r>
    </w:p>
    <w:p>
      <w:pPr>
        <w:spacing w:after="0" w:line="215" w:lineRule="exact"/>
        <w:rPr>
          <w:sz w:val="20"/>
          <w:szCs w:val="20"/>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we satisfy a performance obligation.</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Internal-Use Software Development</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accordance with FASB ASC Topic 350 40, </w:t>
      </w:r>
      <w:r>
        <w:rPr>
          <w:rFonts w:ascii="Times New Roman" w:cs="Times New Roman" w:eastAsia="Times New Roman" w:hAnsi="Times New Roman"/>
          <w:sz w:val="17"/>
          <w:szCs w:val="17"/>
          <w:i w:val="1"/>
          <w:iCs w:val="1"/>
          <w:color w:val="auto"/>
        </w:rPr>
        <w:t>Intangibles Goodwill and Other Internal Use Software</w:t>
      </w:r>
      <w:r>
        <w:rPr>
          <w:rFonts w:ascii="Times New Roman" w:cs="Times New Roman" w:eastAsia="Times New Roman" w:hAnsi="Times New Roman"/>
          <w:sz w:val="17"/>
          <w:szCs w:val="17"/>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and Adopted Accounting Pronouncements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describe the recently issued accounting pronouncements that apply in Note 2 of the unaudited condensed consolidated financial statements as of and for the three and nine months ended September 30,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Status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Background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Digital transformation is imperative for companies to compete in the current commercial environment. Those companies that successfully transform their businesses through modern applications, digital workflows, and intuitive user experiences often benefit from loyal customers, innovative offerings, and scalable business models that drive greater profitability and dominate competition. The proliferation of smart devices, growth in cloud applications, increasingly disparate user bases, Artificial Intelligence (AI) and heightened customer expectations are together driving digital adoption. This transformation has already happened across many large industries. In the retail, advertising, media, and information technology industries, for example, innovative, digital-first entrants have disrupted older business models, fundamentally changing the way they operate. Many industries that depend on physical operations, however, have been slower to adopt digital transformation. Despite their size and critical position in the worldwide economy, many companies in industries that depend on physical operations, such as logistics, manufacturing, construction, mining, health care and others still largely rely on manual processes, siloed data, spreadsheets, and legacy software. These industries represent a massive, underpenetrated market for digital transformation.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State of Operations Today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Many operations-intensive businesses rely on high-value assets and equipment, deploy large field workforces that need coordination, manage complex logistics that require precision, and navigate industry-specific workflows that call for specialized knowledge. These businesses prioritize safety, efficiency and sustainability, while needing to adhere to a myriad of regulatory requirements. Businesses that depend on physical operations are in a unique position to leverage connected IoT assets to generate real-time operational data and deploy AI to drive insights, pursue automation, and improve efficiency in their business processes. For operations-intensive businesses to stay competitive and agile, there is an imperative to adopt digital technologies, and a significant business risk from complacency. Yet the industrial market has been slow to adopt IoT technology or AI advances in their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Challenges with Operations include:</w:t>
      </w:r>
    </w:p>
    <w:p>
      <w:pPr>
        <w:spacing w:after="0" w:line="215" w:lineRule="exact"/>
        <w:rPr>
          <w:sz w:val="20"/>
          <w:szCs w:val="20"/>
          <w:color w:val="auto"/>
        </w:rPr>
      </w:pPr>
    </w:p>
    <w:p>
      <w:pPr>
        <w:jc w:val="both"/>
        <w:ind w:left="620" w:hanging="310"/>
        <w:spacing w:after="0" w:line="264"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Lack of Data Access and Siloed Systems</w:t>
      </w:r>
      <w:r>
        <w:rPr>
          <w:rFonts w:ascii="Times New Roman" w:cs="Times New Roman" w:eastAsia="Times New Roman" w:hAnsi="Times New Roman"/>
          <w:sz w:val="17"/>
          <w:szCs w:val="17"/>
          <w:color w:val="auto"/>
        </w:rPr>
        <w:t>. Many assets used for physical operations, such as vehicle fleets, machinery, factories, and remote equipment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generate enormous amounts of operational data which often cannot be accessed. Even when the data can be accessed, it resides in multiple siloed systems made up of software and hardware components from various vendors. Lack of data access and siloed systems make it difficult to unify data in the cloud and develop actionable business insights.</w:t>
      </w:r>
    </w:p>
    <w:p>
      <w:pPr>
        <w:spacing w:after="0" w:line="165"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Breadth and Diversity of Data</w:t>
      </w:r>
      <w:r>
        <w:rPr>
          <w:rFonts w:ascii="Times New Roman" w:cs="Times New Roman" w:eastAsia="Times New Roman" w:hAnsi="Times New Roman"/>
          <w:sz w:val="17"/>
          <w:szCs w:val="17"/>
          <w:color w:val="auto"/>
        </w:rPr>
        <w:t>. The breadth and diversity of data collected from physical operations limits the ability for users to consolidate different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data types and make better operational decisions. This data, which can be both structured and unstructured, can be challenging to cleanse and normalize before analysis.</w:t>
      </w:r>
    </w:p>
    <w:p>
      <w:pPr>
        <w:spacing w:after="0" w:line="160" w:lineRule="exact"/>
        <w:rPr>
          <w:rFonts w:ascii="Times New Roman" w:cs="Times New Roman" w:eastAsia="Times New Roman" w:hAnsi="Times New Roman"/>
          <w:sz w:val="17"/>
          <w:szCs w:val="17"/>
          <w:color w:val="auto"/>
        </w:rPr>
      </w:pPr>
    </w:p>
    <w:p>
      <w:pPr>
        <w:ind w:left="620" w:hanging="310"/>
        <w:spacing w:after="0" w:line="289"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Reliance on Legacy Tools</w:t>
      </w:r>
      <w:r>
        <w:rPr>
          <w:rFonts w:ascii="Times New Roman" w:cs="Times New Roman" w:eastAsia="Times New Roman" w:hAnsi="Times New Roman"/>
          <w:sz w:val="17"/>
          <w:szCs w:val="17"/>
          <w:color w:val="auto"/>
        </w:rPr>
        <w:t>. Many operations-intensive businesses run on legacy software designed to manage and monitor individual tasks. Others still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rely on spreadsheets and paper. These legacy tools were built decades ago and are not designed for scalable analytics.</w:t>
      </w:r>
    </w:p>
    <w:p>
      <w:pPr>
        <w:spacing w:after="0" w:line="144"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In-House Innovation</w:t>
      </w:r>
      <w:r>
        <w:rPr>
          <w:rFonts w:ascii="Times New Roman" w:cs="Times New Roman" w:eastAsia="Times New Roman" w:hAnsi="Times New Roman"/>
          <w:sz w:val="17"/>
          <w:szCs w:val="17"/>
          <w:color w:val="auto"/>
        </w:rPr>
        <w:t>. Businesses with physical operations typically have limited engineering personnel, IT resources, and funds dedicated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identifying causes of inefficiency and opportunities to avoid future safety, security or sustainability issues. These businesses have traditionally relied on third-party vendors to seek ways to improve their business processes.</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Compliance Burden</w:t>
      </w:r>
      <w:r>
        <w:rPr>
          <w:rFonts w:ascii="Times New Roman" w:cs="Times New Roman" w:eastAsia="Times New Roman" w:hAnsi="Times New Roman"/>
          <w:sz w:val="17"/>
          <w:szCs w:val="17"/>
          <w:color w:val="auto"/>
        </w:rPr>
        <w:t>. Businesses with extensive physical operations are subject to an increasingly complex patchwork of regulations that cover the range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their physical operations footprint, from environmental conditions to workplace safety and employee monitoring. Compliance with these regulations can be complicated, costly, and time-consuming.</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Rugged Environments and Uses</w:t>
      </w:r>
      <w:r>
        <w:rPr>
          <w:rFonts w:ascii="Times New Roman" w:cs="Times New Roman" w:eastAsia="Times New Roman" w:hAnsi="Times New Roman"/>
          <w:sz w:val="17"/>
          <w:szCs w:val="17"/>
          <w:color w:val="auto"/>
        </w:rPr>
        <w:t>. Industrial processes often operate in rugged environments, including both indoor and outdoor settings. Many IoT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implementations are made first for consumers and office spaces, where devices do not need to meet these standards. The environment and rough handling of the industrial market makes adoption harder.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color w:val="auto"/>
        </w:rPr>
        <w:t>Use of IoT in Connected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Technological advances have made it possible for companies to visualize their operations digitally in the cloud in real time. These advances include:</w:t>
      </w:r>
    </w:p>
    <w:p>
      <w:pPr>
        <w:spacing w:after="0" w:line="211" w:lineRule="exact"/>
        <w:rPr>
          <w:sz w:val="20"/>
          <w:szCs w:val="20"/>
          <w:color w:val="auto"/>
        </w:rPr>
      </w:pPr>
    </w:p>
    <w:p>
      <w:pPr>
        <w:ind w:left="620" w:hanging="310"/>
        <w:spacing w:after="0" w:line="289"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Proliferation of Connected Physical Assets</w:t>
      </w:r>
      <w:r>
        <w:rPr>
          <w:rFonts w:ascii="Times New Roman" w:cs="Times New Roman" w:eastAsia="Times New Roman" w:hAnsi="Times New Roman"/>
          <w:sz w:val="17"/>
          <w:szCs w:val="17"/>
          <w:color w:val="auto"/>
        </w:rPr>
        <w:t>. According to data from IDC, the number of connected IoT assets, such as machinery, vehicles, warehouses,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factories, is expected to significantly increase, from approximately 33 billion in 2021 to 39 billion by 2024.</w:t>
      </w:r>
    </w:p>
    <w:p>
      <w:pPr>
        <w:spacing w:after="0" w:line="144"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Advances in Cloud-Based Big Data</w:t>
      </w:r>
      <w:r>
        <w:rPr>
          <w:rFonts w:ascii="Times New Roman" w:cs="Times New Roman" w:eastAsia="Times New Roman" w:hAnsi="Times New Roman"/>
          <w:sz w:val="17"/>
          <w:szCs w:val="17"/>
          <w:color w:val="auto"/>
        </w:rPr>
        <w:t>. The cloud has significantly lowered computing and storage costs, which has enabled massive amounts of data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processed and analyzed efficiently. With these advances, more businesses are transitioning to the cloud, which simplifies data extraction and data integration.</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Faster and Cheaper Wireless Capabilities</w:t>
      </w:r>
      <w:r>
        <w:rPr>
          <w:rFonts w:ascii="Times New Roman" w:cs="Times New Roman" w:eastAsia="Times New Roman" w:hAnsi="Times New Roman"/>
          <w:sz w:val="17"/>
          <w:szCs w:val="17"/>
          <w:color w:val="auto"/>
        </w:rPr>
        <w:t>. The proliferation of Bluetooth Low Energy and advances in cellular technology have increased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bandwidth and lowered the cost of wireless connectivity. These improvements enable more IoT devices to cost-effectively connect to the cloud, making it feasible to stream real-time data and high-definition video. The 5G rollout in the U.S. and around the world will continue to further these advancements.</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Improvements in Camera and Sensor Technology</w:t>
      </w:r>
      <w:r>
        <w:rPr>
          <w:rFonts w:ascii="Times New Roman" w:cs="Times New Roman" w:eastAsia="Times New Roman" w:hAnsi="Times New Roman"/>
          <w:sz w:val="17"/>
          <w:szCs w:val="17"/>
          <w:color w:val="auto"/>
        </w:rPr>
        <w:t>. Cameras and other sensor technology have experienced rapid innovation, with improvements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capture quality at lower cost. Cameras and other sensors have become smaller, more affordable, more energy-efficient, and more sensitive, resulting in their widespread proliferation.</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More Powerful Artificial Intelligence</w:t>
      </w:r>
      <w:r>
        <w:rPr>
          <w:rFonts w:ascii="Times New Roman" w:cs="Times New Roman" w:eastAsia="Times New Roman" w:hAnsi="Times New Roman"/>
          <w:sz w:val="17"/>
          <w:szCs w:val="17"/>
          <w:color w:val="auto"/>
        </w:rPr>
        <w:t>. AI algorithms are becoming increasingly accurate and flexible, while AI processing capabilities at the edge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cloud are growing. The resulting AI capabilities make it possible to analyze quantities of operations and IoT data too voluminous for ordinary human analysis or legacy software, and to distill it down in real-time.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Company</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CID Holdco, Inc., a Nevada corporation, helps businesses digitally transform their operations using IoT and AI technology. With significant innovations in RF networking, use of vision system overlays and a cloud-based AI engine, the company offers a differentiated asset tracking and workflow management solution for operations intensive enterprises.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CID Holdco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Another common application is tracking inventory. CID Holdco provides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jc w:val="both"/>
        <w:spacing w:after="0" w:line="268" w:lineRule="auto"/>
        <w:rPr>
          <w:sz w:val="20"/>
          <w:szCs w:val="20"/>
          <w:color w:val="auto"/>
        </w:rPr>
      </w:pPr>
      <w:r>
        <w:rPr>
          <w:rFonts w:ascii="Times New Roman" w:cs="Times New Roman" w:eastAsia="Times New Roman" w:hAnsi="Times New Roman"/>
          <w:sz w:val="17"/>
          <w:szCs w:val="17"/>
          <w:color w:val="auto"/>
        </w:rPr>
        <w:t>CID Holdco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Another example application is guided spotting and collision avoidance for vehicles.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short, CID Holdco brings a next generation capability to know when, where and why assets move in the enterprise, providing an opportunity to apply AI to complex edge processes.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summary of the state of development of each of our software products and services offerings: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Timing for</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Currently under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0" w:type="dxa"/>
            <w:vAlign w:val="bottom"/>
          </w:tcPr>
          <w:p>
            <w:pPr>
              <w:spacing w:after="0"/>
              <w:rPr>
                <w:sz w:val="1"/>
                <w:szCs w:val="1"/>
                <w:color w:val="auto"/>
              </w:rPr>
            </w:pPr>
          </w:p>
        </w:tc>
      </w:tr>
      <w:tr>
        <w:trPr>
          <w:trHeight w:val="231"/>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Software Capitalization</w:t>
            </w:r>
          </w:p>
        </w:tc>
        <w:tc>
          <w:tcPr>
            <w:tcW w:w="4760" w:type="dxa"/>
            <w:vAlign w:val="bottom"/>
            <w:gridSpan w:val="2"/>
          </w:tcPr>
          <w:p>
            <w:pPr>
              <w:ind w:left="19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release</w:t>
            </w: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costs</w:t>
            </w:r>
          </w:p>
        </w:tc>
        <w:tc>
          <w:tcPr>
            <w:tcW w:w="0" w:type="dxa"/>
            <w:vAlign w:val="bottom"/>
          </w:tcPr>
          <w:p>
            <w:pPr>
              <w:spacing w:after="0"/>
              <w:rPr>
                <w:sz w:val="1"/>
                <w:szCs w:val="1"/>
                <w:color w:val="auto"/>
              </w:rPr>
            </w:pPr>
          </w:p>
        </w:tc>
      </w:tr>
      <w:tr>
        <w:trPr>
          <w:trHeight w:val="205"/>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BLE Protocol</w:t>
            </w:r>
          </w:p>
        </w:tc>
        <w:tc>
          <w:tcPr>
            <w:tcW w:w="8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protocol development for communication between bridges</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 in progress</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2026 Q2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Locating Protocol</w:t>
            </w:r>
          </w:p>
        </w:tc>
        <w:tc>
          <w:tcPr>
            <w:tcW w:w="4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 protocol development for locating items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1.4 in progress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2026 Q2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312,000</w:t>
            </w:r>
          </w:p>
        </w:tc>
        <w:tc>
          <w:tcPr>
            <w:tcW w:w="0" w:type="dxa"/>
            <w:vAlign w:val="bottom"/>
          </w:tcPr>
          <w:p>
            <w:pPr>
              <w:spacing w:after="0"/>
              <w:rPr>
                <w:sz w:val="1"/>
                <w:szCs w:val="1"/>
                <w:color w:val="auto"/>
              </w:rPr>
            </w:pPr>
          </w:p>
        </w:tc>
      </w:tr>
      <w:tr>
        <w:trPr>
          <w:trHeight w:val="205"/>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Web Backend</w:t>
            </w: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infrastructure to support web services</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3.0 in progress</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2026 Q1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249,600</w:t>
            </w:r>
          </w:p>
        </w:tc>
        <w:tc>
          <w:tcPr>
            <w:tcW w:w="0" w:type="dxa"/>
            <w:vAlign w:val="bottom"/>
          </w:tcPr>
          <w:p>
            <w:pPr>
              <w:spacing w:after="0"/>
              <w:rPr>
                <w:sz w:val="1"/>
                <w:szCs w:val="1"/>
                <w:color w:val="auto"/>
              </w:rPr>
            </w:pPr>
          </w:p>
        </w:tc>
      </w:tr>
      <w:tr>
        <w:trPr>
          <w:trHeight w:val="24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Rest API</w:t>
            </w:r>
          </w:p>
        </w:tc>
        <w:tc>
          <w:tcPr>
            <w:tcW w:w="47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RestFull interface development for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party software connection</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3.0 in progress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2026 Q1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146,800</w:t>
            </w:r>
          </w:p>
        </w:tc>
        <w:tc>
          <w:tcPr>
            <w:tcW w:w="0" w:type="dxa"/>
            <w:vAlign w:val="bottom"/>
          </w:tcPr>
          <w:p>
            <w:pPr>
              <w:spacing w:after="0"/>
              <w:rPr>
                <w:sz w:val="1"/>
                <w:szCs w:val="1"/>
                <w:color w:val="auto"/>
              </w:rPr>
            </w:pPr>
          </w:p>
        </w:tc>
      </w:tr>
      <w:tr>
        <w:trPr>
          <w:trHeight w:val="205"/>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Web Front End</w:t>
            </w: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User interface to web services</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3.0 in progress</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2026 Q1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249,600</w:t>
            </w:r>
          </w:p>
        </w:tc>
        <w:tc>
          <w:tcPr>
            <w:tcW w:w="0" w:type="dxa"/>
            <w:vAlign w:val="bottom"/>
          </w:tcPr>
          <w:p>
            <w:pPr>
              <w:spacing w:after="0"/>
              <w:rPr>
                <w:sz w:val="1"/>
                <w:szCs w:val="1"/>
                <w:color w:val="auto"/>
              </w:rPr>
            </w:pPr>
          </w:p>
        </w:tc>
      </w:tr>
      <w:tr>
        <w:trPr>
          <w:trHeight w:val="205"/>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AWS Services</w:t>
            </w:r>
          </w:p>
        </w:tc>
        <w:tc>
          <w:tcPr>
            <w:tcW w:w="4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Development of structure to use AWS service modules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3.0 in progress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2026 Q1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112,000</w:t>
            </w:r>
          </w:p>
        </w:tc>
        <w:tc>
          <w:tcPr>
            <w:tcW w:w="0" w:type="dxa"/>
            <w:vAlign w:val="bottom"/>
          </w:tcPr>
          <w:p>
            <w:pPr>
              <w:spacing w:after="0"/>
              <w:rPr>
                <w:sz w:val="1"/>
                <w:szCs w:val="1"/>
                <w:color w:val="auto"/>
              </w:rPr>
            </w:pPr>
          </w:p>
        </w:tc>
      </w:tr>
      <w:tr>
        <w:trPr>
          <w:trHeight w:val="205"/>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CI/CD Pipelines</w:t>
            </w: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Integration and deployment tool development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3.0 in progress</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2026 Q1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57,200</w:t>
            </w:r>
          </w:p>
        </w:tc>
        <w:tc>
          <w:tcPr>
            <w:tcW w:w="0" w:type="dxa"/>
            <w:vAlign w:val="bottom"/>
          </w:tcPr>
          <w:p>
            <w:pPr>
              <w:spacing w:after="0"/>
              <w:rPr>
                <w:sz w:val="1"/>
                <w:szCs w:val="1"/>
                <w:color w:val="auto"/>
              </w:rPr>
            </w:pPr>
          </w:p>
        </w:tc>
      </w:tr>
      <w:tr>
        <w:trPr>
          <w:trHeight w:val="22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LORA LoRa &amp; Reliability</w:t>
            </w:r>
          </w:p>
        </w:tc>
        <w:tc>
          <w:tcPr>
            <w:tcW w:w="4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 range communication protocol development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1.4 in progress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2026 Q2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154,000</w:t>
            </w:r>
          </w:p>
        </w:tc>
        <w:tc>
          <w:tcPr>
            <w:tcW w:w="0" w:type="dxa"/>
            <w:vAlign w:val="bottom"/>
          </w:tcPr>
          <w:p>
            <w:pPr>
              <w:spacing w:after="0"/>
              <w:rPr>
                <w:sz w:val="1"/>
                <w:szCs w:val="1"/>
                <w:color w:val="auto"/>
              </w:rPr>
            </w:pPr>
          </w:p>
        </w:tc>
      </w:tr>
      <w:tr>
        <w:trPr>
          <w:trHeight w:val="172"/>
        </w:trPr>
        <w:tc>
          <w:tcPr>
            <w:tcW w:w="246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Total Projected Software</w:t>
            </w:r>
          </w:p>
        </w:tc>
        <w:tc>
          <w:tcPr>
            <w:tcW w:w="4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Development Cost</w:t>
            </w: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1,628,200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ind w:left="3080"/>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76" w:name="page77"/>
    <w:bookmarkEnd w:id="76"/>
    <w:p>
      <w:pPr>
        <w:jc w:val="both"/>
        <w:spacing w:after="0" w:line="262" w:lineRule="auto"/>
        <w:rPr>
          <w:sz w:val="20"/>
          <w:szCs w:val="20"/>
          <w:color w:val="auto"/>
        </w:rPr>
      </w:pPr>
      <w:r>
        <w:rPr>
          <w:rFonts w:ascii="Times New Roman" w:cs="Times New Roman" w:eastAsia="Times New Roman" w:hAnsi="Times New Roman"/>
          <w:sz w:val="17"/>
          <w:szCs w:val="17"/>
          <w:color w:val="auto"/>
        </w:rPr>
        <w:t>The costs shown in the table above are largely the cost of human resources associated with the project, with some additional minor costs related to use costs for infrastructure, tools and platforms that support the development. Each module has a team dedicated to the release of the next version of the module.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time of team members spent on the projects are pro-rated against salary levels and attributed to the module capitalization. Time is spent on development, test, compliance and commercialization activities to prepare modules for sale to the general market. 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Real-Time Location Systems (“RTLS”)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RTLS is a real-time indoor and outdoor location tracking system that locates and monitors any person, asset or vehicle within a defined zone covered by a radio frequency (“RF”) network.</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RTLS tags are made up of a small antenna, motion sensors, RTLS microprocessor, and a battery. Most batteries on RTLS tags can last for months (continuous movement) or many years (occasional movement) before needing to be recharged or replaced. The tags transmit a few times in a second or once every few seconds or minutes, depending on how often customers need to refresh the location data for their application.</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Customers can utilize UWB or BLE indoors; LORA, GPS and 4G/5G outdoors. Using combinations of these technologies CID Holdco can bridge the gap between inside and outside to give customers a comprehensive tracking solution for their yard, cross dock, airport, sea port, warehouse or distribution center — anywhere they need to track people, assets or vehicles — whether indoors or outside. CID Holdco employs tags and readers from many other vendors as part of their system when appropriate for the application.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unique aspect of CID Holdco is that they provide passive (battery free) transponders at BLE frequencies, in fact they are the only company offering an industrial passive BLE transponder. Using this capability, CID Holdco can deploy systems that combine inexpensive passive tags on general items with more expensive battery powered tags on items of greater interest to create a cost-effective tracking system.</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It is also uncommon for tracking companies to use RF and Vision systems in combination. With the advent of inexpensive AI cameras, it has become cost effective for CID Holdco to pair these vision systems with their RF tracking systems to provide comprehensive coverage.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Tracking Services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CID Holdco provides personnel tracking enabled with passive or wireless rechargeable ID badges or belt clips, allowing data-driven efficiency and safety. Both indoor and outdoor tracking capabilities are supported by CID Holdco innovative technology.</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Personnel and vehicles can often be tracked with vision systems as well. In many instances, tracking through key POI (Points of Interest) with RF and vision is essential to provide enhanced safety or assurance for the organization.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CID Holdco utilizes vehicle telematics systems where appropriate to track vehicles over wide areas.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Sensors (temperature, motion, pressure etc.) are also often deployed as part of the system to track key process parameters and can be inputs into the rules engine.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color w:val="auto"/>
        </w:rPr>
        <w:t>Solutions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For customers that need to know when, where and why assets and personnel are moving, and to have assurance that orders are progressing, CID Holdco provides a variety of solutions, including the following: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 Management and Control</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Mining and Construction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Military Operations and Logistics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Airport and Aviation Ground Support Management</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CID Holdco solutions allow customers to create a connected network of vehicles, ground support equipment (“GSE”) and personnel with more control over the coordination of airport services.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Forklift Collision Warning</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Medical Logistics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Yard Management</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Artificial Intelligence</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62" w:lineRule="exact"/>
        <w:rPr>
          <w:sz w:val="20"/>
          <w:szCs w:val="20"/>
          <w:color w:val="auto"/>
        </w:rPr>
      </w:pPr>
    </w:p>
    <w:p>
      <w:pPr>
        <w:jc w:val="both"/>
        <w:ind w:left="620" w:hanging="310"/>
        <w:spacing w:after="0" w:line="256"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use </w:t>
      </w:r>
      <w:r>
        <w:rPr>
          <w:rFonts w:ascii="Times New Roman" w:cs="Times New Roman" w:eastAsia="Times New Roman" w:hAnsi="Times New Roman"/>
          <w:sz w:val="17"/>
          <w:szCs w:val="17"/>
          <w:b w:val="1"/>
          <w:bCs w:val="1"/>
          <w:color w:val="auto"/>
        </w:rPr>
        <w:t>AI Cameras</w:t>
      </w:r>
      <w:r>
        <w:rPr>
          <w:rFonts w:ascii="Times New Roman" w:cs="Times New Roman" w:eastAsia="Times New Roman" w:hAnsi="Times New Roman"/>
          <w:sz w:val="17"/>
          <w:szCs w:val="17"/>
          <w:color w:val="auto"/>
        </w:rPr>
        <w:t xml:space="preserve">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74"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use a </w:t>
      </w:r>
      <w:r>
        <w:rPr>
          <w:rFonts w:ascii="Times New Roman" w:cs="Times New Roman" w:eastAsia="Times New Roman" w:hAnsi="Times New Roman"/>
          <w:sz w:val="17"/>
          <w:szCs w:val="17"/>
          <w:b w:val="1"/>
          <w:bCs w:val="1"/>
          <w:color w:val="auto"/>
        </w:rPr>
        <w:t>Rules Engine</w:t>
      </w:r>
      <w:r>
        <w:rPr>
          <w:rFonts w:ascii="Times New Roman" w:cs="Times New Roman" w:eastAsia="Times New Roman" w:hAnsi="Times New Roman"/>
          <w:sz w:val="17"/>
          <w:szCs w:val="17"/>
          <w:color w:val="auto"/>
        </w:rPr>
        <w:t xml:space="preserv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70" w:lineRule="exact"/>
        <w:rPr>
          <w:rFonts w:ascii="Times New Roman" w:cs="Times New Roman" w:eastAsia="Times New Roman" w:hAnsi="Times New Roman"/>
          <w:sz w:val="17"/>
          <w:szCs w:val="17"/>
          <w:color w:val="auto"/>
        </w:rPr>
      </w:pPr>
    </w:p>
    <w:p>
      <w:pPr>
        <w:jc w:val="both"/>
        <w:ind w:left="620" w:hanging="310"/>
        <w:spacing w:after="0" w:line="25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use AI to implement </w:t>
      </w:r>
      <w:r>
        <w:rPr>
          <w:rFonts w:ascii="Times New Roman" w:cs="Times New Roman" w:eastAsia="Times New Roman" w:hAnsi="Times New Roman"/>
          <w:sz w:val="17"/>
          <w:szCs w:val="17"/>
          <w:b w:val="1"/>
          <w:bCs w:val="1"/>
          <w:color w:val="auto"/>
        </w:rPr>
        <w:t>Enhanced Workflows</w:t>
      </w:r>
      <w:r>
        <w:rPr>
          <w:rFonts w:ascii="Times New Roman" w:cs="Times New Roman" w:eastAsia="Times New Roman" w:hAnsi="Times New Roman"/>
          <w:sz w:val="17"/>
          <w:szCs w:val="17"/>
          <w:color w:val="auto"/>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p>
      <w:pPr>
        <w:jc w:val="both"/>
        <w:spacing w:after="0" w:line="260" w:lineRule="auto"/>
        <w:rPr>
          <w:sz w:val="20"/>
          <w:szCs w:val="20"/>
          <w:color w:val="auto"/>
        </w:rPr>
      </w:pPr>
      <w:r>
        <w:rPr>
          <w:rFonts w:ascii="Times New Roman" w:cs="Times New Roman" w:eastAsia="Times New Roman" w:hAnsi="Times New Roman"/>
          <w:sz w:val="17"/>
          <w:szCs w:val="17"/>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developing and implementing our AI algorithms, we use the following third-party toolkits: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AWS Services: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AWS KVS: Used for video streaming, not inherently AI, but can be integrated with AI for video analysis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Libraries: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YOLOv8 &amp; YOLOv10: These are object detection models specifically used for AI purposes, particularly computer vision.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open-cv: An open-source library used for computer vision tasks, commonly used in AI applications.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deepsort: Used for tracking objects, often paired with AI models like YOLO for real-time AI-based tracking.</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pytorch: A deep learning library, essential for AI and machine learning model development.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numpy: A fundamental library for numerical computations, frequently used in AI tasks for handling data arrays.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 Tools &amp; Data:</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Stable Diffusion: An AI model for generating images.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Midjourney: An AI tool for generating images from text prompts.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Adobe Firefly: AI-powered creative tools for image and video editing.</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Roboflow: A platform that assists in building computer vision models, supporting AI workflows.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Tools: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labelImg: Used for labeling images, an important step in AI model training, especially for computer vision.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Structure</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based in the United States with four existing or planned locations of activity:</w:t>
      </w:r>
    </w:p>
    <w:p>
      <w:pPr>
        <w:spacing w:after="0" w:line="2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Las Vegas, Nevada — hosts our Go-To-Market team including our Sales, Marketing and Professional Services leadership, a Western Experience Center for demonstrations as well as customer and channel training facilities.</w:t>
      </w:r>
    </w:p>
    <w:p>
      <w:pPr>
        <w:spacing w:after="0" w:line="1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Bethesda, Maryland — hosts our General &amp; Administration leadership team, an Eastern Experience Center for demonstrations as well as customer and channel training facilities.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17"/>
          <w:szCs w:val="17"/>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Manati, Puerto Rico — the site of our hardware manufacturing, a small factory producing selected tags and bridges that are specific to the unique tracking system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Leaders in Tracking and AutoID Systems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Zebra </w:t>
      </w:r>
      <w:r>
        <w:rPr>
          <w:rFonts w:ascii="Times New Roman" w:cs="Times New Roman" w:eastAsia="Times New Roman" w:hAnsi="Times New Roman"/>
          <w:sz w:val="17"/>
          <w:szCs w:val="17"/>
          <w:color w:val="auto"/>
        </w:rPr>
        <w:t>— Zebra Technologies Corporation is a mobile computing company based in San Francisco, California, specializing in technology used to sense, analyze,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Samsara </w:t>
      </w:r>
      <w:r>
        <w:rPr>
          <w:rFonts w:ascii="Times New Roman" w:cs="Times New Roman" w:eastAsia="Times New Roman" w:hAnsi="Times New Roman"/>
          <w:sz w:val="17"/>
          <w:szCs w:val="17"/>
          <w:color w:val="auto"/>
        </w:rPr>
        <w:t>— Samsara Inc. is an IoT company headquartered in San Francisco, California, that provides software and insights for physical operations.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color w:val="auto"/>
        </w:rPr>
        <w:t>Niche or Regional Tracking System Players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market is crowded with small players as is typical in periods of generational transition. Many are attempting to apply IoT technology in a specific way or focused on a particular vertical application.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246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960" w:type="dxa"/>
            <w:vAlign w:val="bottom"/>
          </w:tcPr>
          <w:p>
            <w:pPr>
              <w:ind w:left="3280"/>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Link Labs</w:t>
            </w:r>
          </w:p>
        </w:tc>
        <w:tc>
          <w:tcPr>
            <w:tcW w:w="120" w:type="dxa"/>
            <w:vAlign w:val="bottom"/>
          </w:tcPr>
          <w:p>
            <w:pPr>
              <w:spacing w:after="0"/>
              <w:rPr>
                <w:sz w:val="16"/>
                <w:szCs w:val="16"/>
                <w:color w:val="auto"/>
              </w:rPr>
            </w:pPr>
          </w:p>
        </w:tc>
        <w:tc>
          <w:tcPr>
            <w:tcW w:w="23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Annapolis, MD</w:t>
            </w:r>
          </w:p>
        </w:tc>
        <w:tc>
          <w:tcPr>
            <w:tcW w:w="100" w:type="dxa"/>
            <w:vAlign w:val="bottom"/>
          </w:tcPr>
          <w:p>
            <w:pPr>
              <w:spacing w:after="0"/>
              <w:rPr>
                <w:sz w:val="16"/>
                <w:szCs w:val="16"/>
                <w:color w:val="auto"/>
              </w:rPr>
            </w:pPr>
          </w:p>
        </w:tc>
        <w:tc>
          <w:tcPr>
            <w:tcW w:w="69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BLE with a patented overlay protocol XLE (extreme low energy). Phase-ranging with 3 – 7 years</w:t>
            </w: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battery life and accuracy in asset location to within a meter. Use pRFID too.</w:t>
            </w:r>
          </w:p>
        </w:tc>
      </w:tr>
      <w:tr>
        <w:trPr>
          <w:trHeight w:val="393"/>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Cognosos</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Atlanta, GA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BLE with Location AI technology, LoRA distance backhaul using Semtech LPWA, 1-3m accuracy.</w:t>
            </w: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Use pRFID too.</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True Spot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Irving, TX</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BLE system, focused on Health Care market</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Blueiot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Beijing,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They claim to have done a BLE implementation with accuracy to 10cm.</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Dusun</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Hangzhou,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Lorawan and BLE, some zigbee, broad hardware offer.</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Mokosmart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Shenzen,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Big hardware maker, #1 in our space for private labelling</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Milesight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Xiamen, Fujian,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Use Lora, BLE and video feeds in their system</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Digital Matter</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Perth, AUS</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Telematics and tracking systems, LoRA and BLE</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Abeeway</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Biot, France</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Lorawan and BLE, indoor and outdoor capability</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Kontakt.io</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Krakow, Poland</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Initially a hardware vendor, have grown into full solution with hardware as a key element</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Ubisense</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Cambridge, UK</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UWB high precision tracking is the focus, also have a line of BLE tracking solutions.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Radiant RFID</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Austin, Texas</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UHF RFID systems, attempting to migrate to next generation technology</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Sensolus</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Ghent, Belgium</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Tracking and workflow systems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Litum</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Izmir, Turkey</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UWB high precision tracking is the focus, also have a line of BLE tracking solutions.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Savi</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Alexandria, VA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Military supplier, long range tracking tags for containers and pallets. ISO 18000-7</w:t>
            </w:r>
          </w:p>
        </w:tc>
      </w:tr>
      <w:tr>
        <w:trPr>
          <w:trHeight w:val="393"/>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Inpixion</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Palo Alto, CA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Use of BLE and UWB as needed. Open architecture. Inpixon is a business unit of XTI Aerospace,</w:t>
            </w: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r>
    </w:tbl>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industry specific players, particularly in Health Care, where the requirements can be quite specific and the use cases focused.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spacing w:after="0" w:line="284" w:lineRule="auto"/>
        <w:rPr>
          <w:sz w:val="20"/>
          <w:szCs w:val="20"/>
          <w:color w:val="auto"/>
        </w:rPr>
      </w:pPr>
      <w:r>
        <w:rPr>
          <w:rFonts w:ascii="Times New Roman" w:cs="Times New Roman" w:eastAsia="Times New Roman" w:hAnsi="Times New Roman"/>
          <w:sz w:val="17"/>
          <w:szCs w:val="17"/>
          <w:color w:val="auto"/>
        </w:rPr>
        <w:t>Competition is from all over the word, with many of the most important competitors centered in the US market, although China is a big part of this list even if they are not explicitly identified. Many of the devices designed by these players are made in China via contractors.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also a wide technology spread. Some specialize in precise location services using UWB. Some are strictly BLE or LoRA shops.</w:t>
      </w:r>
    </w:p>
    <w:p>
      <w:pPr>
        <w:spacing w:after="0" w:line="2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Note that this list does not include all of the passive RFID and barcode system companies also active in the market. Their legacy footprint represents one of the best market opportunities to convert.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246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960" w:type="dxa"/>
            <w:vAlign w:val="bottom"/>
          </w:tcPr>
          <w:p>
            <w:pPr>
              <w:ind w:left="3280"/>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Link Labs</w:t>
            </w:r>
          </w:p>
        </w:tc>
        <w:tc>
          <w:tcPr>
            <w:tcW w:w="120" w:type="dxa"/>
            <w:vAlign w:val="bottom"/>
          </w:tcPr>
          <w:p>
            <w:pPr>
              <w:spacing w:after="0"/>
              <w:rPr>
                <w:sz w:val="16"/>
                <w:szCs w:val="16"/>
                <w:color w:val="auto"/>
              </w:rPr>
            </w:pPr>
          </w:p>
        </w:tc>
        <w:tc>
          <w:tcPr>
            <w:tcW w:w="23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Annapolis, MD</w:t>
            </w:r>
          </w:p>
        </w:tc>
        <w:tc>
          <w:tcPr>
            <w:tcW w:w="100" w:type="dxa"/>
            <w:vAlign w:val="bottom"/>
          </w:tcPr>
          <w:p>
            <w:pPr>
              <w:spacing w:after="0"/>
              <w:rPr>
                <w:sz w:val="16"/>
                <w:szCs w:val="16"/>
                <w:color w:val="auto"/>
              </w:rPr>
            </w:pPr>
          </w:p>
        </w:tc>
        <w:tc>
          <w:tcPr>
            <w:tcW w:w="69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BLE with a patented overlay protocol XLE (extreme low energy). Phase-ranging with 3 – 7 years</w:t>
            </w: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battery life and accuracy in asset location to within a meter. Use pRFID too.</w:t>
            </w:r>
          </w:p>
        </w:tc>
      </w:tr>
      <w:tr>
        <w:trPr>
          <w:trHeight w:val="393"/>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Cognosos</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Atlanta, GA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BLE with LocationAI technology, LoRA distance backhaul using Semtech LPWA, 1-3m accuracy.</w:t>
            </w: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Use pRFID too.</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True Spot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Irving, TX</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BLE system, focused on Health Care market</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Blueiot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Beijing,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They claim to have done a BLE implementation with accuracy to 10cm.</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Dusun</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Hangzhou,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Lorawan and BLE, some zigbee, broad hardware offer.</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Mokosmart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Shenzen,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Big hardware maker, #1 in our space for private labelling</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Milesight</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Xiamen, Fujian, China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Use Lora, BLE and video feeds in their system</w:t>
            </w:r>
          </w:p>
        </w:tc>
      </w:tr>
      <w:tr>
        <w:trPr>
          <w:trHeight w:val="620"/>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75</w:t>
            </w:r>
          </w:p>
        </w:tc>
      </w:tr>
    </w:tbl>
    <w:p>
      <w:pPr>
        <w:sectPr>
          <w:pgSz w:w="11900" w:h="16838" w:orient="portrait"/>
          <w:cols w:equalWidth="0" w:num="1">
            <w:col w:w="11240"/>
          </w:cols>
          <w:pgMar w:left="320" w:top="328"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246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960" w:type="dxa"/>
            <w:vAlign w:val="bottom"/>
          </w:tcPr>
          <w:p>
            <w:pPr>
              <w:ind w:left="3280"/>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222"/>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Digital Matter</w:t>
            </w:r>
          </w:p>
        </w:tc>
        <w:tc>
          <w:tcPr>
            <w:tcW w:w="120" w:type="dxa"/>
            <w:vAlign w:val="bottom"/>
          </w:tcPr>
          <w:p>
            <w:pPr>
              <w:spacing w:after="0"/>
              <w:rPr>
                <w:sz w:val="19"/>
                <w:szCs w:val="19"/>
                <w:color w:val="auto"/>
              </w:rPr>
            </w:pP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Perth, AUS</w:t>
            </w:r>
          </w:p>
        </w:tc>
        <w:tc>
          <w:tcPr>
            <w:tcW w:w="100" w:type="dxa"/>
            <w:vAlign w:val="bottom"/>
          </w:tcPr>
          <w:p>
            <w:pPr>
              <w:spacing w:after="0"/>
              <w:rPr>
                <w:sz w:val="19"/>
                <w:szCs w:val="19"/>
                <w:color w:val="auto"/>
              </w:rPr>
            </w:pPr>
          </w:p>
        </w:tc>
        <w:tc>
          <w:tcPr>
            <w:tcW w:w="6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Telematics and tracking systems, LoRA and BLE</w:t>
            </w:r>
          </w:p>
        </w:tc>
      </w:tr>
      <w:tr>
        <w:trPr>
          <w:trHeight w:val="394"/>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Abeeway</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Biot, France</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Lorawan and BLE, indoor and outdoor capability</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Kontakt.io</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Krakow, Poland</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Initially a hardware vendor, have grown into full solution with hardware as a key element</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Ubisense</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Cambridge, UK</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UWB high precision tracking is the focus, also have a line of BLE tracking solutions.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Radiant RFID</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Austin, Texas</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UHF RFID systems, attempting to migrate to next generation technology</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Sensolus</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Ghent, Belgium</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Tracking and workflow systems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Litum</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Izmir, Turkey</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UWB high precision tracking is the focus, also have a line of BLE tracking solutions.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Savi</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Alexandria, VA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Military supplier, long range tracking tags for containers and pallets. ISO 18000-7</w:t>
            </w:r>
          </w:p>
        </w:tc>
      </w:tr>
      <w:tr>
        <w:trPr>
          <w:trHeight w:val="393"/>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Inpixion</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Palo Alto, CA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Use of BLE and UWB as needed. Open architecture. Inpixon is a business unit of XTI Aerospace,</w:t>
            </w:r>
          </w:p>
        </w:tc>
      </w:tr>
      <w:tr>
        <w:trPr>
          <w:trHeight w:val="222"/>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Airista</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Timonium, Maryland</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Partnership with Cisco, wifi and BLE product line with good software interfaces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Centrak</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Newtown, PA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Health care focus, Indoor location using wifi and BLE VA contract win was very large.</w:t>
            </w:r>
          </w:p>
        </w:tc>
      </w:tr>
      <w:tr>
        <w:trPr>
          <w:trHeight w:val="620"/>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76</w:t>
            </w:r>
          </w:p>
        </w:tc>
      </w:tr>
    </w:tbl>
    <w:p>
      <w:pPr>
        <w:sectPr>
          <w:pgSz w:w="11900" w:h="16838" w:orient="portrait"/>
          <w:cols w:equalWidth="0" w:num="1">
            <w:col w:w="11240"/>
          </w:cols>
          <w:pgMar w:left="320" w:top="324"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246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960" w:type="dxa"/>
            <w:vAlign w:val="bottom"/>
          </w:tcPr>
          <w:p>
            <w:pPr>
              <w:ind w:left="3280"/>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222"/>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Pozyx</w:t>
            </w:r>
          </w:p>
        </w:tc>
        <w:tc>
          <w:tcPr>
            <w:tcW w:w="120" w:type="dxa"/>
            <w:vAlign w:val="bottom"/>
          </w:tcPr>
          <w:p>
            <w:pPr>
              <w:spacing w:after="0"/>
              <w:rPr>
                <w:sz w:val="19"/>
                <w:szCs w:val="19"/>
                <w:color w:val="auto"/>
              </w:rPr>
            </w:pP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Ghent, Belgium</w:t>
            </w:r>
          </w:p>
        </w:tc>
        <w:tc>
          <w:tcPr>
            <w:tcW w:w="100" w:type="dxa"/>
            <w:vAlign w:val="bottom"/>
          </w:tcPr>
          <w:p>
            <w:pPr>
              <w:spacing w:after="0"/>
              <w:rPr>
                <w:sz w:val="19"/>
                <w:szCs w:val="19"/>
                <w:color w:val="auto"/>
              </w:rPr>
            </w:pPr>
          </w:p>
        </w:tc>
        <w:tc>
          <w:tcPr>
            <w:tcW w:w="6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Indoor and outdoor rtls. Use of GPS BLE and other technologies opportunistically</w:t>
            </w:r>
          </w:p>
        </w:tc>
      </w:tr>
      <w:tr>
        <w:trPr>
          <w:trHeight w:val="394"/>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Sewio</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Brno, Czech Republic</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Primarily a UWB player, competing in the precision location space. Some edge cases with BLE</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Ekahau</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Reston, VA</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Wifi and BLE locating health care and indoor focus</w:t>
            </w:r>
          </w:p>
        </w:tc>
      </w:tr>
      <w:tr>
        <w:trPr>
          <w:trHeight w:val="4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Stanley Healthcare</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Litchfield, UK</w:t>
            </w: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Health care focus, Indoor location using wifi and BLE</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Automation and Sensor Companies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Large automation players such as </w:t>
      </w:r>
      <w:r>
        <w:rPr>
          <w:rFonts w:ascii="Times New Roman" w:cs="Times New Roman" w:eastAsia="Times New Roman" w:hAnsi="Times New Roman"/>
          <w:sz w:val="17"/>
          <w:szCs w:val="17"/>
          <w:b w:val="1"/>
          <w:bCs w:val="1"/>
          <w:color w:val="auto"/>
        </w:rPr>
        <w:t>Honeywell, Siemens, Rockwell Automation, Mitsubishi, Panasonic, Omron, Sick, Schneider Electric</w:t>
      </w:r>
      <w:r>
        <w:rPr>
          <w:rFonts w:ascii="Times New Roman" w:cs="Times New Roman" w:eastAsia="Times New Roman" w:hAnsi="Times New Roman"/>
          <w:sz w:val="17"/>
          <w:szCs w:val="17"/>
          <w:color w:val="auto"/>
        </w:rPr>
        <w:t xml:space="preserve">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are more often seen as complimentary to the solutions of the company. Their channel partners are prime targets to take on the solution set provided by the company to augment existing offerings from their primary line card.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ERP, MES or WMS Players</w:t>
      </w: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This group includes </w:t>
      </w:r>
      <w:r>
        <w:rPr>
          <w:rFonts w:ascii="Times New Roman" w:cs="Times New Roman" w:eastAsia="Times New Roman" w:hAnsi="Times New Roman"/>
          <w:sz w:val="17"/>
          <w:szCs w:val="17"/>
          <w:b w:val="1"/>
          <w:bCs w:val="1"/>
          <w:color w:val="auto"/>
        </w:rPr>
        <w:t>Korber, SAP, Microsoft, Oracle, Blue Yonder, Infor, Manhattan Associates</w:t>
      </w:r>
      <w:r>
        <w:rPr>
          <w:rFonts w:ascii="Times New Roman" w:cs="Times New Roman" w:eastAsia="Times New Roman" w:hAnsi="Times New Roman"/>
          <w:sz w:val="17"/>
          <w:szCs w:val="17"/>
          <w:color w:val="auto"/>
        </w:rPr>
        <w:t xml:space="preserve"> etc. and can compete with the company in some applications but are most often commercial partners in the solution. SEE ID will act as an edge module that is integrated into their platform for enhanced visibility, safety, assurance, or execution in the system.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Infrastructure and Integrator Vendor Consultants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IBM, CiscoJuniper Networks, JMA, Sirerra Wireless, Dell, Arista, HPE </w:t>
      </w:r>
      <w:r>
        <w:rPr>
          <w:rFonts w:ascii="Times New Roman" w:cs="Times New Roman" w:eastAsia="Times New Roman" w:hAnsi="Times New Roman"/>
          <w:sz w:val="17"/>
          <w:szCs w:val="17"/>
          <w:color w:val="auto"/>
        </w:rPr>
        <w:t>have some extensive infrastructure and software of their own to enhance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Workflow Automation, Integration &amp; AI Vendor Consultants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solutionsIoT system.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color w:val="auto"/>
        </w:rPr>
        <w:t>Competitive Factors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competitive factors in the markets in which we operate include:</w:t>
      </w:r>
    </w:p>
    <w:p>
      <w:pPr>
        <w:spacing w:after="0" w:line="211" w:lineRule="exact"/>
        <w:rPr>
          <w:sz w:val="20"/>
          <w:szCs w:val="20"/>
          <w:color w:val="auto"/>
        </w:rPr>
      </w:pPr>
    </w:p>
    <w:p>
      <w:pPr>
        <w:jc w:val="both"/>
        <w:ind w:left="620" w:hanging="310"/>
        <w:spacing w:after="0" w:line="270"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AI Implementation </w:t>
      </w:r>
      <w:r>
        <w:rPr>
          <w:rFonts w:ascii="Times New Roman" w:cs="Times New Roman" w:eastAsia="Times New Roman" w:hAnsi="Times New Roman"/>
          <w:sz w:val="17"/>
          <w:szCs w:val="17"/>
          <w:color w:val="auto"/>
        </w:rPr>
        <w:t>— while this is an emerging area, we are investing heavily in this battleground feature. We believe that soon the most important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aspect of the buying decision will be the extent to which AI has been implemented to simplify the complex logistics processes and intervene when needed to enable greater enterprise performance.</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TCO (Total Cost of Ownership) </w:t>
      </w:r>
      <w:r>
        <w:rPr>
          <w:rFonts w:ascii="Times New Roman" w:cs="Times New Roman" w:eastAsia="Times New Roman" w:hAnsi="Times New Roman"/>
          <w:sz w:val="17"/>
          <w:szCs w:val="17"/>
          <w:color w:val="auto"/>
        </w:rPr>
        <w:t>— Our systems are intended to run for decades in an enterprise, with costs over that time playing a key role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buying decision. The ability for the customer to extend the system easily, not be subject to custom programming charges, avoid proprietary devices and keep pace with data structure and security changes is an important competitive advantage.</w:t>
      </w:r>
    </w:p>
    <w:p>
      <w:pPr>
        <w:spacing w:after="0" w:line="160" w:lineRule="exact"/>
        <w:rPr>
          <w:rFonts w:ascii="Times New Roman" w:cs="Times New Roman" w:eastAsia="Times New Roman" w:hAnsi="Times New Roman"/>
          <w:sz w:val="17"/>
          <w:szCs w:val="17"/>
          <w:b w:val="1"/>
          <w:bCs w:val="1"/>
          <w:color w:val="auto"/>
        </w:rPr>
      </w:pPr>
    </w:p>
    <w:p>
      <w:pPr>
        <w:jc w:val="both"/>
        <w:ind w:left="620" w:hanging="310"/>
        <w:spacing w:after="0" w:line="261" w:lineRule="auto"/>
        <w:tabs>
          <w:tab w:leader="none" w:pos="62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ROI (Return on Investment) </w:t>
      </w:r>
      <w:r>
        <w:rPr>
          <w:rFonts w:ascii="Times New Roman" w:cs="Times New Roman" w:eastAsia="Times New Roman" w:hAnsi="Times New Roman"/>
          <w:sz w:val="17"/>
          <w:szCs w:val="17"/>
          <w:color w:val="auto"/>
        </w:rPr>
        <w:t>— Our value to the enterprise vs the benefit is part of every buy decision. This includes the total cost of ownership over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67" w:lineRule="exact"/>
        <w:rPr>
          <w:rFonts w:ascii="Times New Roman" w:cs="Times New Roman" w:eastAsia="Times New Roman" w:hAnsi="Times New Roman"/>
          <w:sz w:val="17"/>
          <w:szCs w:val="17"/>
          <w:b w:val="1"/>
          <w:bCs w:val="1"/>
          <w:color w:val="auto"/>
        </w:rPr>
      </w:pPr>
    </w:p>
    <w:p>
      <w:pPr>
        <w:jc w:val="both"/>
        <w:ind w:left="620" w:hanging="310"/>
        <w:spacing w:after="0" w:line="264"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Accuracy and Reliability </w:t>
      </w:r>
      <w:r>
        <w:rPr>
          <w:rFonts w:ascii="Times New Roman" w:cs="Times New Roman" w:eastAsia="Times New Roman" w:hAnsi="Times New Roman"/>
          <w:sz w:val="17"/>
          <w:szCs w:val="17"/>
          <w:color w:val="auto"/>
        </w:rPr>
        <w:t>— many competitors advertise pinpoint location accuracy to win customers. However, most processes do not need location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165"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Support Services </w:t>
      </w:r>
      <w:r>
        <w:rPr>
          <w:rFonts w:ascii="Times New Roman" w:cs="Times New Roman" w:eastAsia="Times New Roman" w:hAnsi="Times New Roman"/>
          <w:sz w:val="17"/>
          <w:szCs w:val="17"/>
          <w:color w:val="auto"/>
        </w:rPr>
        <w:t>— The processes that we impact are critical to the functioning of an enterprise. To commit to this new technology, users need to know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60"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Friendly country sourcing </w:t>
      </w:r>
      <w:r>
        <w:rPr>
          <w:rFonts w:ascii="Times New Roman" w:cs="Times New Roman" w:eastAsia="Times New Roman" w:hAnsi="Times New Roman"/>
          <w:sz w:val="17"/>
          <w:szCs w:val="17"/>
          <w:color w:val="auto"/>
        </w:rPr>
        <w:t>— So many competitors rely on Chinese or Taiwan sourcing, excluding them from consideration for USA Government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Military contracts and making them less desirable for private sector selection. Sourcing from DFAR compliant countries and making our core components in the USA positions us particularly well for the crucial US market.</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Growth Strategies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pursue the following growth strategies:</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Focused Customer Acquisition: </w:t>
      </w:r>
      <w:r>
        <w:rPr>
          <w:rFonts w:ascii="Times New Roman" w:cs="Times New Roman" w:eastAsia="Times New Roman" w:hAnsi="Times New Roman"/>
          <w:sz w:val="17"/>
          <w:szCs w:val="17"/>
          <w:color w:val="auto"/>
        </w:rPr>
        <w:t>With a rapidly digitizing market, we believe that there is a significant opportunity to continue to grow our customer base as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promote our capabilities. We plan to continually invest in our sales and marketing coverage, including channel partners, and leverage our go-to-market model to continue acquiring new customers.</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Expand Within Our Existing Customer Base. </w:t>
      </w:r>
      <w:r>
        <w:rPr>
          <w:rFonts w:ascii="Times New Roman" w:cs="Times New Roman" w:eastAsia="Times New Roman" w:hAnsi="Times New Roman"/>
          <w:sz w:val="17"/>
          <w:szCs w:val="17"/>
          <w:color w:val="auto"/>
        </w:rPr>
        <w:t>Once we solve the first problem for our customers, we see a significant opportunity to expand application adoption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that same account. This includes increasing the number of physical assets enrolled as well as expanding across our customers’ multiple sites and divisions.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Customer-centric Innovation and Rapid Product Releases. </w:t>
      </w:r>
      <w:r>
        <w:rPr>
          <w:rFonts w:ascii="Times New Roman" w:cs="Times New Roman" w:eastAsia="Times New Roman" w:hAnsi="Times New Roman"/>
          <w:sz w:val="17"/>
          <w:szCs w:val="17"/>
          <w:color w:val="auto"/>
        </w:rPr>
        <w:t>Our architecture was designed as a platform from the beginning to enable fast turns and parallel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Channel development. </w:t>
      </w:r>
      <w:r>
        <w:rPr>
          <w:rFonts w:ascii="Times New Roman" w:cs="Times New Roman" w:eastAsia="Times New Roman" w:hAnsi="Times New Roman"/>
          <w:sz w:val="17"/>
          <w:szCs w:val="17"/>
          <w:color w:val="auto"/>
        </w:rPr>
        <w:t>Our vision is to be a channel focused company. Rapid acquisition of targeted channel partners in all of the global markets will be a primary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metric. Our unique technology, very attractive commercial model, as well as the training and support capability we offer will drive channel acquisition.</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Expand Technology Partnerships and Integrations. </w:t>
      </w:r>
      <w:r>
        <w:rPr>
          <w:rFonts w:ascii="Times New Roman" w:cs="Times New Roman" w:eastAsia="Times New Roman" w:hAnsi="Times New Roman"/>
          <w:sz w:val="17"/>
          <w:szCs w:val="17"/>
          <w:color w:val="auto"/>
        </w:rPr>
        <w:t>Our use of COTS devices and integration with existing software for many of our solutions makes us useful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Expand Internationally. </w:t>
      </w:r>
      <w:r>
        <w:rPr>
          <w:rFonts w:ascii="Times New Roman" w:cs="Times New Roman" w:eastAsia="Times New Roman" w:hAnsi="Times New Roman"/>
          <w:sz w:val="17"/>
          <w:szCs w:val="17"/>
          <w:color w:val="auto"/>
        </w:rPr>
        <w:t>A key focus of our company is to continue to expand our global reach. In the short term we are already expanding channel in Europe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expect to form a sales company in Southern Germany or Northern Switzerland next year. To support our offshore engineering team, add customer support capability and some sales opportunities already emerging in the region, we also plan to form an Indian subsidiary in 2025. Note that our product platforms were designed from the outset to meet international standards and regulations.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Monetizing data streams. </w:t>
      </w:r>
      <w:r>
        <w:rPr>
          <w:rFonts w:ascii="Times New Roman" w:cs="Times New Roman" w:eastAsia="Times New Roman" w:hAnsi="Times New Roman"/>
          <w:sz w:val="17"/>
          <w:szCs w:val="17"/>
          <w:color w:val="auto"/>
        </w:rPr>
        <w:t>As a data producer, the company has access to valuable data that is of interest to industry analysts, financial markets, insurance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color w:val="auto"/>
        </w:rPr>
        <w:t>Note that it is likely that we will also look to accelerate growth by acquisition. Potential targets are being evaluated based on the extent to which they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 help us in one or more of the strategies’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Factors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“Risk Factors”. These risks include the following:</w:t>
      </w:r>
    </w:p>
    <w:p>
      <w:pPr>
        <w:spacing w:after="0" w:line="215" w:lineRule="exact"/>
        <w:rPr>
          <w:sz w:val="20"/>
          <w:szCs w:val="20"/>
          <w:color w:val="auto"/>
        </w:rPr>
      </w:pPr>
    </w:p>
    <w:p>
      <w:pPr>
        <w:ind w:left="620" w:hanging="310"/>
        <w:spacing w:after="0" w:line="284"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operating losses as we have built our technology and market position, and we may not be able to achieve or sustain profitability on a consistent basis for an extended period of time.</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rapid growth makes it difficult to evaluate future prospects and increases the risk that we will not continue to grow at or near projected rates. Forecasts may be unreliable.</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this has not happened in our history to date, our emerging technology may encounter failures, up to and including broad recalls, as we continue to product maturity and beyond. With this comes the threat of financial penalties and legal action from customers.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uncertainty, particularly in the AI space, makes it difficult to anticipate potential impacts on the business of the company.</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IoT and AI spaces already have a history of IP challenges and litigation. Our patents may be challenged, and suits may be brought against us, especially as we gain momentum and public success. This may result in unexpected legal costs, settlements, license fees and barriers to growth.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Material Supply Agreements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agreements in place with Wiliot, the company which provides our chip and passive labels for tracking and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We’re ordering chips from Wiliot and from Identiv. Identiv is recognized as one of the world’s largest producers of specialty RFID tags, inlays and labels. In fact, Identiv is the main supplier for Wiliot.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agreement between CID Holdco, Inc. (Client) and Arshon Technology (Contractor) outlines several material terms, including the rights and obligations of both parties, as well as termination and payment provisions. The Contractor is responsible for providing services such as designing and developing Perth PCBs, including schematics, prototypes, production boards, and test jigs. Deliverables include Gerber files, BOM, schematics, and PCBs. These services are to be performed independently, with the Contractor taking responsibility for reporting compensation as income and complying with all applicable laws. The Client is obligated to provide payments as outlined in the Statement of Work (SOW) and reimburse pre-approved travel and related expenses. Intellectual property rights for all deliverables created during the performance of services are assigned to the Client, and the Contractor is required to maintain confidentiality of all Client-provided information, returning or destroying such information upon termination of the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p>
      <w:pPr>
        <w:jc w:val="both"/>
        <w:spacing w:after="0" w:line="262" w:lineRule="auto"/>
        <w:rPr>
          <w:sz w:val="20"/>
          <w:szCs w:val="20"/>
          <w:color w:val="auto"/>
        </w:rPr>
      </w:pPr>
      <w:r>
        <w:rPr>
          <w:rFonts w:ascii="Times New Roman" w:cs="Times New Roman" w:eastAsia="Times New Roman" w:hAnsi="Times New Roman"/>
          <w:sz w:val="17"/>
          <w:szCs w:val="17"/>
          <w:color w:val="auto"/>
        </w:rPr>
        <w:t>The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the Contractor is required to return all work products and confidential information, while the Client must pay any accrued but unpaid fees.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material terms of the agreement between Wiliot Ltd. and CID Holdco Inc. dba Dot AI Corporation (the “Partner”) include key rights, obligations, termination provisions, and payment terms. Under the agreement, Wiliot grants the Partner non-exclusive rights to promote, market, and resell Wiliot’s IoT Pixels, Hardware, and Cloud subscriptions as part of an Integrated Solution. The Partner also has the right to provide professional services related to Wiliot’s products. The Partner is required to maintain certification and compliance with integration requirements while ensuring customer relationships align with the agreement’s terms. Intellectual property rights remain with Wiliot for its products and solutions, while the Partner retains rights to its own developments based on Wiliot’s intellectual property with proper attribution.</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agreement can be terminated under several conditions, including mutual convenience with 90 days’ notice, material breach not remedied within 30 days, insolvency, or bankruptcy. Upon termination, the Partner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agreement emphasizes a collaborative yet clearly delineated partnership, protecting both parties’ intellectual property and operational interests.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Payments under the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Assembly &amp;</w:t>
            </w: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7"/>
                <w:szCs w:val="17"/>
                <w:b w:val="1"/>
                <w:bCs w:val="1"/>
                <w:color w:val="auto"/>
              </w:rPr>
              <w:t>EU</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India</w:t>
            </w:r>
          </w:p>
        </w:tc>
      </w:tr>
      <w:tr>
        <w:trPr>
          <w:trHeight w:val="231"/>
        </w:trPr>
        <w:tc>
          <w:tcPr>
            <w:tcW w:w="328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Admin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Corporate HQ</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Systems Lab</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Test</w:t>
            </w: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Subsidiary</w:t>
            </w:r>
          </w:p>
        </w:tc>
      </w:tr>
      <w:tr>
        <w:trPr>
          <w:trHeight w:val="189"/>
        </w:trPr>
        <w:tc>
          <w:tcPr>
            <w:tcW w:w="32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Location</w:t>
            </w: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Bethesda,</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Las Vegas,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Worcester,</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Manati,</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ind w:left="75"/>
              <w:spacing w:after="0" w:line="189" w:lineRule="exact"/>
              <w:rPr>
                <w:sz w:val="20"/>
                <w:szCs w:val="20"/>
                <w:color w:val="auto"/>
              </w:rPr>
            </w:pPr>
            <w:r>
              <w:rPr>
                <w:rFonts w:ascii="Times New Roman" w:cs="Times New Roman" w:eastAsia="Times New Roman" w:hAnsi="Times New Roman"/>
                <w:sz w:val="17"/>
                <w:szCs w:val="17"/>
                <w:color w:val="auto"/>
              </w:rPr>
              <w:t>Germany or</w:t>
            </w: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Bangalore, India</w:t>
            </w:r>
          </w:p>
        </w:tc>
      </w:tr>
      <w:tr>
        <w:trPr>
          <w:trHeight w:val="222"/>
        </w:trPr>
        <w:tc>
          <w:tcPr>
            <w:tcW w:w="3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Maryland</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Nevada</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Massachusetts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Puerto Rico</w:t>
            </w:r>
          </w:p>
        </w:tc>
        <w:tc>
          <w:tcPr>
            <w:tcW w:w="106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rPr>
              <w:t>Switzerland</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5"/>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Size (sq ft)</w:t>
            </w: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2,969</w:t>
            </w:r>
          </w:p>
        </w:tc>
        <w:tc>
          <w:tcPr>
            <w:tcW w:w="100" w:type="dxa"/>
            <w:vAlign w:val="bottom"/>
          </w:tcPr>
          <w:p>
            <w:pPr>
              <w:spacing w:after="0"/>
              <w:rPr>
                <w:sz w:val="17"/>
                <w:szCs w:val="17"/>
                <w:color w:val="auto"/>
              </w:rPr>
            </w:pP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7"/>
                <w:szCs w:val="17"/>
                <w:color w:val="auto"/>
              </w:rPr>
            </w:pP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7"/>
                <w:szCs w:val="17"/>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3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Terms</w:t>
            </w:r>
          </w:p>
        </w:tc>
        <w:tc>
          <w:tcPr>
            <w:tcW w:w="1320" w:type="dxa"/>
            <w:vAlign w:val="bottom"/>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7"/>
                <w:szCs w:val="17"/>
                <w:color w:val="auto"/>
              </w:rPr>
              <w:t>63 months</w:t>
            </w:r>
          </w:p>
        </w:tc>
        <w:tc>
          <w:tcPr>
            <w:tcW w:w="142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7"/>
                <w:szCs w:val="17"/>
                <w:color w:val="auto"/>
                <w:w w:val="99"/>
              </w:rPr>
              <w:t>annual sub-lease</w:t>
            </w:r>
          </w:p>
        </w:tc>
        <w:tc>
          <w:tcPr>
            <w:tcW w:w="132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7"/>
                <w:szCs w:val="17"/>
                <w:color w:val="auto"/>
                <w:w w:val="98"/>
              </w:rPr>
              <w:t>monthly lease</w:t>
            </w:r>
          </w:p>
        </w:tc>
        <w:tc>
          <w:tcPr>
            <w:tcW w:w="1340" w:type="dxa"/>
            <w:vAlign w:val="bottom"/>
            <w:gridSpan w:val="2"/>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7"/>
                <w:szCs w:val="17"/>
                <w:color w:val="auto"/>
                <w:w w:val="99"/>
              </w:rPr>
              <w:t>monthly sub-</w:t>
            </w:r>
          </w:p>
        </w:tc>
        <w:tc>
          <w:tcPr>
            <w:tcW w:w="106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rPr>
              <w:t>TBD</w:t>
            </w:r>
          </w:p>
        </w:tc>
      </w:tr>
      <w:tr>
        <w:trPr>
          <w:trHeight w:val="222"/>
        </w:trPr>
        <w:tc>
          <w:tcPr>
            <w:tcW w:w="3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lease</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9"/>
        </w:trPr>
        <w:tc>
          <w:tcPr>
            <w:tcW w:w="328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Lessor</w:t>
            </w:r>
          </w:p>
        </w:tc>
        <w:tc>
          <w:tcPr>
            <w:tcW w:w="1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7"/>
                <w:szCs w:val="17"/>
                <w:color w:val="auto"/>
                <w:w w:val="99"/>
              </w:rPr>
              <w:t>IN-REL 7500</w:t>
            </w:r>
          </w:p>
        </w:tc>
        <w:tc>
          <w:tcPr>
            <w:tcW w:w="14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7"/>
                <w:szCs w:val="17"/>
                <w:color w:val="auto"/>
              </w:rPr>
              <w:t>POPE</w:t>
            </w:r>
          </w:p>
        </w:tc>
        <w:tc>
          <w:tcPr>
            <w:tcW w:w="1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7"/>
                <w:szCs w:val="17"/>
                <w:color w:val="auto"/>
              </w:rPr>
              <w:t>WORCLAB</w:t>
            </w:r>
          </w:p>
        </w:tc>
        <w:tc>
          <w:tcPr>
            <w:tcW w:w="13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7"/>
                <w:szCs w:val="17"/>
                <w:color w:val="auto"/>
                <w:w w:val="97"/>
              </w:rPr>
              <w:t>ENZYMATIC</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2"/>
        </w:trPr>
        <w:tc>
          <w:tcPr>
            <w:tcW w:w="328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OGR, LLC</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TECHNOLOGIES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Monthly Cost</w:t>
            </w:r>
          </w:p>
        </w:tc>
        <w:tc>
          <w:tcPr>
            <w:tcW w:w="12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$7,051.38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17"/>
          <w:szCs w:val="17"/>
          <w:color w:val="auto"/>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 w:cs="Times New Roman" w:eastAsia="Times New Roman" w:hAnsi="Times New Roman"/>
          <w:sz w:val="17"/>
          <w:szCs w:val="17"/>
          <w:i w:val="1"/>
          <w:iCs w:val="1"/>
          <w:color w:val="auto"/>
        </w:rPr>
        <w:t>Risk Factors — 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Property</w:t>
      </w:r>
      <w:r>
        <w:rPr>
          <w:rFonts w:ascii="Times New Roman" w:cs="Times New Roman" w:eastAsia="Times New Roman" w:hAnsi="Times New Roman"/>
          <w:sz w:val="17"/>
          <w:szCs w:val="17"/>
          <w:color w:val="auto"/>
        </w:rPr>
        <w:t>” for a discussion of risks related to our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Environment</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are subject to a wide variety of laws and regulations in the United States and other jurisdictions and devote considerable resources to compliance with these laws and regulations.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 — Risks Related to Government Regulation</w:t>
      </w:r>
      <w:r>
        <w:rPr>
          <w:rFonts w:ascii="Times New Roman" w:cs="Times New Roman" w:eastAsia="Times New Roman" w:hAnsi="Times New Roman"/>
          <w:sz w:val="17"/>
          <w:szCs w:val="17"/>
          <w:color w:val="auto"/>
        </w:rPr>
        <w:t>” for additional information about the laws and regulations to which we are subject and the risks to our business associated with such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Protection and Privacy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dedicated to protecting and securing the data of our customers as part of our overall data protection and privacy program.</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 — Risks Related to Government Regulation</w:t>
      </w:r>
      <w:r>
        <w:rPr>
          <w:rFonts w:ascii="Times New Roman" w:cs="Times New Roman" w:eastAsia="Times New Roman" w:hAnsi="Times New Roman"/>
          <w:sz w:val="17"/>
          <w:szCs w:val="17"/>
          <w:color w:val="auto"/>
        </w:rPr>
        <w:t>” for additional information about the laws and regulations to which we are subject and the risks to our business associated with such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Legal Proceedings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has been made aware of a complaint (the “Complaint”) filed by William Reny (“Plaintiff”), a greater than ten percent (10%) holder of the Company’s outstanding common stock, par value $0.0001 per share, against SEE ID, Charles Maddox and Ed Nabrotzky, each a director of SEE ID, and Does 1-20 (collectively with SEE ID, Mr. Maddox and Mr. Nabrotzky, the “Defendants”), in the District Court of Clark County, Nevada.</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$50,000.00.</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previously moved to dismiss the Complaint and the Court granted the motion in part and ordered the Plaintiff to file an amended complaint, which the Plaintiff has now filed. The Company and the Defendants continue to vigorously defend the action and are pursuing available legal remedies, including seeking dismissal of claims. Except as required by law, the Company does not intend to comment further on this matter.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6"/>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MANAGEMENT</w:t>
            </w:r>
          </w:p>
        </w:tc>
      </w:tr>
      <w:tr>
        <w:trPr>
          <w:trHeight w:val="410"/>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415"/>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ind w:left="2600"/>
              <w:spacing w:after="0"/>
              <w:rPr>
                <w:sz w:val="20"/>
                <w:szCs w:val="20"/>
                <w:color w:val="auto"/>
              </w:rPr>
            </w:pPr>
            <w:r>
              <w:rPr>
                <w:rFonts w:ascii="Times New Roman" w:cs="Times New Roman" w:eastAsia="Times New Roman" w:hAnsi="Times New Roman"/>
                <w:sz w:val="17"/>
                <w:szCs w:val="17"/>
                <w:b w:val="1"/>
                <w:bCs w:val="1"/>
                <w:color w:val="auto"/>
              </w:rPr>
              <w:t>Positions</w:t>
            </w:r>
          </w:p>
        </w:tc>
      </w:tr>
      <w:tr>
        <w:trPr>
          <w:trHeight w:val="205"/>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Edmund Nabrotzky</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7"/>
                <w:szCs w:val="17"/>
                <w:color w:val="auto"/>
              </w:rPr>
              <w:t>59</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Director (Class III)</w:t>
            </w:r>
          </w:p>
        </w:tc>
      </w:tr>
      <w:tr>
        <w:trPr>
          <w:trHeight w:val="205"/>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100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43</w:t>
            </w:r>
          </w:p>
        </w:tc>
        <w:tc>
          <w:tcPr>
            <w:tcW w:w="460" w:type="dxa"/>
            <w:vAlign w:val="bottom"/>
          </w:tcPr>
          <w:p>
            <w:pPr>
              <w:spacing w:after="0"/>
              <w:rPr>
                <w:sz w:val="17"/>
                <w:szCs w:val="17"/>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 and Chief Operating Officer</w:t>
            </w:r>
          </w:p>
        </w:tc>
      </w:tr>
      <w:tr>
        <w:trPr>
          <w:trHeight w:val="205"/>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0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7"/>
                <w:szCs w:val="17"/>
                <w:color w:val="auto"/>
              </w:rPr>
              <w:t>48</w:t>
            </w:r>
          </w:p>
        </w:tc>
        <w:tc>
          <w:tcPr>
            <w:tcW w:w="46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05"/>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tcPr>
          <w:p>
            <w:pPr>
              <w:spacing w:after="0"/>
              <w:rPr>
                <w:sz w:val="17"/>
                <w:szCs w:val="17"/>
                <w:color w:val="auto"/>
              </w:rPr>
            </w:pPr>
          </w:p>
        </w:tc>
      </w:tr>
      <w:tr>
        <w:trPr>
          <w:trHeight w:val="205"/>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Sheldon Paul</w:t>
            </w:r>
          </w:p>
        </w:tc>
        <w:tc>
          <w:tcPr>
            <w:tcW w:w="10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7"/>
                <w:szCs w:val="17"/>
                <w:color w:val="auto"/>
              </w:rPr>
              <w:t>58</w:t>
            </w:r>
          </w:p>
        </w:tc>
        <w:tc>
          <w:tcPr>
            <w:tcW w:w="46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 (Class I)</w:t>
            </w:r>
          </w:p>
        </w:tc>
      </w:tr>
      <w:tr>
        <w:trPr>
          <w:trHeight w:val="205"/>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Phyllis Newhouse</w:t>
            </w:r>
          </w:p>
        </w:tc>
        <w:tc>
          <w:tcPr>
            <w:tcW w:w="100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62</w:t>
            </w:r>
          </w:p>
        </w:tc>
        <w:tc>
          <w:tcPr>
            <w:tcW w:w="460" w:type="dxa"/>
            <w:vAlign w:val="bottom"/>
          </w:tcPr>
          <w:p>
            <w:pPr>
              <w:spacing w:after="0"/>
              <w:rPr>
                <w:sz w:val="17"/>
                <w:szCs w:val="17"/>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(Class I)</w:t>
            </w:r>
          </w:p>
        </w:tc>
      </w:tr>
      <w:tr>
        <w:trPr>
          <w:trHeight w:val="205"/>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Janice Bryant Howroyd</w:t>
            </w:r>
          </w:p>
        </w:tc>
        <w:tc>
          <w:tcPr>
            <w:tcW w:w="10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7"/>
                <w:szCs w:val="17"/>
                <w:color w:val="auto"/>
              </w:rPr>
              <w:t>72</w:t>
            </w:r>
          </w:p>
        </w:tc>
        <w:tc>
          <w:tcPr>
            <w:tcW w:w="46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 (Class II)</w:t>
            </w:r>
          </w:p>
        </w:tc>
      </w:tr>
      <w:tr>
        <w:trPr>
          <w:trHeight w:val="205"/>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100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76</w:t>
            </w:r>
          </w:p>
        </w:tc>
        <w:tc>
          <w:tcPr>
            <w:tcW w:w="460" w:type="dxa"/>
            <w:vAlign w:val="bottom"/>
          </w:tcPr>
          <w:p>
            <w:pPr>
              <w:spacing w:after="0"/>
              <w:rPr>
                <w:sz w:val="17"/>
                <w:szCs w:val="17"/>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(Class II)</w:t>
            </w:r>
          </w:p>
        </w:tc>
      </w:tr>
      <w:tr>
        <w:trPr>
          <w:trHeight w:val="205"/>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David Carlson</w:t>
            </w:r>
          </w:p>
        </w:tc>
        <w:tc>
          <w:tcPr>
            <w:tcW w:w="10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7"/>
                <w:szCs w:val="17"/>
                <w:color w:val="auto"/>
              </w:rPr>
              <w:t>66</w:t>
            </w:r>
          </w:p>
        </w:tc>
        <w:tc>
          <w:tcPr>
            <w:tcW w:w="46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 (Class III)</w:t>
            </w: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 Saling</w:t>
            </w:r>
          </w:p>
        </w:tc>
        <w:tc>
          <w:tcPr>
            <w:tcW w:w="100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68</w:t>
            </w:r>
          </w:p>
        </w:tc>
        <w:tc>
          <w:tcPr>
            <w:tcW w:w="460" w:type="dxa"/>
            <w:vAlign w:val="bottom"/>
          </w:tcPr>
          <w:p>
            <w:pPr>
              <w:spacing w:after="0"/>
              <w:rPr>
                <w:sz w:val="19"/>
                <w:szCs w:val="19"/>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(Class III)</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is biographical information about each of the individuals named in the tables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Ed Nabrotzky. </w:t>
      </w:r>
      <w:r>
        <w:rPr>
          <w:rFonts w:ascii="Times New Roman" w:cs="Times New Roman" w:eastAsia="Times New Roman" w:hAnsi="Times New Roman"/>
          <w:sz w:val="17"/>
          <w:szCs w:val="17"/>
          <w:color w:val="auto"/>
        </w:rPr>
        <w:t>Mr. Nabrotzky is the co-founder and Chief Executive Officer of CID Holdco. Mr. Nabrotzky previously served as the President of Litum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Charlie Maddox. </w:t>
      </w:r>
      <w:r>
        <w:rPr>
          <w:rFonts w:ascii="Times New Roman" w:cs="Times New Roman" w:eastAsia="Times New Roman" w:hAnsi="Times New Roman"/>
          <w:sz w:val="17"/>
          <w:szCs w:val="17"/>
          <w:color w:val="auto"/>
        </w:rPr>
        <w:t>Mr. Maddox serves as the Chief Financial Officer and Chief Operating Officer of CID Holdco. A seasoned entrepreneur and leader, Charlie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co-founded multiple startups valued collectively at over $300M and has raised more than $8M in seed capital for CID Holdco. Leveraging over 20 years of experience in finance, operations, and strategic planning, he has been instrumental in scaling technology-driven businesses and driving operational efficiency as CID Holdco transitions to a publicly traded company. Mr. Maddox holds an MBA from Worcester Polytechnic Institute (WPI) and a B.Sc. in Computer Science from Florida State University (FSU).</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Before his tech career, Charlie served as a USAF C-17 pilot and Director of Operations, managing the continuous global deployment of $11.12B in assets. His disciplined, data-driven leadership style has been honed through years of managing high-stakes operations and advising early-stage companies as an angel investor. At CID Holdco, Charlie aligns operational excellence with long-term strategic goals, ensuring robust financial performance while supporting the company’s innovative plug-and-play tracking solutions and mission to streamline operations through AI-powered insights.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Vijayan Nambiar. </w:t>
      </w:r>
      <w:r>
        <w:rPr>
          <w:rFonts w:ascii="Times New Roman" w:cs="Times New Roman" w:eastAsia="Times New Roman" w:hAnsi="Times New Roman"/>
          <w:sz w:val="17"/>
          <w:szCs w:val="17"/>
          <w:color w:val="auto"/>
        </w:rPr>
        <w:t>Mr. Nambiar is Chief Technology Officer of CID Holdco. Ms. Nambiar brings over 24 years of experience in leading product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conception to field rollout for a variety of next-gen embedded real-time hardware &amp; cloud solutions. Ms.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Jeff Saling </w:t>
      </w:r>
      <w:r>
        <w:rPr>
          <w:rFonts w:ascii="Times New Roman" w:cs="Times New Roman" w:eastAsia="Times New Roman" w:hAnsi="Times New Roman"/>
          <w:sz w:val="17"/>
          <w:szCs w:val="17"/>
          <w:color w:val="auto"/>
        </w:rPr>
        <w:t>is a serial entrepreneur, seasoned executive, and prolific investor with over 30 years of experience in launching, scaling, and exiting startups in the SaaS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cloud domains. He is currently the executive director and co-founder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Janic Bryant Howroyd </w:t>
      </w:r>
      <w:r>
        <w:rPr>
          <w:rFonts w:ascii="Times New Roman" w:cs="Times New Roman" w:eastAsia="Times New Roman" w:hAnsi="Times New Roman"/>
          <w:sz w:val="17"/>
          <w:szCs w:val="17"/>
          <w:color w:val="auto"/>
        </w:rPr>
        <w:t>has more than 40 years of experience as a director and executive of not-for-profit and for profit companies. Since September 1978, 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Dr. Sheldon W. Paul </w:t>
      </w:r>
      <w:r>
        <w:rPr>
          <w:rFonts w:ascii="Times New Roman" w:cs="Times New Roman" w:eastAsia="Times New Roman" w:hAnsi="Times New Roman"/>
          <w:sz w:val="17"/>
          <w:szCs w:val="17"/>
          <w:color w:val="auto"/>
        </w:rPr>
        <w:t>is an obstetrician-gynecologist in Las Vegas, Nevada and is affiliated with Summerlin Hospital Medical Center. He received his medical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David Carlson</w:t>
      </w:r>
      <w:r>
        <w:rPr>
          <w:rFonts w:ascii="Times New Roman" w:cs="Times New Roman" w:eastAsia="Times New Roman" w:hAnsi="Times New Roman"/>
          <w:sz w:val="17"/>
          <w:szCs w:val="17"/>
          <w:color w:val="auto"/>
        </w:rPr>
        <w:t>, DO, MBA has been the Chief Medical Officer in South King County for Virginia Mason Franciscan Health since 2023. He recently served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Walter Skowronski </w:t>
      </w:r>
      <w:r>
        <w:rPr>
          <w:rFonts w:ascii="Times New Roman" w:cs="Times New Roman" w:eastAsia="Times New Roman" w:hAnsi="Times New Roman"/>
          <w:sz w:val="17"/>
          <w:szCs w:val="17"/>
          <w:color w:val="auto"/>
        </w:rPr>
        <w:t>has more than 40 years of experience as a senior financial executive of NYSE-listed public companies. From July 2023 through December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Phyllis Newhouse </w:t>
      </w:r>
      <w:r>
        <w:rPr>
          <w:rFonts w:ascii="Times New Roman" w:cs="Times New Roman" w:eastAsia="Times New Roman" w:hAnsi="Times New Roman"/>
          <w:sz w:val="17"/>
          <w:szCs w:val="17"/>
          <w:color w:val="auto"/>
        </w:rPr>
        <w:t>previously served as Chief Executive Officer of ShoulderUp Technology Acquisition Corp. Ms. Newhouse is known as a pioneer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family relationships between any of our executive officers and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business and affairs are organized under the direction of our board of directors. Our board of directors currently consists of seven members. The primary responsibilities of our board of directors are to provide oversight, strategic guidance, counseling and direction to our management. Our board of directors meets on a regular basis and additionally as required.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spacing w:after="0" w:line="284" w:lineRule="auto"/>
        <w:rPr>
          <w:sz w:val="20"/>
          <w:szCs w:val="20"/>
          <w:color w:val="auto"/>
        </w:rPr>
      </w:pPr>
      <w:r>
        <w:rPr>
          <w:rFonts w:ascii="Times New Roman" w:cs="Times New Roman" w:eastAsia="Times New Roman" w:hAnsi="Times New Roman"/>
          <w:sz w:val="17"/>
          <w:szCs w:val="17"/>
          <w:color w:val="auto"/>
        </w:rPr>
        <w:t>Our board of directors is divided into three classes, Class I, Class II and Class III, with members of each class serving staggered three-year terms. Currently, our board of directors is divided into the following classes:</w:t>
      </w:r>
    </w:p>
    <w:p>
      <w:pPr>
        <w:spacing w:after="0" w:line="153" w:lineRule="exact"/>
        <w:rPr>
          <w:sz w:val="20"/>
          <w:szCs w:val="20"/>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 which consists of Dr. Sheldon Paul and Phyllis Newhouse, whose terms will expire at the first annual meeting of stockholders to be held in 2026;</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 which consists of Janice Bryant Howroyd and Walter Skowronski whose term will expire at the Company’s second annual meeting of stockholders to be held in 2027; and</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III, which consists of Edmund Nabrotzky, Dr. David Carlson and Jeff Saling, whose terms will expire at the Company’s third annual meeting of stockholders to be held in 2028.</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Board has an Audit Committee, a Compensation Committee and a Nominating and Corporate Governance Committee, each of which has the composition and responsibilities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Committee is responsible for, among other things:</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evaluating the performance, independence and qualifications of the Company’s independent auditors and determining whether to retain the Company’s existing independent auditors or engage new independent auditors;</w:t>
      </w:r>
    </w:p>
    <w:p>
      <w:pPr>
        <w:spacing w:after="0" w:line="153" w:lineRule="exact"/>
        <w:rPr>
          <w:sz w:val="20"/>
          <w:szCs w:val="20"/>
          <w:color w:val="auto"/>
        </w:rPr>
      </w:pPr>
    </w:p>
    <w:p>
      <w:pPr>
        <w:ind w:left="620" w:hanging="310"/>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financial reporting processes and disclosure controls;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3" w:name="page94"/>
    <w:bookmarkEnd w:id="93"/>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the Company’s internal control policies and procedures, including the responsibilities, budget, staffing and effectiveness of the Company’s internal audit function;</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auditors the annual audit plan, including the scope of audit activities and all critical accounting policies and practices to be used by the Company;</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rotation of partners of the Company’s independent auditors on the Company’s engagement team as required by law;</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65"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the Company’s auditors any earnings announcements and other public announcements regarding material developments;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the Company regarding financial controls, accounting, auditing or other matters;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report that the SEC requires in the Company’s annual proxy statement;</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major financial risk exposures, including the guidelines and policies to govern the process by which risk assessment and risk management is implemented; and</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audit committee and the audit committee charter.</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Audit Committee consists of Janice Bryant Howroyd, Walter Skowronski and Dr. David Carlson, with Walter Skowronski serving as the audit committee chair. The Board has affirmatively determined that Janice Bryant Howroyd, Walter Skowronski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Committee is responsible for, among other things:</w:t>
      </w:r>
    </w:p>
    <w:p>
      <w:pPr>
        <w:spacing w:after="0" w:line="215" w:lineRule="exact"/>
        <w:rPr>
          <w:sz w:val="20"/>
          <w:szCs w:val="20"/>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corporate objectives that pertain to the determination of executive compensation;</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and other terms of employment of the Company’s executive officers;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performance goals and objectives relevant to the compensation of the Company’s executive officers and assessing their performance against these goals and objectives;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regarding the adoption or amendment of equity and cash incentive plans and approving amendments to such plans to the extent authorized by the Board;</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the Board regarding the type and amount of compensation to be paid or awarded to the Company’s non-employee board members;</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assessing the independence of compensation consultants, legal counsel and other advisors as required by Section 10C of the Exchange Act;</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the Company’s equity incentive plans, to the extent such authority is delegated by the Board;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terms of any employment agreements, severance arrangements, change in control protections, indemnification agreements and any other material arrangements for the Company’s executive officers;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 annual report on executive compensation that the SEC requires in the Company’s annual proxy statement; and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compensation committee and recommending such changes as deemed necessary with the Board.</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compensation committee consists of Jeff Saling, and Dr. David Carlson, with Jeff Saling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Nominating and Corporate Governance Committee is responsible for, among other things:</w:t>
      </w:r>
    </w:p>
    <w:p>
      <w:pPr>
        <w:spacing w:after="0" w:line="215" w:lineRule="exact"/>
        <w:rPr>
          <w:sz w:val="20"/>
          <w:szCs w:val="20"/>
          <w:color w:val="auto"/>
        </w:rPr>
      </w:pPr>
    </w:p>
    <w:p>
      <w:pPr>
        <w:ind w:left="620" w:hanging="310"/>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reviewing and making recommendations of candidates to serve on the Board;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the Board, committees of the Board and individual directors and determining whether continued service on the Board is appropriate;</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nominations by stockholders of candidates for election to the Board;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5" w:name="page96"/>
    <w:bookmarkEnd w:id="95"/>
    <w:p>
      <w:pPr>
        <w:ind w:left="620" w:hanging="310"/>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current size, composition and organization of the Board and its committees and making recommendations to the Board for approvals;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set of corporate governance policies and principles and recommending to the Board any changes to such policies and principles;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issues and developments related to corporate governance and identifying and bringing to the attention of the Board current and emerging corporate governance trends; and</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 of Directors and Officers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53" w:lineRule="exact"/>
        <w:rPr>
          <w:sz w:val="20"/>
          <w:szCs w:val="20"/>
          <w:color w:val="auto"/>
        </w:rPr>
      </w:pPr>
    </w:p>
    <w:p>
      <w:pPr>
        <w:ind w:left="620" w:hanging="310"/>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transaction from which the director derives an improper personal benefit;</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act or omission not in good faith or that involves intentional misconduct or a knowing violation of law;</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unlawful payment of dividends or redemption of shares; or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breach of a director’s duty of loyalty to the corporation or its stockholders.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Business Ethics for Employees, Executive Officers, and Directors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have entered into service agreements with each of our non-employee directors pursuant to which they are eligible to receive the following cash and equity incentive payments.</w:t>
      </w:r>
    </w:p>
    <w:p>
      <w:pPr>
        <w:spacing w:after="0" w:line="153" w:lineRule="exact"/>
        <w:rPr>
          <w:sz w:val="20"/>
          <w:szCs w:val="20"/>
          <w:color w:val="auto"/>
        </w:rPr>
      </w:pPr>
    </w:p>
    <w:p>
      <w:pPr>
        <w:ind w:left="620" w:hanging="31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Fee: Each non-employee director receives an annual cash fee of $50,000, payable quarterly in arrears.</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60"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171"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p>
      <w:pPr>
        <w:spacing w:after="0" w:line="165"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 Reimbursement: We will reimburse all of our non-employee directors for all reasonable business expenses incurred in in the performance of their services in accordance with our expense reimbursement guidelines.</w:t>
      </w:r>
    </w:p>
    <w:p>
      <w:pPr>
        <w:spacing w:after="0" w:line="1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did not grant any option awards to our non-employee directors during 2025. The following table provides information related to the compensation of each of our non-employee directors during the year ended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Fees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Earned or</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31"/>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240" w:type="dxa"/>
            <w:vAlign w:val="bottom"/>
          </w:tcPr>
          <w:p>
            <w:pPr>
              <w:spacing w:after="0"/>
              <w:rPr>
                <w:sz w:val="20"/>
                <w:szCs w:val="20"/>
                <w:color w:val="auto"/>
              </w:rPr>
            </w:pPr>
          </w:p>
        </w:tc>
        <w:tc>
          <w:tcPr>
            <w:tcW w:w="11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r>
      <w:tr>
        <w:trPr>
          <w:trHeight w:val="205"/>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Sheldon Paul, M.D</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Phyllis Newhouse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r>
      <w:tr>
        <w:trPr>
          <w:trHeight w:val="205"/>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Janice Bryant Howroyd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r>
      <w:tr>
        <w:trPr>
          <w:trHeight w:val="205"/>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r>
      <w:tr>
        <w:trPr>
          <w:trHeight w:val="205"/>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Carlson, D.O.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r>
      <w:tr>
        <w:trPr>
          <w:trHeight w:val="22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 Saling</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8308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190" w:lineRule="exact"/>
        <w:rPr>
          <w:sz w:val="20"/>
          <w:szCs w:val="20"/>
          <w:color w:val="auto"/>
        </w:rPr>
      </w:pPr>
    </w:p>
    <w:p>
      <w:pPr>
        <w:ind w:left="320" w:hanging="317"/>
        <w:spacing w:after="0"/>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value of the annual retainers payable to our non-employee directors.</w:t>
      </w:r>
    </w:p>
    <w:p>
      <w:pPr>
        <w:spacing w:after="0" w:line="214"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grant any option awards to our non-employee directors during 2025.</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executives are our Named Executive Officers:</w:t>
      </w:r>
    </w:p>
    <w:p>
      <w:pPr>
        <w:spacing w:after="0" w:line="215" w:lineRule="exact"/>
        <w:rPr>
          <w:sz w:val="20"/>
          <w:szCs w:val="20"/>
          <w:color w:val="auto"/>
        </w:rPr>
      </w:pPr>
    </w:p>
    <w:p>
      <w:pPr>
        <w:ind w:left="620" w:hanging="31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 Nabrotzky, Chief Executive Officer;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Charles Maddox, Chief Financial Officer/Chief Operations Officer;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Vijayan Nambiar, Chief Technology Officer.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compensation of SEE ID’s named executive officers for the years ended December 31,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9"/>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31"/>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3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Ed Nabrotzky</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285,384</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357,500</w:t>
            </w:r>
          </w:p>
        </w:tc>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7"/>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642,884</w:t>
            </w:r>
          </w:p>
        </w:tc>
      </w:tr>
      <w:tr>
        <w:trPr>
          <w:trHeight w:val="25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230,000</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7"/>
                <w:szCs w:val="17"/>
                <w:color w:val="auto"/>
              </w:rPr>
              <w:t>5,821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235,821</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263,958</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9"/>
              <w:spacing w:after="0" w:line="223" w:lineRule="exact"/>
              <w:rPr>
                <w:sz w:val="20"/>
                <w:szCs w:val="20"/>
                <w:color w:val="auto"/>
              </w:rPr>
            </w:pPr>
            <w:r>
              <w:rPr>
                <w:rFonts w:ascii="Times New Roman" w:cs="Times New Roman" w:eastAsia="Times New Roman" w:hAnsi="Times New Roman"/>
                <w:sz w:val="16"/>
                <w:szCs w:val="16"/>
                <w:color w:val="auto"/>
              </w:rPr>
              <w:t>250,000</w:t>
            </w:r>
            <w:r>
              <w:rPr>
                <w:rFonts w:ascii="Times New Roman" w:cs="Times New Roman" w:eastAsia="Times New Roman" w:hAnsi="Times New Roman"/>
                <w:sz w:val="25"/>
                <w:szCs w:val="25"/>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514,558</w:t>
            </w:r>
          </w:p>
        </w:tc>
      </w:tr>
      <w:tr>
        <w:trPr>
          <w:trHeight w:val="205"/>
        </w:trPr>
        <w:tc>
          <w:tcPr>
            <w:tcW w:w="34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 Officer/Chief Operations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34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230,000</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230,000</w:t>
            </w:r>
          </w:p>
        </w:tc>
      </w:tr>
      <w:tr>
        <w:trPr>
          <w:trHeight w:val="2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276,154</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9"/>
              <w:spacing w:after="0" w:line="243" w:lineRule="exact"/>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476,154</w:t>
            </w:r>
          </w:p>
        </w:tc>
      </w:tr>
      <w:tr>
        <w:trPr>
          <w:trHeight w:val="25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Technology Officer</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230,000</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230,000</w:t>
            </w:r>
          </w:p>
        </w:tc>
      </w:tr>
    </w:tbl>
    <w:p>
      <w:pPr>
        <w:spacing w:after="0" w:line="189" w:lineRule="exact"/>
        <w:rPr>
          <w:sz w:val="20"/>
          <w:szCs w:val="20"/>
          <w:color w:val="auto"/>
        </w:rPr>
      </w:pPr>
    </w:p>
    <w:p>
      <w:pPr>
        <w:ind w:left="320" w:hanging="317"/>
        <w:spacing w:after="0" w:line="284" w:lineRule="auto"/>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$320,000 transaction bonus paid in connection with the closing of the Business Combination, and $37,500 in fees for service as a member of the Board of Directors.</w:t>
      </w:r>
    </w:p>
    <w:p>
      <w:pPr>
        <w:spacing w:after="0" w:line="152"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transaction bonuses paid in connection with the Business Combination.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Narrative Disclosure to the Summary Compensation Table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Employment Agreements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We have entered into employment agreements with each of our NEOs, each of which provides for at-will employment and provides for no specified term of employment. The employment agreements are described more fully below under the heading entitled “— </w:t>
      </w:r>
      <w:r>
        <w:rPr>
          <w:rFonts w:ascii="Times New Roman" w:cs="Times New Roman" w:eastAsia="Times New Roman" w:hAnsi="Times New Roman"/>
          <w:sz w:val="17"/>
          <w:szCs w:val="17"/>
          <w:i w:val="1"/>
          <w:iCs w:val="1"/>
          <w:color w:val="auto"/>
        </w:rPr>
        <w:t>Employment and Termination Arrangements</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Base Salaries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Incentive Bonus Compensation</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Business Combination Change of Control Payments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recognition of their efforts on the Business Compensation, the Board approved the following change in control transaction bonuses, which paid to our NEOs during 2025, subject to the closing of the Business Combination. The actual cash bonuses awarded to the NEOs in respect of 2025 are set forth in the “All Other Compensation” column of the Summary Compensation Table above.</w:t>
      </w:r>
    </w:p>
    <w:p>
      <w:pPr>
        <w:spacing w:after="0" w:line="166" w:lineRule="exact"/>
        <w:rPr>
          <w:sz w:val="20"/>
          <w:szCs w:val="20"/>
          <w:color w:val="auto"/>
        </w:rPr>
      </w:pPr>
    </w:p>
    <w:p>
      <w:pPr>
        <w:ind w:left="620" w:hanging="310"/>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Edmund Nabrotzky (Chief Executive Officer): $320,000</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Charles Maddox (Chief Financial Officer/Chief Operations Officer): $250,000</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Vijayan Nambiar (Chief Technology Officer): $200,000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Awards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do not maintain a 401(k) or any other retirement savings plan for our employees.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i w:val="1"/>
          <w:iCs w:val="1"/>
          <w:color w:val="auto"/>
        </w:rPr>
        <w:t>Employee Benefits and Perquisites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and Termination Arrangements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Set forth below is a description of the employment agreements with the NEOs during 2025. Each employment agreement does not have a specific term and provides that the applicable named executive officer is an at-will employee.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Edmund Nabrotzky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between Edmund Nabrotzky and SEE ID</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between Edmund Nabrotzky and SEE ID Holding Corp</w:t>
      </w:r>
    </w:p>
    <w:p>
      <w:pPr>
        <w:spacing w:after="0" w:line="21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Nabrotzky, dated September 5, 2025, for the position of Chief Executive Officer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 Maddox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between Charles Maddox and SEE ID</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i w:val="1"/>
          <w:iCs w:val="1"/>
          <w:color w:val="auto"/>
        </w:rPr>
        <w:t>Agreement between Charles Maddox and SEE ID Holding Corp</w:t>
      </w:r>
    </w:p>
    <w:p>
      <w:pPr>
        <w:spacing w:after="0" w:line="21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Vijayan Nambiar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between Vijayan Nambiar and SEE ID</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between Vijayan Nambiar and SEE ID Holding Corp</w:t>
      </w:r>
    </w:p>
    <w:p>
      <w:pPr>
        <w:spacing w:after="0" w:line="21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Outstanding Equity Awards at December 31,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outstanding option awards held by the Company’s named executive officers as of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402"/>
              <w:spacing w:after="0" w:line="18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30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402"/>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402"/>
              <w:spacing w:after="0" w:line="174"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132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402"/>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402"/>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0" w:type="dxa"/>
            <w:vAlign w:val="bottom"/>
          </w:tcPr>
          <w:p>
            <w:pPr>
              <w:spacing w:after="0"/>
              <w:rPr>
                <w:sz w:val="1"/>
                <w:szCs w:val="1"/>
                <w:color w:val="auto"/>
              </w:rPr>
            </w:pPr>
          </w:p>
        </w:tc>
      </w:tr>
      <w:tr>
        <w:trPr>
          <w:trHeight w:val="262"/>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Exercisable</w:t>
            </w:r>
          </w:p>
        </w:tc>
        <w:tc>
          <w:tcPr>
            <w:tcW w:w="4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Unexercisable</w:t>
            </w:r>
          </w:p>
        </w:tc>
        <w:tc>
          <w:tcPr>
            <w:tcW w:w="2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line="257"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(1)</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23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Edmund Nabrotzky</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09/01/2021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7"/>
              </w:rPr>
              <w:t>136,572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34,143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0.1758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09/01/2031</w:t>
            </w:r>
          </w:p>
        </w:tc>
        <w:tc>
          <w:tcPr>
            <w:tcW w:w="0" w:type="dxa"/>
            <w:vAlign w:val="bottom"/>
          </w:tcPr>
          <w:p>
            <w:pPr>
              <w:spacing w:after="0"/>
              <w:rPr>
                <w:sz w:val="1"/>
                <w:szCs w:val="1"/>
                <w:color w:val="auto"/>
              </w:rPr>
            </w:pPr>
          </w:p>
        </w:tc>
      </w:tr>
      <w:tr>
        <w:trPr>
          <w:trHeight w:val="244"/>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Chales Maddox</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09/01/2021</w:t>
            </w:r>
          </w:p>
        </w:tc>
        <w:tc>
          <w:tcPr>
            <w:tcW w:w="100" w:type="dxa"/>
            <w:vAlign w:val="bottom"/>
          </w:tcPr>
          <w:p>
            <w:pPr>
              <w:spacing w:after="0"/>
              <w:rPr>
                <w:sz w:val="21"/>
                <w:szCs w:val="21"/>
                <w:color w:val="auto"/>
              </w:rPr>
            </w:pPr>
          </w:p>
        </w:tc>
        <w:tc>
          <w:tcPr>
            <w:tcW w:w="154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17"/>
                <w:szCs w:val="17"/>
                <w:color w:val="auto"/>
                <w:w w:val="99"/>
              </w:rPr>
              <w:t>136,572</w:t>
            </w:r>
            <w:r>
              <w:rPr>
                <w:rFonts w:ascii="Times New Roman" w:cs="Times New Roman" w:eastAsia="Times New Roman" w:hAnsi="Times New Roman"/>
                <w:sz w:val="28"/>
                <w:szCs w:val="28"/>
                <w:color w:val="auto"/>
                <w:w w:val="99"/>
                <w:vertAlign w:val="superscript"/>
              </w:rPr>
              <w:t>(1)(2)​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34,143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0.1758</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09/01/2031</w:t>
            </w:r>
          </w:p>
        </w:tc>
        <w:tc>
          <w:tcPr>
            <w:tcW w:w="0" w:type="dxa"/>
            <w:vAlign w:val="bottom"/>
          </w:tcPr>
          <w:p>
            <w:pPr>
              <w:spacing w:after="0"/>
              <w:rPr>
                <w:sz w:val="1"/>
                <w:szCs w:val="1"/>
                <w:color w:val="auto"/>
              </w:rPr>
            </w:pPr>
          </w:p>
        </w:tc>
      </w:tr>
      <w:tr>
        <w:trPr>
          <w:trHeight w:val="24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05/07/2022</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540"/>
              <w:spacing w:after="0" w:line="243" w:lineRule="exact"/>
              <w:rPr>
                <w:sz w:val="20"/>
                <w:szCs w:val="20"/>
                <w:color w:val="auto"/>
              </w:rPr>
            </w:pPr>
            <w:r>
              <w:rPr>
                <w:rFonts w:ascii="Times New Roman" w:cs="Times New Roman" w:eastAsia="Times New Roman" w:hAnsi="Times New Roman"/>
                <w:sz w:val="17"/>
                <w:szCs w:val="17"/>
                <w:color w:val="auto"/>
              </w:rPr>
              <w:t>518,242</w:t>
            </w:r>
            <w:r>
              <w:rPr>
                <w:rFonts w:ascii="Times New Roman" w:cs="Times New Roman" w:eastAsia="Times New Roman" w:hAnsi="Times New Roman"/>
                <w:sz w:val="28"/>
                <w:szCs w:val="28"/>
                <w:color w:val="auto"/>
                <w:vertAlign w:val="superscript"/>
              </w:rPr>
              <w:t>(1)​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05/07/2032</w:t>
            </w:r>
          </w:p>
        </w:tc>
        <w:tc>
          <w:tcPr>
            <w:tcW w:w="0" w:type="dxa"/>
            <w:vAlign w:val="bottom"/>
          </w:tcPr>
          <w:p>
            <w:pPr>
              <w:spacing w:after="0"/>
              <w:rPr>
                <w:sz w:val="1"/>
                <w:szCs w:val="1"/>
                <w:color w:val="auto"/>
              </w:rPr>
            </w:pPr>
          </w:p>
        </w:tc>
      </w:tr>
      <w:tr>
        <w:trPr>
          <w:trHeight w:val="244"/>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05/07/2022</w:t>
            </w:r>
          </w:p>
        </w:tc>
        <w:tc>
          <w:tcPr>
            <w:tcW w:w="100" w:type="dxa"/>
            <w:vAlign w:val="bottom"/>
          </w:tcPr>
          <w:p>
            <w:pPr>
              <w:spacing w:after="0"/>
              <w:rPr>
                <w:sz w:val="21"/>
                <w:szCs w:val="21"/>
                <w:color w:val="auto"/>
              </w:rPr>
            </w:pPr>
          </w:p>
        </w:tc>
        <w:tc>
          <w:tcPr>
            <w:tcW w:w="154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17"/>
                <w:szCs w:val="17"/>
                <w:color w:val="auto"/>
              </w:rPr>
              <w:t>518,242</w:t>
            </w:r>
            <w:r>
              <w:rPr>
                <w:rFonts w:ascii="Times New Roman" w:cs="Times New Roman" w:eastAsia="Times New Roman" w:hAnsi="Times New Roman"/>
                <w:sz w:val="28"/>
                <w:szCs w:val="28"/>
                <w:color w:val="auto"/>
                <w:vertAlign w:val="superscript"/>
              </w:rPr>
              <w:t>(1)​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0.0516</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05/07/2032</w:t>
            </w:r>
          </w:p>
        </w:tc>
        <w:tc>
          <w:tcPr>
            <w:tcW w:w="0" w:type="dxa"/>
            <w:vAlign w:val="bottom"/>
          </w:tcPr>
          <w:p>
            <w:pPr>
              <w:spacing w:after="0"/>
              <w:rPr>
                <w:sz w:val="1"/>
                <w:szCs w:val="1"/>
                <w:color w:val="auto"/>
              </w:rPr>
            </w:pPr>
          </w:p>
        </w:tc>
      </w:tr>
      <w:tr>
        <w:trPr>
          <w:trHeight w:val="24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11/21/2023</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540"/>
              <w:spacing w:after="0" w:line="243" w:lineRule="exact"/>
              <w:rPr>
                <w:sz w:val="20"/>
                <w:szCs w:val="20"/>
                <w:color w:val="auto"/>
              </w:rPr>
            </w:pPr>
            <w:r>
              <w:rPr>
                <w:rFonts w:ascii="Times New Roman" w:cs="Times New Roman" w:eastAsia="Times New Roman" w:hAnsi="Times New Roman"/>
                <w:sz w:val="17"/>
                <w:szCs w:val="17"/>
                <w:color w:val="auto"/>
              </w:rPr>
              <w:t>359,721</w:t>
            </w:r>
            <w:r>
              <w:rPr>
                <w:rFonts w:ascii="Times New Roman" w:cs="Times New Roman" w:eastAsia="Times New Roman" w:hAnsi="Times New Roman"/>
                <w:sz w:val="28"/>
                <w:szCs w:val="28"/>
                <w:color w:val="auto"/>
                <w:vertAlign w:val="superscript"/>
              </w:rPr>
              <w:t>(1)​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11/21/2033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20" w:hanging="317"/>
        <w:spacing w:after="0" w:line="262"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spacing w:after="0" w:line="171"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the shares subject to the option vest on each of the five anniversaries of the grant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Assumption Agreement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Policy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Related Party Transactions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shares of Common Stock of the Company as of January 14, 2026 by:</w:t>
      </w:r>
    </w:p>
    <w:p>
      <w:pPr>
        <w:spacing w:after="0" w:line="215" w:lineRule="exact"/>
        <w:rPr>
          <w:sz w:val="20"/>
          <w:szCs w:val="20"/>
          <w:color w:val="auto"/>
        </w:rPr>
      </w:pPr>
    </w:p>
    <w:p>
      <w:pPr>
        <w:ind w:left="620" w:hanging="310"/>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Common Stock of the Company;</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executive officers and directors;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of the Company as a group</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below have sole voting and investment power with respect to all shares of the Company’s Common Stock beneficially owned by them.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beneficial ownership of Common Stock is based on 29,273,322 shares of our Common Stock issued and outstanding as of January 14, 2026.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 of Beneficial Owners</w:t>
            </w:r>
            <w:r>
              <w:rPr>
                <w:rFonts w:ascii="Times New Roman" w:cs="Times New Roman" w:eastAsia="Times New Roman" w:hAnsi="Times New Roman"/>
                <w:sz w:val="28"/>
                <w:szCs w:val="28"/>
                <w:b w:val="1"/>
                <w:bCs w:val="1"/>
                <w:i w:val="1"/>
                <w:iCs w:val="1"/>
                <w:color w:val="auto"/>
                <w:vertAlign w:val="superscript"/>
              </w:rPr>
              <w:t>(1)</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gridSpan w:val="2"/>
            <w:vMerge w:val="continue"/>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Executive Officers</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Edmund Nabrotzky</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3,571,614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2,052,788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86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Sheldon Paul</w:t>
            </w:r>
            <w:r>
              <w:rPr>
                <w:rFonts w:ascii="Times New Roman" w:cs="Times New Roman" w:eastAsia="Times New Roman" w:hAnsi="Times New Roman"/>
                <w:sz w:val="28"/>
                <w:szCs w:val="28"/>
                <w:color w:val="auto"/>
                <w:vertAlign w:val="superscript"/>
              </w:rPr>
              <w:t>(2)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713,667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4"/>
        </w:trPr>
        <w:tc>
          <w:tcPr>
            <w:tcW w:w="86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Janice Bryant Howroyd</w:t>
            </w:r>
            <w:r>
              <w:rPr>
                <w:rFonts w:ascii="Times New Roman" w:cs="Times New Roman" w:eastAsia="Times New Roman" w:hAnsi="Times New Roman"/>
                <w:sz w:val="28"/>
                <w:szCs w:val="28"/>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32,983</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Carlson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 Saling</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86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Phyllis Newhouse</w:t>
            </w:r>
            <w:r>
              <w:rPr>
                <w:rFonts w:ascii="Times New Roman" w:cs="Times New Roman" w:eastAsia="Times New Roman" w:hAnsi="Times New Roman"/>
                <w:sz w:val="28"/>
                <w:szCs w:val="28"/>
                <w:color w:val="auto"/>
                <w:vertAlign w:val="superscript"/>
              </w:rPr>
              <w:t>(4)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2,574,494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8,912,563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Five Percent Holders</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Tremaine Reny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2,470,060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Jeffery Andersen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1,524,924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37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ShoulderUp 2021 Trust</w:t>
            </w:r>
            <w:r>
              <w:rPr>
                <w:rFonts w:ascii="Times New Roman" w:cs="Times New Roman" w:eastAsia="Times New Roman" w:hAnsi="Times New Roman"/>
                <w:sz w:val="28"/>
                <w:szCs w:val="28"/>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1,551,180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w:t>
        <w:tab/>
        <w:t>Less than one percent.</w:t>
      </w:r>
    </w:p>
    <w:p>
      <w:pPr>
        <w:spacing w:after="0" w:line="215" w:lineRule="exact"/>
        <w:rPr>
          <w:sz w:val="20"/>
          <w:szCs w:val="20"/>
          <w:color w:val="auto"/>
        </w:rPr>
      </w:pPr>
    </w:p>
    <w:p>
      <w:pPr>
        <w:ind w:left="320" w:hanging="317"/>
        <w:spacing w:after="0"/>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the business address of each of those listed in the table above is 5661 S Cameron St, Suite 100, Las Vegas, NV 89118.</w:t>
      </w:r>
    </w:p>
    <w:p>
      <w:pPr>
        <w:spacing w:after="0" w:line="214" w:lineRule="exact"/>
        <w:rPr>
          <w:rFonts w:ascii="Times New Roman" w:cs="Times New Roman" w:eastAsia="Times New Roman" w:hAnsi="Times New Roman"/>
          <w:sz w:val="17"/>
          <w:szCs w:val="17"/>
          <w:color w:val="auto"/>
        </w:rPr>
      </w:pPr>
    </w:p>
    <w:p>
      <w:pPr>
        <w:jc w:val="both"/>
        <w:ind w:left="320" w:hanging="317"/>
        <w:spacing w:after="0" w:line="268"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112,842 shares directly held by SSP Technology Holdings, LLC; (ii) 481,258 shares directly held by The Paul Family Trust; and (iii) 119,567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p>
      <w:pPr>
        <w:spacing w:after="0" w:line="165" w:lineRule="exact"/>
        <w:rPr>
          <w:rFonts w:ascii="Times New Roman" w:cs="Times New Roman" w:eastAsia="Times New Roman" w:hAnsi="Times New Roman"/>
          <w:sz w:val="17"/>
          <w:szCs w:val="17"/>
          <w:color w:val="auto"/>
        </w:rPr>
      </w:pPr>
    </w:p>
    <w:p>
      <w:pPr>
        <w:ind w:left="320" w:hanging="317"/>
        <w:spacing w:after="0" w:line="284"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directly held by ASK, LLC. Janice Howroyd is the sole member of ASK, LLC and has voting and investment control of the shares held by ASK, LLC.</w:t>
      </w:r>
    </w:p>
    <w:p>
      <w:pPr>
        <w:spacing w:after="0" w:line="152" w:lineRule="exact"/>
        <w:rPr>
          <w:rFonts w:ascii="Times New Roman" w:cs="Times New Roman" w:eastAsia="Times New Roman" w:hAnsi="Times New Roman"/>
          <w:sz w:val="17"/>
          <w:szCs w:val="17"/>
          <w:color w:val="auto"/>
        </w:rPr>
      </w:pPr>
    </w:p>
    <w:p>
      <w:pPr>
        <w:ind w:left="320" w:hanging="317"/>
        <w:spacing w:after="0" w:line="284"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spacing w:after="0" w:line="152" w:lineRule="exact"/>
        <w:rPr>
          <w:rFonts w:ascii="Times New Roman" w:cs="Times New Roman" w:eastAsia="Times New Roman" w:hAnsi="Times New Roman"/>
          <w:sz w:val="17"/>
          <w:szCs w:val="17"/>
          <w:color w:val="auto"/>
        </w:rPr>
      </w:pPr>
    </w:p>
    <w:p>
      <w:pPr>
        <w:ind w:left="320" w:hanging="317"/>
        <w:spacing w:after="0" w:line="284"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directly held by ShoulderUp 2021 Trust. The address of the principal business office of ShoulderUp 2021 Trust is 2291 Loring Oak PL NW Marietta, GA 30064.</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 WE ARE OFFERING</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offering up to 23,809,523 shares of Common Stock, together with Series A-1 Warrants to purchase up to 23,809,523 shares of Common Stock and Series A-2 Warrants to purchase up to 23,809,523 shares of Common Stock. We are also offering Pre-Funded Warrants to purchase up to 23,809,523 shares of Common Stock to those purchasers, whose purchase of shares of Common Stock in this offering would result in the purchaser, together with its affiliates and certain related parties, beneficially owning more than 4.99% (or, at the election of the purchaser, 9.99%) of our outstanding Common Stock following the consummation of this offering in lieu of the shares of our Common Stock that would result in ownership in excess of 4.99% (or, at the election of the purchaser, 9.99%). Each Pre-Funded Warrant will be exercisable for one share of Common Stock. The shares of Common Stock or Pre-Funded Warrants, as the case may be, and the accompanying Warrants, can only be purchased together in this offering, but the shares of Common Stock and Pre-Funded Warrants and accompanying Warrants are immediately separable and will be issued separately in this offering. We are also registering the shares of Common Stock issuable from time to time upon exercise of the Pre-Funded Warrants and Warrants offered hereby as well as the shares of Common Stock issuable from time to time upon exercise of the Placement Agent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Rights and preferences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Lock-Up Restrictions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following summary of certain terms and provisions of the Warrants included with the shares of Common Stock and the Pre-Funded Warrants that are being issued hereby is not complete and is subject to, and qualified in its entirety by, the provisions of the Warrants, the forms of which will be filed as exhibits to the registration statement of which this prospectus forms a part. Prospective investors should carefully review the terms and provisions of the form of Series A-1 Warrant and the form of Series A-2 Warrant for a complete description of the terms and conditions of the Warrants. The Series A-1 Warrant and Series A-2 Warrant are identical except with regard to their duration.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Duration and Exercise Price</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Each Warrant offered hereby will have an exercise price of $ per share and will be exercisable beginning on the effective date of the Warrant Stockholder Approval, provided however, if the Pricing Conditions are met, the Warrants will be exercisable on the Initial Exercise Date. The Series A-1 Warrants will expire on the five-year anniversary of the date on which such Series A-1 Warrants become exercisable and the Series A-2 Warrants will expire on the eighteen-month anniversary of the date on which such Series A-2 Warrants become exercisable. The exercise price and number of shares of Common Stock issuable upon exercise of the Warrants is subject to appropriate adjustment in the event of stock dividends, stock splits, reorganizations or similar events affecting our Common Stock and the exercise price. The Warrants will be issued separately from the Common Stock and Pre-Funded Warrants and may be transferred separately immediately thereafter. The Warrants will be issued in certificated form only.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promptly, and in no event later than 90 days after the consummation of this offering, seek stockholder approval for the issuance of shares of Common Stock issuable upon exercise of the Warrants but we cannot assure you that such stockholder approval will be obtained, provided, however, that, if and only if the Pricing Conditions are satisfied, then we will not seek Warrant Stockholder Approval. We have agreed with the investors in this offering that, if we do not obtain stockholder approval for the issuance of the shares of Common Stock upon exercise of the Warrants at the first stockholder meeting for such purpose after this offering, we will call a stockholder meeting every 90 days thereafter until the earlier of the date we obtain such approval or the Warrants are no longer outstanding, provided, however, that, if and only if the Pricing Conditions are satisfied, then we will not seek Warrant Stockholder Approval.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Exercisability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Warrant to the extent that the holder would own more than 4.99% (or, at the election of the purchaser prior to the issuance of the Warrants, 9.99%) of the outstanding Common Stock immediately after exercise. Following the issuance of the Warrants, upon notice from the holder to us, the holder may increase or decrease the amount of beneficial ownership of outstanding stock after exercising the holder’s Warrants up to 9.99% of the number of shares of our Common Stock outstanding immediately after giving effect to the exercise, as such percentage ownership is determined in accordance with the terms of the Warrants and in accordance with the rules and regulations of the SEC, provided that any increase in the beneficial ownership limitation shall not be effective until 61 days following notice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at the time a holder exercises its Warrants, a registration statement registering the issuance of the shares of Common Stock underlying the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i w:val="1"/>
          <w:iCs w:val="1"/>
          <w:color w:val="auto"/>
        </w:rPr>
        <w:t>Fractional Shares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No fractional shares of Common Stock will be issued upon the exercise of the Warrants. Rather, the number of shares of Common Stock to be issued will be rounded up to the next whole share or we will pay a cash adjustment equal to such fraction multiplied by the exercise price to the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Transferability</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Subject to applicable laws, the Warrants may be transferred at the option of the holder upon surrender of the Warrants to us together with the appropriate instruments of transfer.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Market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There is no trading market available for the Warrants on any securities exchange or nationally recognized trading system, and we do not expect a trading market to develop. We do not intend to list the Warrants on any securities exchange or other trading market. Without a trading market, the liquidity of the Warrants will be extremely limited. The Common Stock issuable upon exercise of the Warrants is currently listed on the Nasdaq Capital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Right as a Shareholder</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Except as otherwise provided in the Warrants or by virtue of such holder’s ownership of shares of our Common Stock, the holders of the Warrants do not have the rights or privileges of holders of our Common Stock, including any voting rights, until they exercise their Warrants.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Fundamental Transaction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our outstanding Common Stock, or any person or group becoming the beneficial owner of greater than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which is approved by our board of directors, the holders of the Warrants have the right to require us or a successor entity to redeem the Warrants for cash in the amount of the Black-Scholes Value (as defined in the Warrants) of the unexercised portion of the Warrants on the date of the consummation of the fundamental transaction. In the event of a fundamental transaction which is not in our control, including a fundamental transaction not approved by our board of directors, the holders of the Warrants have the right to require us or a successor entity to redeem the Warrants for the consideration paid in the fundamental transaction in the amount of the Black-Scholes Value of the unexercised portion of the Warrants on the date of the consummation of the fundamental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Warrants may be modified or amended with the written consent of the holder of such Warrants and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following summary of certain terms and provisions of the Pre-Funded Warrants that are being issued hereby is not complete and is subject to, and qualified in its entirety by, the provisions of the Pre-Funded Warrant, the form of which will be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Duration and Exercise Price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Pre-Funded Warrant offered hereby will have an initial exercise price per share equal to $0.0001. The Pre-Funded Warrants will be immediately exercisable and may be exercised at any time until all of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 The Pre-Funded Warrants will be issued separately from the accompanying Warrants, in certificated form only.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i w:val="1"/>
          <w:iCs w:val="1"/>
          <w:color w:val="auto"/>
        </w:rPr>
        <w:t>Exercisability</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(or, at the election of the purchaser prior to the issuance of the Pre-Funded Warrant, 9.99%) of the outstanding Common Stock immediately after exercise. Following the issuance of the Pre-Funded Warrants, upon notice from the holder to us, the holder may increase or decrease the amount of beneficial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and in accordance with the rules and regulations of the SEC. Purchasers of Pre-Funded Warrants in this offering may also elect prior to the issuance of the Pre-Funded Warrants to have the initial exercise limitation set at 9.99% of our outstanding Common Stock, provided that any increase in the beneficial ownership limitation shall not be effective until 61 days following notice to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Transferability</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Subject to applicable law, Pre-Funded Warrant may be transferred at the option of the holder upon surrender of the Pre-Funded Warrant to us together with the appropriate instruments of transfer.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Fractional Shares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No fractional shares of Common Stock will be issued upon the exercise of the Pre-Funded Warrants. Rather, the number of shares of Common Stock to be issued will be rounded up to the next whole share or we will pay a cash adjustment to such fraction multiplied by the exercise price to the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Market</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There is no trading market available for the Pre-Funded Warrants on any securities exchange or nationally recognized trading system, and we do not expect a trading market to develop. We do not intend to list the Pre-Funded Warrants on any securities exchange or other trading market. Without a trading market, the liquidity of the Pre-Funded Warrants will be extremely limited. The Common Stock issuable upon exercise of the Pre-Funded Warrants is currently listed on the Nasdaq Capital Market.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Right as a Stockholder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 The Pre-Funded Warrants will provide that holders have the right to participate in distributions or dividends paid on our Common Stock.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i w:val="1"/>
          <w:iCs w:val="1"/>
          <w:color w:val="auto"/>
        </w:rPr>
        <w:t>Fundamental Transaction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our outstanding Common Stock, or any person or group becoming the beneficial owner of greater than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Pre-Funded Warrants may be modified or amended with the written consent of the holder of such Pre-Funded Warrant and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Placement Agent Warrants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following summary of certain terms and provisions of the Placement Agent Warrants that are being issued hereby is not complete and is subject to, and qualified in its entirety by, the provisions of the Placement Agent Warrants, the form of which will be filed as an exhibit to the registration statement of which this prospectus forms a part. Prospective investors should carefully review the terms and provisions of the form of Placement Agent Warrant for a complete description of the terms and conditions of the Placement Agent Warrant.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Duration and Exercise Price</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Each Placement Agent Warrant offered hereby will have an initial exercise price equal to $ per share of Common Stock. The Placement Agent Warrants will be exercisable beginning on the effective date of the Warrant Stockholder Approval, provided however, if the Pricing Conditions are met, such Placement Agent Warrants will be exercisable upon issuance and will expire five years from the commencement of sales in this offering.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Exercisability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Placement Agent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Placement Agent Warrant to the extent that the holder would own more than 4.99% (or, at the election of the purchaser prior to the issuance of such Warrants, 9.99%) of the outstanding Common Stock immediately after exercise, except that upon notice from the holder to us, the holder may increase or decrease the amount of beneficial ownership of outstanding stock after exercising the holder’s Placement Agent Warrant up to 9.99% of the number of shares of our Common Stock outstanding immediately after giving effect to the exercise, as such percentage ownership is determined in accordance with the terms of the Placement Agent Warrants and in accordance with the rules and regulations of the SEC, provided that any increase in the beneficial ownership limitation shall not be effective until 61 days following notice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at the time a holder exercises its Placement Agent Warrants, a registration statement registering the issuance of the shares of Common Stock underlying the Placement Agent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Placement Agent Warrants.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i w:val="1"/>
          <w:iCs w:val="1"/>
          <w:color w:val="auto"/>
        </w:rPr>
        <w:t>Fractional Shares</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No fractional shares of Common Stock will be issued upon the exercise of the Placement Agent Warrants. Rather, the number of shares of Common Stock to be issued will be rounded up to the next whole share or we will pay a cash adjustment equal to such fraction multiplied by the exercise price to the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Transferability</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Subject to applicable laws, a Placement Agent Warrant may be transferred at the option of the holder upon surrender of the Placement Agent Warrant to us together with the appropriate instruments of transfer.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Market</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There is no trading market available for the Placement Agent Warrants on any securities exchange or nationally recognized trading system, and we do not expect a trading market to develop. We do not intend to list the Placement Agent Warrants on any securities exchange or other trading market. Without a trading market, the liquidity of the Placement Agent Warrants will be extremely limited. The Common Stock issuable upon exercise of the Placement Agent Warrants is currently listed on the Nasdaq Capital Market.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Right as a Shareholder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Except as otherwise provided in the Placement Agent Warrants or by virtue of such holder’s ownership of shares of our Common Stock, the holders of the Placement Agent Warrants do not have the rights or privileges of holders of our Common Stock, including any voting rights, until they exercise their Placement Agent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Fundamental Transaction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Placement Agent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our outstanding Common Stock, or any person or group becoming the beneficial owner of greater than 50% of the voting power represented by our outstanding Common Stock, the holders of the Placement Agent Warrants will be entitled to receive upon exercise of the Placement Agent Warrants the kind and amount of securities, cash or other property that the holders would have received had they exercised the Placement Agent Warrants immediately prior to such fundamental transaction. In addition, in the event of a fundamental transaction which is approved by our board of directors, the holders of the Placement Agent Warrants have the right to require us or a successor entity to redeem the Placement Agent Warrant for cash in the amount of the Black-Scholes value of the unexercised portion of the Placement Agent Warrant on the date of the consummation of the fundamental transaction. In the event of a fundamental transaction which is not approved by our board of directors, the holders of the Placement Agent Warrants have the right to require us or a successor entity to redeem the Placement Agent Warrants for the consideration paid in the fundamental transaction in the amount of the Black Scholes value of the unexercised portion of the Placement Agent Warrant on the date of the consummation of the fundamental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Placement Agent Warrants may be modified or amended with the written consent of the holder of such Placement Agent Warrants and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engaged the Placement Agent to act as our exclusive placement agent to solicit offers to purchase the securities offered pursuant to this prospectus on a reasonable best efforts basis. The engagement agreement does not give rise to any commitment by the Placement Agent to purchase any of our securities, and the Placement Agent will have no authority to bind us by virtue of the engagement agreement. The Placement Agent is not purchasing or selling any of the securities offered by us under this prospectus, nor is it required to arrange for the purchase or sale of any specific number or dollar amount of securities. This is a “best efforts” offering and there is no minimum offering amount required as a condition to the closing of this offering. The Placement Agent has agreed to use reasonable best efforts to arrange for the sale of the securities by us. However, the Placement Agent will have no authority to bind us by virtue of the engagement letter Therefore, we may not sell all of the shares of Common Stock, Pre-Funded Warrants and Warrants being offered. The terms of this offering are subject to market conditions and negotiations between us, the Placement Agent and prospective investors. The Placement Agent may engage sub-agents or selected dealers to assist with the offering.</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Investors purchasing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one year following the closing of the offering, subject to an exception; and (ii) a covenant to not enter into any equity financings for 45 days from closing of the offering, subject to certain exceptions. The nature of the representations, warranties and covenants in the securities purchase agreements shall include:</w:t>
      </w:r>
    </w:p>
    <w:p>
      <w:pPr>
        <w:spacing w:after="0" w:line="175" w:lineRule="exact"/>
        <w:rPr>
          <w:sz w:val="20"/>
          <w:szCs w:val="20"/>
          <w:color w:val="auto"/>
        </w:rPr>
      </w:pPr>
    </w:p>
    <w:p>
      <w:pPr>
        <w:jc w:val="both"/>
        <w:ind w:left="620" w:hanging="310"/>
        <w:spacing w:after="0" w:line="268"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and customary issuer representations and warranties on matters such as organization, qualification, authorization, no conflict, no governmental filings required, current in SEC filings, no litigation, labor or other compliance issues, environmental, intellectual property and title matters and compliance with various laws such as the Foreign Corrupt Practices Act; and</w:t>
      </w:r>
    </w:p>
    <w:p>
      <w:pPr>
        <w:spacing w:after="0" w:line="165"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regarding matters such as registration of Warrant shares, no integration with other offerings, no stockholder rights plans, no material nonpublic information, use of proceeds, indemnification of purchasers, reservation and listing of shares of Common Stock, and no subsequent equity sales for 45 days, subject to certain exceptions.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securities will be offered at a fixed combined public offering price and are expected to be issued in a single closing. We will deliver all securities to be issued in connection with this offering delivery versus payment/receipt versus payment upon receipt by us of investor funds. Accordingly, neither we nor the Placement Agent have made any arrangements to place investor funds in an escrow account or trust account since the Placement Agent will not receive investor funds in connection with the sale of the securities offered hereunder.</w:t>
      </w:r>
    </w:p>
    <w:p>
      <w:pPr>
        <w:spacing w:after="0" w:line="172" w:lineRule="exact"/>
        <w:rPr>
          <w:sz w:val="20"/>
          <w:szCs w:val="20"/>
          <w:color w:val="auto"/>
        </w:rPr>
      </w:pPr>
    </w:p>
    <w:p>
      <w:pPr>
        <w:spacing w:after="0"/>
        <w:tabs>
          <w:tab w:leader="none" w:pos="6420" w:val="left"/>
        </w:tabs>
        <w:rPr>
          <w:sz w:val="20"/>
          <w:szCs w:val="20"/>
          <w:color w:val="auto"/>
        </w:rPr>
      </w:pPr>
      <w:r>
        <w:rPr>
          <w:rFonts w:ascii="Times New Roman" w:cs="Times New Roman" w:eastAsia="Times New Roman" w:hAnsi="Times New Roman"/>
          <w:sz w:val="17"/>
          <w:szCs w:val="17"/>
          <w:color w:val="auto"/>
        </w:rPr>
        <w:t>We expect to deliver the shares and securities to the purchasers in the offering on or about</w:t>
      </w:r>
      <w:r>
        <w:rPr>
          <w:sz w:val="20"/>
          <w:szCs w:val="20"/>
          <w:color w:val="auto"/>
        </w:rPr>
        <w:tab/>
      </w:r>
      <w:r>
        <w:rPr>
          <w:rFonts w:ascii="Times New Roman" w:cs="Times New Roman" w:eastAsia="Times New Roman" w:hAnsi="Times New Roman"/>
          <w:sz w:val="17"/>
          <w:szCs w:val="17"/>
          <w:color w:val="auto"/>
        </w:rPr>
        <w:t>, 2026, subject to satisfaction of certain conditions.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and Expenses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shows per share and accompanying Warrants and per Pre-Funded Warrant and accompanying Warrants Placement Agent fees and total Placement Agent fees we will pay in connection with the sale of the securities in this offering, assuming the purchase of all of the securities we are offering.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 and accompanying Warrants Placement Agent cash fees</w:t>
            </w:r>
          </w:p>
        </w:tc>
        <w:tc>
          <w:tcPr>
            <w:tcW w:w="33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Per Pre-Funded Warrant and accompanying Warrants Placement Agent cash fees</w:t>
            </w:r>
          </w:p>
        </w:tc>
        <w:tc>
          <w:tcPr>
            <w:tcW w:w="3360" w:type="dxa"/>
            <w:vAlign w:val="bottom"/>
          </w:tcPr>
          <w:p>
            <w:pPr>
              <w:jc w:val="right"/>
              <w:ind w:right="105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3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7"/>
                <w:szCs w:val="17"/>
                <w:color w:val="auto"/>
              </w:rPr>
              <w:t>$</w:t>
            </w:r>
          </w:p>
        </w:tc>
      </w:tr>
      <w:tr>
        <w:trPr>
          <w:trHeight w:val="621"/>
        </w:trPr>
        <w:tc>
          <w:tcPr>
            <w:tcW w:w="7880" w:type="dxa"/>
            <w:vAlign w:val="bottom"/>
            <w:tcBorders>
              <w:bottom w:val="single" w:sz="8" w:color="auto"/>
            </w:tcBorders>
          </w:tcPr>
          <w:p>
            <w:pPr>
              <w:jc w:val="right"/>
              <w:ind w:right="2035"/>
              <w:spacing w:after="0"/>
              <w:rPr>
                <w:sz w:val="20"/>
                <w:szCs w:val="20"/>
                <w:color w:val="auto"/>
              </w:rPr>
            </w:pPr>
            <w:r>
              <w:rPr>
                <w:rFonts w:ascii="Times New Roman" w:cs="Times New Roman" w:eastAsia="Times New Roman" w:hAnsi="Times New Roman"/>
                <w:sz w:val="17"/>
                <w:szCs w:val="17"/>
                <w:color w:val="auto"/>
              </w:rPr>
              <w:t>103</w:t>
            </w: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11" w:name="page112"/>
    <w:bookmarkEnd w:id="111"/>
    <w:p>
      <w:pPr>
        <w:jc w:val="both"/>
        <w:spacing w:after="0" w:line="260" w:lineRule="auto"/>
        <w:rPr>
          <w:sz w:val="20"/>
          <w:szCs w:val="20"/>
          <w:color w:val="auto"/>
        </w:rPr>
      </w:pPr>
      <w:r>
        <w:rPr>
          <w:rFonts w:ascii="Times New Roman" w:cs="Times New Roman" w:eastAsia="Times New Roman" w:hAnsi="Times New Roman"/>
          <w:sz w:val="17"/>
          <w:szCs w:val="17"/>
          <w:color w:val="auto"/>
        </w:rPr>
        <w:t>We have agreed to pay the Placement Agent a total cash fee equal to 6.5% of the gross proceeds of this offering. We will also reimburse the Placement Agent for certain fees and expenses, including (i) up to $125,000 for the Placement Agent’s legal counsel fees and other out-of-pocket expenses, and (ii) closing costs, including the clearing agent fees, not to exceed $15,950. We estimate the total offering expenses of this offering that will be payable by us, including the Placement Agent’s fees and expenses, will be approximately $0.8 million. After deducting the Placement Agent’s fees and our estimated offering expenses, we expect the net proceeds from this offering to be approximately $9.2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Placement Agent Warrants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agreed to grant Placement Agent Warrants to the Placement Agent to purchase a number of shares of our Common Stock equal to 6.5% of the aggregate number of shares of Common Stock and Pre-Funded Warrants sold to the investors in this offering. The Placement Agent Warrants will have an exercise price of $ (125% of the combined public offering price per share of Common Stock and accompanying Warrants) and will terminate on the five year anniversary of commencement of sales in this offering. The Placement Agent Warrants will be exercisable beginning on the effective date of Warrant Stockholder Approval, provided that if the Pricing Conditions are met, the Placement Agent Warrants will be exercisable upon issuance. Pursuant to FINRA Rule 5110(e), the Placement Agent Warrants and any shares of common stock issued upon exercise of the Placement Agent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commencement of sales of this offering, except the transfer of any security: (i) by operation of law or by reason of reorganization of the issuer; (ii) to any FINRA member firm participating in the offering and the officers, partners, registered persons or affiliates thereof, if all securities so transferred remain subject to the lock-up restriction set forth above for the remainder of the time period; (iii) if the aggregate amount of our securities held by the placement agent or related persons does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(v) the exercise or conversion of any security, if all securities remain subject to the lock-up restriction set forth above for the remainder of the time period; (vi) if we meet the registration requirements of Forms S-3, F-3 or F-10; or</w:t>
      </w:r>
    </w:p>
    <w:p>
      <w:pPr>
        <w:spacing w:after="0" w:line="4" w:lineRule="exact"/>
        <w:rPr>
          <w:sz w:val="20"/>
          <w:szCs w:val="20"/>
          <w:color w:val="auto"/>
        </w:rPr>
      </w:pPr>
    </w:p>
    <w:p>
      <w:pPr>
        <w:ind w:firstLine="3"/>
        <w:spacing w:after="0" w:line="263" w:lineRule="auto"/>
        <w:tabs>
          <w:tab w:leader="none" w:pos="35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 to us in a transaction exempt from registration with the SEC. The Placement Agent Warrants are registered on the registration statement of which this prospectus is a part. The form of the Placement Agent Warrants is included as an exhibit to this registration statement of which this prospectus forms a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First Refusal</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granted the Placement Agent (or any affiliate designated by it) a right of first refusal, from the date hereof until the 12-month anniversary following the consummation of each offering (and, solely with respect to any at-the-market facility, until the 12-month anniversary following the first sale under such facility), to act as sole book-running manager, sole underwriter or sole placement agent for any future debt financing or refinancing or public or private offering or other capital-raising financing of equity, equity-linked or debt securities or disposition by us or any of our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Tail</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also agreed to pay the Placement Agent a tail fee equal to the cash and warrant compensation in this offering, if any investor, who was contacted by the Placement Agent or introduced to us by the Placement Agent, in each case during the term of its engagement, provides us with capital in any public or private offering or other financing or capital raising transaction during the 12-month period following expiration or termination of our engagement of the Placement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combined public offering price per share and accompanying Warrants and the combined public offering price per Pre-Funded Warrants and accompanying Warrants we are offering and the exercise prices and other terms of the Pre-Funded Warrants and the Warrants were negotiated between us and the investors, in consultation with the Placement Agent based on the trading of our Common Stock prior to this offering, among other things. Other factors considered in determining the offering prices of the securities we are offering and the exercise prices and other terms of the Pre-Funded Warrants and the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and each of our executive officers, directors and holders of 10% or greater of our outstanding shares of Common Stock have agreed with the Placement Agent to be subject to a lock-up period of 45 days following the date of closing of the offering pursuant to this prospectus. This means that, during the applicable lock-up period, we and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subject to customary exceptions. The Placement Agent may waive the terms of these lock-up agreements in its sole discretion and without notice. In addition, we have agreed to not issue any securities that are subject to a price reset based on the trading prices of our Common Stock or upon a specified or contingent event in the future or enter into any agreement to issue securities at a future determined price for a period of one year following the closing date of this offering, subject to an exception. The Placement Agent may waive this prohibition in its sole discretion and without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Continental Stock Transfer &amp; Trust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Nasdaq Listing</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Common Stock and Public Warrants are traded on the Nasdaq Stock Market LLC under the symbol “DAIC” and “DAICW”, respectively. On January 27, 2026, the last reported sale price of our Common Stock on the Nasdaq Stock Market LLC was $0.4200 per share, and the closing price of our Public Warrants was $0.0375 per Public Warrant. We do not plan to list the Warrants or the Pre-Funded Warrants on the Nasdaq Capital Market or any other securities exchange or trading market.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have agreed to indemnify the Placement Agent against certain liabilities, including liabilities under the Securities Act, or to contribute to payments the Placement Agent may be required to make with respect to any of these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M</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Placement Agent may be deemed to be an underwriter within the meaning of Section 2(a)(11) of the Securities Act and any fees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In addition, in the ordinary course of their business activities, the Placement Agent and its affiliates may make or hold a broad array of investments and actively trade debt and equity securities (or related derivative securities) for their own account and for the accounts of their customers. Such investments and securities activities may involve securities and/or instruments of ours or our affiliates. The Placement Agent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However,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Offer, Sale and Distribution of Securities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websites maintained by the Placement Agent, if any, participating in this offering and the Placement Agent may distribute prospectuses electronically. Other than the prospectus in electronic format, the information on these websites is not part of this prospectus or the registration statement of which this prospectus forms a part, has not been approved or endorsed by us or the Placement Agent, and should not be relied upon by investors.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 FEDERAL INCOME TAX CONSIDERATIONS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66" w:lineRule="exact"/>
        <w:rPr>
          <w:sz w:val="20"/>
          <w:szCs w:val="20"/>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or financial services entities;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five percent or more of our voting shares;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or traders subject to a mark-to-market method of accounting with respect to the securities;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the securities as part of a “straddle,” hedge, integrated transaction or similar transaction;</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acquired the securities through the exercise or cancellation of employee stock options or otherwise as compensation for their services;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(as defined below) whose functional currency is not the U.S. dollar;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or former long-term residents of the U.S.;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pass-through entities for U.S. federal income tax purposes and any beneficial owners of such entities; and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jc w:val="both"/>
        <w:spacing w:after="0" w:line="260" w:lineRule="auto"/>
        <w:rPr>
          <w:sz w:val="20"/>
          <w:szCs w:val="20"/>
          <w:color w:val="auto"/>
        </w:rPr>
      </w:pPr>
      <w:r>
        <w:rPr>
          <w:rFonts w:ascii="Times New Roman" w:cs="Times New Roman" w:eastAsia="Times New Roman" w:hAnsi="Times New Roman"/>
          <w:sz w:val="17"/>
          <w:szCs w:val="17"/>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the activities of the partnership or other pass-through entity. If you are a partner or member of a partnership or other pass-through entity holding our securities, we urge you to consult your own tax advisor.</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section applies to you if you are a “U.S. holder.” A U.S. holder is a beneficial owner of our shares of Common Stock or Warrants who or that is,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income tax purposes:</w:t>
      </w:r>
    </w:p>
    <w:p>
      <w:pPr>
        <w:spacing w:after="0" w:line="198" w:lineRule="exact"/>
        <w:rPr>
          <w:sz w:val="20"/>
          <w:szCs w:val="20"/>
          <w:color w:val="auto"/>
        </w:rPr>
      </w:pPr>
    </w:p>
    <w:p>
      <w:pPr>
        <w:ind w:left="620" w:hanging="310"/>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organized in or under the laws of the United States, any state thereof or the District of Columbia;</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includible in gross income for U.S. federal income tax purposes regardless of its source; or</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68"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Taxation of Distributions. </w:t>
      </w:r>
      <w:r>
        <w:rPr>
          <w:rFonts w:ascii="Times New Roman" w:cs="Times New Roman" w:eastAsia="Times New Roman" w:hAnsi="Times New Roman"/>
          <w:sz w:val="17"/>
          <w:szCs w:val="17"/>
          <w:color w:val="auto"/>
        </w:rPr>
        <w:t>If we pay distributions in cash or other property (other than certain distributions of our stock or rights to acquire our stock) to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7"/>
          <w:szCs w:val="17"/>
          <w:i w:val="1"/>
          <w:iCs w:val="1"/>
          <w:color w:val="auto"/>
        </w:rPr>
        <w:t>U.S. Holders-Gain or Loss on Sale, Taxable Exchange or Other Taxable Disposition of Common Stock and Warrants</w:t>
      </w:r>
      <w:r>
        <w:rPr>
          <w:rFonts w:ascii="Times New Roman" w:cs="Times New Roman" w:eastAsia="Times New Roman" w:hAnsi="Times New Roman"/>
          <w:sz w:val="17"/>
          <w:szCs w:val="17"/>
          <w:color w:val="auto"/>
        </w:rPr>
        <w:t>” below.</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Gain or Loss on Sale, Taxable Exchange or Other Taxable Disposition of Common Stock and Warrants. </w:t>
      </w:r>
      <w:r>
        <w:rPr>
          <w:rFonts w:ascii="Times New Roman" w:cs="Times New Roman" w:eastAsia="Times New Roman" w:hAnsi="Times New Roman"/>
          <w:sz w:val="17"/>
          <w:szCs w:val="17"/>
          <w:color w:val="auto"/>
        </w:rPr>
        <w:t>A U.S. holder will generally recognize gain or loss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will be eligible to be taxed at preferential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jc w:val="both"/>
        <w:spacing w:after="0" w:line="262" w:lineRule="auto"/>
        <w:rPr>
          <w:sz w:val="20"/>
          <w:szCs w:val="20"/>
          <w:color w:val="auto"/>
        </w:rPr>
      </w:pPr>
      <w:r>
        <w:rPr>
          <w:rFonts w:ascii="Times New Roman" w:cs="Times New Roman" w:eastAsia="Times New Roman" w:hAnsi="Times New Roman"/>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Exercise, Lapse or Redemption of a Warrant. </w:t>
      </w:r>
      <w:r>
        <w:rPr>
          <w:rFonts w:ascii="Times New Roman" w:cs="Times New Roman" w:eastAsia="Times New Roman" w:hAnsi="Times New Roman"/>
          <w:sz w:val="17"/>
          <w:szCs w:val="17"/>
          <w:color w:val="auto"/>
        </w:rPr>
        <w:t>Except as discussed below with respect to the cashless exercise of a warrant, a U.S. holder generally will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redeem Warrants for cash pursuant to the redemption provisions described in the section of this prospectus entitled “</w:t>
      </w:r>
      <w:r>
        <w:rPr>
          <w:rFonts w:ascii="Times New Roman" w:cs="Times New Roman" w:eastAsia="Times New Roman" w:hAnsi="Times New Roman"/>
          <w:sz w:val="17"/>
          <w:szCs w:val="17"/>
          <w:i w:val="1"/>
          <w:iCs w:val="1"/>
          <w:color w:val="auto"/>
        </w:rPr>
        <w:t>Description of Securities-Warrants</w:t>
      </w:r>
      <w:r>
        <w:rPr>
          <w:rFonts w:ascii="Times New Roman" w:cs="Times New Roman" w:eastAsia="Times New Roman" w:hAnsi="Times New Roman"/>
          <w:sz w:val="17"/>
          <w:szCs w:val="17"/>
          <w:color w:val="auto"/>
        </w:rPr>
        <w:t>” or if we purchase Warrants in an open market transaction, such redemption or purchase generally will be treated as a taxable disposition to the U.S. holder, taxed as described above under “-</w:t>
      </w:r>
      <w:r>
        <w:rPr>
          <w:rFonts w:ascii="Times New Roman" w:cs="Times New Roman" w:eastAsia="Times New Roman" w:hAnsi="Times New Roman"/>
          <w:sz w:val="17"/>
          <w:szCs w:val="17"/>
          <w:i w:val="1"/>
          <w:iCs w:val="1"/>
          <w:color w:val="auto"/>
        </w:rPr>
        <w:t>Gain or Loss on Sale, Taxable Exchange or Other Taxable Disposition of Common Stock and Warrants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Possible Constructive Distributions. </w:t>
      </w:r>
      <w:r>
        <w:rPr>
          <w:rFonts w:ascii="Times New Roman" w:cs="Times New Roman" w:eastAsia="Times New Roman" w:hAnsi="Times New Roman"/>
          <w:sz w:val="17"/>
          <w:szCs w:val="17"/>
          <w:color w:val="auto"/>
        </w:rPr>
        <w:t>The terms of each Warrant provide for an adjustment to the number of shares of Common Stock for which the Warrant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or to the exercise price of the Warrant in certain events, as discussed in the section of this prospectus entitled “</w:t>
      </w:r>
      <w:r>
        <w:rPr>
          <w:rFonts w:ascii="Times New Roman" w:cs="Times New Roman" w:eastAsia="Times New Roman" w:hAnsi="Times New Roman"/>
          <w:sz w:val="17"/>
          <w:szCs w:val="17"/>
          <w:i w:val="1"/>
          <w:iCs w:val="1"/>
          <w:color w:val="auto"/>
        </w:rPr>
        <w:t>Description of Securities-Warrants</w:t>
      </w:r>
      <w:r>
        <w:rPr>
          <w:rFonts w:ascii="Times New Roman" w:cs="Times New Roman" w:eastAsia="Times New Roman" w:hAnsi="Times New Roman"/>
          <w:sz w:val="17"/>
          <w:szCs w:val="17"/>
          <w:color w:val="auto"/>
        </w:rPr>
        <w:t>.”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in the same manner as if the U.S. holders of the Warrants received a cash distribution from us equal to the fair market value of such increased interest.</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Information Reporting and Backup Withholding. </w:t>
      </w:r>
      <w:r>
        <w:rPr>
          <w:rFonts w:ascii="Times New Roman" w:cs="Times New Roman" w:eastAsia="Times New Roman" w:hAnsi="Times New Roman"/>
          <w:sz w:val="17"/>
          <w:szCs w:val="17"/>
          <w:color w:val="auto"/>
        </w:rPr>
        <w:t>In general, information reporting requirements may apply to dividends paid to a U.S. holder and to the proceeds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6" w:name="page117"/>
    <w:bookmarkEnd w:id="116"/>
    <w:p>
      <w:pPr>
        <w:spacing w:after="0" w:line="284" w:lineRule="auto"/>
        <w:rPr>
          <w:sz w:val="20"/>
          <w:szCs w:val="20"/>
          <w:color w:val="auto"/>
        </w:rPr>
      </w:pPr>
      <w:r>
        <w:rPr>
          <w:rFonts w:ascii="Times New Roman" w:cs="Times New Roman" w:eastAsia="Times New Roman" w:hAnsi="Times New Roman"/>
          <w:sz w:val="17"/>
          <w:szCs w:val="17"/>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Non-U.S. Holders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This section applies to you if you are a “Non-U.S. holder.” As used herein, the term “Non-U.S. holder” means a beneficial owner of our Common Stock or Warrants who or that is for U.S. federal income tax purposes:</w:t>
      </w:r>
    </w:p>
    <w:p>
      <w:pPr>
        <w:spacing w:after="0" w:line="153" w:lineRule="exact"/>
        <w:rPr>
          <w:sz w:val="20"/>
          <w:szCs w:val="20"/>
          <w:color w:val="auto"/>
        </w:rPr>
      </w:pPr>
    </w:p>
    <w:p>
      <w:pPr>
        <w:ind w:left="620" w:hanging="310"/>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non-resident alien individual (other than certain former citizens and residents of the U.S. subject to U.S. tax as expatriates);</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corporation; or</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or trust that is not a U.S. holder;</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Taxation of Distributions. </w:t>
      </w:r>
      <w:r>
        <w:rPr>
          <w:rFonts w:ascii="Times New Roman" w:cs="Times New Roman" w:eastAsia="Times New Roman" w:hAnsi="Times New Roman"/>
          <w:sz w:val="17"/>
          <w:szCs w:val="17"/>
          <w:color w:val="auto"/>
        </w:rPr>
        <w:t>In general, any distributions we make to a Non-U.S. holder of shares of our Common Stock, to the extent paid out of our current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7"/>
          <w:szCs w:val="17"/>
          <w:i w:val="1"/>
          <w:iCs w:val="1"/>
          <w:color w:val="auto"/>
        </w:rPr>
        <w:t>Non-U.S. Holders-Gain on 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Taxable Exchange or Other Taxable Disposition of Common Stock and Warrants</w:t>
      </w:r>
      <w:r>
        <w:rPr>
          <w:rFonts w:ascii="Times New Roman" w:cs="Times New Roman" w:eastAsia="Times New Roman" w:hAnsi="Times New Roman"/>
          <w:sz w:val="17"/>
          <w:szCs w:val="17"/>
          <w:color w:val="auto"/>
        </w:rPr>
        <w:t>” below.</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Exercise, Lapse or Redemption of a Warrant. </w:t>
      </w:r>
      <w:r>
        <w:rPr>
          <w:rFonts w:ascii="Times New Roman" w:cs="Times New Roman" w:eastAsia="Times New Roman" w:hAnsi="Times New Roman"/>
          <w:sz w:val="17"/>
          <w:szCs w:val="17"/>
          <w:color w:val="auto"/>
        </w:rPr>
        <w:t>The U.S. federal income tax treatment of a Non-U.S. holder’s exercise of a warrant, or the lapse of a warrant held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Non-U.S. holder, generally will correspond to the U.S. federal income tax treatment of the exercise or lapse of a warrant by a U.S. holder, as described under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Holders-Exercise, Lapse or Redemption of a Warrant</w:t>
      </w:r>
      <w:r>
        <w:rPr>
          <w:rFonts w:ascii="Times New Roman" w:cs="Times New Roman" w:eastAsia="Times New Roman" w:hAnsi="Times New Roman"/>
          <w:sz w:val="17"/>
          <w:szCs w:val="17"/>
          <w:color w:val="auto"/>
        </w:rPr>
        <w:t>” above, although to the extent a cashless exercise results in a taxable exchange, the consequences would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similar to those described below in “</w:t>
      </w:r>
      <w:r>
        <w:rPr>
          <w:rFonts w:ascii="Times New Roman" w:cs="Times New Roman" w:eastAsia="Times New Roman" w:hAnsi="Times New Roman"/>
          <w:sz w:val="17"/>
          <w:szCs w:val="17"/>
          <w:i w:val="1"/>
          <w:iCs w:val="1"/>
          <w:color w:val="auto"/>
        </w:rPr>
        <w:t>Non-U.S. Holders-Gain on Sale, Taxable Exchange or Other Taxable Disposition of Common Stock and Warrants</w:t>
      </w:r>
      <w:r>
        <w:rPr>
          <w:rFonts w:ascii="Times New Roman" w:cs="Times New Roman" w:eastAsia="Times New Roman" w:hAnsi="Times New Roman"/>
          <w:sz w:val="17"/>
          <w:szCs w:val="17"/>
          <w:color w:val="auto"/>
        </w:rPr>
        <w:t>.” The U.S. federal income tax treatment for a Non-U.S. holder of a redemption of Warrants for cash described in the section of this prospectus entitled “</w:t>
      </w:r>
      <w:r>
        <w:rPr>
          <w:rFonts w:ascii="Times New Roman" w:cs="Times New Roman" w:eastAsia="Times New Roman" w:hAnsi="Times New Roman"/>
          <w:sz w:val="17"/>
          <w:szCs w:val="17"/>
          <w:i w:val="1"/>
          <w:iCs w:val="1"/>
          <w:color w:val="auto"/>
        </w:rPr>
        <w:t>Description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Securities-Warrants</w:t>
      </w:r>
      <w:r>
        <w:rPr>
          <w:rFonts w:ascii="Times New Roman" w:cs="Times New Roman" w:eastAsia="Times New Roman" w:hAnsi="Times New Roman"/>
          <w:sz w:val="17"/>
          <w:szCs w:val="17"/>
          <w:color w:val="auto"/>
        </w:rPr>
        <w:t>” (or if we purchase Warrants in an open market transaction) would be similar to that described below in “</w:t>
      </w:r>
      <w:r>
        <w:rPr>
          <w:rFonts w:ascii="Times New Roman" w:cs="Times New Roman" w:eastAsia="Times New Roman" w:hAnsi="Times New Roman"/>
          <w:sz w:val="17"/>
          <w:szCs w:val="17"/>
          <w:i w:val="1"/>
          <w:iCs w:val="1"/>
          <w:color w:val="auto"/>
        </w:rPr>
        <w:t>Non-U.S. Holders-Gain on Sale, Taxable Exchange or Other Taxable Disposition of Common Stock and Warrants</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7" w:name="page118"/>
    <w:bookmarkEnd w:id="117"/>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Gain on Sale, Taxable Exchange or Other Taxable Disposition of Common Stock and Warrants. </w:t>
      </w:r>
      <w:r>
        <w:rPr>
          <w:rFonts w:ascii="Times New Roman" w:cs="Times New Roman" w:eastAsia="Times New Roman" w:hAnsi="Times New Roman"/>
          <w:sz w:val="17"/>
          <w:szCs w:val="17"/>
          <w:color w:val="auto"/>
        </w:rPr>
        <w:t>A Non-U.S. holder generally will not be subject to U.S.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or withholding tax in respect of gain recognized on a sale, taxable exchange or other taxable disposition of our Common Stock or Warrants (including a redemption of our Warrants), unless:</w:t>
      </w:r>
    </w:p>
    <w:p>
      <w:pPr>
        <w:spacing w:after="0" w:line="165" w:lineRule="exact"/>
        <w:rPr>
          <w:sz w:val="20"/>
          <w:szCs w:val="20"/>
          <w:color w:val="auto"/>
        </w:rPr>
      </w:pPr>
    </w:p>
    <w:p>
      <w:pPr>
        <w:ind w:left="620" w:hanging="310"/>
        <w:spacing w:after="0" w:line="284"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60"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believe that we are not, and do not anticipate becoming, a U.S. real property holding corporation; however, there can be no assurance that we will not become a U.S. real property holding corporation in the future.</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Possible Constructive Distributions. </w:t>
      </w:r>
      <w:r>
        <w:rPr>
          <w:rFonts w:ascii="Times New Roman" w:cs="Times New Roman" w:eastAsia="Times New Roman" w:hAnsi="Times New Roman"/>
          <w:sz w:val="17"/>
          <w:szCs w:val="17"/>
          <w:color w:val="auto"/>
        </w:rPr>
        <w:t>The terms of each Warrant provide for an adjustment to the number of shares of Common Stock for which the Warrant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or to the exercise price of the Warrant in certain events, as discussed in the section of this prospectus entitled “</w:t>
      </w:r>
      <w:r>
        <w:rPr>
          <w:rFonts w:ascii="Times New Roman" w:cs="Times New Roman" w:eastAsia="Times New Roman" w:hAnsi="Times New Roman"/>
          <w:sz w:val="17"/>
          <w:szCs w:val="17"/>
          <w:i w:val="1"/>
          <w:iCs w:val="1"/>
          <w:color w:val="auto"/>
        </w:rPr>
        <w:t>Description of Securities-Warrants</w:t>
      </w:r>
      <w:r>
        <w:rPr>
          <w:rFonts w:ascii="Times New Roman" w:cs="Times New Roman" w:eastAsia="Times New Roman" w:hAnsi="Times New Roman"/>
          <w:sz w:val="17"/>
          <w:szCs w:val="17"/>
          <w:color w:val="auto"/>
        </w:rPr>
        <w:t>.” An adjustment which has the effect of preventing dilution is generally not taxable. The Non-U.S. holders of Warrants would, however,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Information Reporting and Backup Withholding. </w:t>
      </w:r>
      <w:r>
        <w:rPr>
          <w:rFonts w:ascii="Times New Roman" w:cs="Times New Roman" w:eastAsia="Times New Roman" w:hAnsi="Times New Roman"/>
          <w:sz w:val="17"/>
          <w:szCs w:val="17"/>
          <w:color w:val="auto"/>
        </w:rPr>
        <w:t>Information returns will be filed with the IRS in connection with payments of dividends and the proceeds from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FATCA Withholding Taxes. </w:t>
      </w:r>
      <w:r>
        <w:rPr>
          <w:rFonts w:ascii="Times New Roman" w:cs="Times New Roman" w:eastAsia="Times New Roman" w:hAnsi="Times New Roman"/>
          <w:sz w:val="17"/>
          <w:szCs w:val="17"/>
          <w:color w:val="auto"/>
        </w:rPr>
        <w:t>Provisions commonly referred to as “FATCA” impose withholding of 30% on payments of dividends (including constructive dividends)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consolidated financial statements of SEE ID as of and for the year ended December 31, 2023, included in this prospectus of CID HoldCo, Inc., which is referred to and made a part of this Prospectus and Registration Statement, have been audited by Wolf &amp; Company, P.C., an independent registered public accounting firm, as set forth in their report appearing elsewhere herein, and are included in reliance upon such report given on the authority of such firm as experts in accounting and auditing.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validity of the securities offered in this prospectus will be passed upon for us by DLA Piper LLP (US), Atlanta, Georgia. The Placement Agent is being</w:t>
      </w:r>
    </w:p>
    <w:p>
      <w:pPr>
        <w:spacing w:after="0" w:line="2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represented by</w:t>
      </w:r>
      <w:r>
        <w:rPr>
          <w:sz w:val="20"/>
          <w:szCs w:val="20"/>
          <w:color w:val="auto"/>
        </w:rPr>
        <w:tab/>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Our SEC filings are available to the public over the internet at the SEC’s website at www.sec.gov and on our website, free of charge, at www.daic.ai. The information found on, or that can be accessed from or that is hyperlinked to, our website is not part of this prospectus. You may inspect a copy of the registration statement through the SEC’s website, as provided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CHANGES IN INDEPENDENT REGISTERED PUBLIC ACCOUNTING FIRM</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was notified that Carr, Riggs &amp; Ingram, LLC (“CRI”) acquired, effective as of January 1, 2026, certain assets related to the capital markets practice of Berkowitz Pollack Brant Advisors + CPAs, LLP (“BPB”). On January 13, 2026, the Audit Committee of the Board approved the dismissal of BPB as the Company’s independent registered public accounting firm and the appointment of CRI as the Company’s new independent registered public accounting firm, effective immediately. BPB previously served as the independent registered public accounting firm of SEE ID prior to the Business Combination.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3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CID HoldCo, Inc. (formerly known as SEE ID, Inc. dba Dot Ai)</w:t>
            </w:r>
          </w:p>
        </w:tc>
        <w:tc>
          <w:tcPr>
            <w:tcW w:w="920" w:type="dxa"/>
            <w:vAlign w:val="bottom"/>
            <w:shd w:val="clear" w:color="auto" w:fill="CCEEFF"/>
          </w:tcPr>
          <w:p>
            <w:pPr>
              <w:spacing w:after="0"/>
              <w:rPr>
                <w:sz w:val="17"/>
                <w:szCs w:val="17"/>
                <w:color w:val="auto"/>
              </w:rPr>
            </w:pPr>
          </w:p>
        </w:tc>
      </w:tr>
      <w:tr>
        <w:trPr>
          <w:trHeight w:val="205"/>
        </w:trPr>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103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Unaudited Financial Statements</w:t>
            </w:r>
          </w:p>
        </w:tc>
        <w:tc>
          <w:tcPr>
            <w:tcW w:w="920" w:type="dxa"/>
            <w:vAlign w:val="bottom"/>
            <w:shd w:val="clear" w:color="auto" w:fill="CCEEFF"/>
          </w:tcPr>
          <w:p>
            <w:pPr>
              <w:spacing w:after="0"/>
              <w:rPr>
                <w:sz w:val="17"/>
                <w:szCs w:val="17"/>
                <w:color w:val="auto"/>
              </w:rPr>
            </w:pPr>
          </w:p>
        </w:tc>
      </w:tr>
      <w:tr>
        <w:trPr>
          <w:trHeight w:val="176"/>
        </w:trPr>
        <w:tc>
          <w:tcPr>
            <w:tcW w:w="6820" w:type="dxa"/>
            <w:vAlign w:val="bottom"/>
            <w:tcBorders>
              <w:bottom w:val="single" w:sz="8" w:color="0000EE"/>
            </w:tcBorders>
            <w:gridSpan w:val="8"/>
          </w:tcPr>
          <w:p>
            <w:pPr>
              <w:spacing w:after="0" w:line="167" w:lineRule="exact"/>
              <w:rPr>
                <w:sz w:val="20"/>
                <w:szCs w:val="20"/>
                <w:color w:val="auto"/>
              </w:rPr>
            </w:pPr>
            <w:r>
              <w:rPr>
                <w:rFonts w:ascii="Times New Roman" w:cs="Times New Roman" w:eastAsia="Times New Roman" w:hAnsi="Times New Roman"/>
                <w:sz w:val="17"/>
                <w:szCs w:val="17"/>
                <w:color w:val="0000EE"/>
              </w:rPr>
              <w:t>Condensed Consolidated balance sheets at September 30, 2025 (unaudited) and December 31, 2024</w:t>
            </w:r>
          </w:p>
        </w:tc>
        <w:tc>
          <w:tcPr>
            <w:tcW w:w="3500" w:type="dxa"/>
            <w:vAlign w:val="bottom"/>
            <w:gridSpan w:val="3"/>
          </w:tcPr>
          <w:p>
            <w:pPr>
              <w:spacing w:after="0"/>
              <w:rPr>
                <w:sz w:val="15"/>
                <w:szCs w:val="15"/>
                <w:color w:val="auto"/>
              </w:rPr>
            </w:pP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rPr>
              <w:t>F-2</w:t>
            </w:r>
          </w:p>
        </w:tc>
      </w:tr>
      <w:tr>
        <w:trPr>
          <w:trHeight w:val="176"/>
        </w:trPr>
        <w:tc>
          <w:tcPr>
            <w:tcW w:w="103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Condensed Consolidated statements of operations for the three and nine-months ended September 30, 2025 and 2024 (unaudited)</w:t>
            </w:r>
          </w:p>
        </w:tc>
        <w:tc>
          <w:tcPr>
            <w:tcW w:w="920" w:type="dxa"/>
            <w:vAlign w:val="bottom"/>
            <w:shd w:val="clear" w:color="auto" w:fill="CCEEFF"/>
          </w:tcPr>
          <w:p>
            <w:pPr>
              <w:jc w:val="center"/>
              <w:ind w:right="115"/>
              <w:spacing w:after="0" w:line="176" w:lineRule="exact"/>
              <w:rPr>
                <w:sz w:val="20"/>
                <w:szCs w:val="20"/>
                <w:color w:val="auto"/>
              </w:rPr>
            </w:pPr>
            <w:r>
              <w:rPr>
                <w:rFonts w:ascii="Times New Roman" w:cs="Times New Roman" w:eastAsia="Times New Roman" w:hAnsi="Times New Roman"/>
                <w:sz w:val="17"/>
                <w:szCs w:val="17"/>
                <w:color w:val="auto"/>
              </w:rPr>
              <w:t>F-3</w:t>
            </w:r>
          </w:p>
        </w:tc>
      </w:tr>
      <w:tr>
        <w:trPr>
          <w:trHeight w:val="38"/>
        </w:trPr>
        <w:tc>
          <w:tcPr>
            <w:tcW w:w="192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900" w:type="dxa"/>
            <w:vAlign w:val="bottom"/>
            <w:shd w:val="clear" w:color="auto" w:fill="0000EE"/>
          </w:tcPr>
          <w:p>
            <w:pPr>
              <w:spacing w:after="0"/>
              <w:rPr>
                <w:sz w:val="3"/>
                <w:szCs w:val="3"/>
                <w:color w:val="auto"/>
              </w:rPr>
            </w:pPr>
          </w:p>
        </w:tc>
        <w:tc>
          <w:tcPr>
            <w:tcW w:w="2040" w:type="dxa"/>
            <w:vAlign w:val="bottom"/>
            <w:tcBorders>
              <w:right w:val="single" w:sz="8" w:color="CCEEFF"/>
            </w:tcBorders>
            <w:shd w:val="clear" w:color="auto" w:fill="0000EE"/>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76"/>
        </w:trPr>
        <w:tc>
          <w:tcPr>
            <w:tcW w:w="10120" w:type="dxa"/>
            <w:vAlign w:val="bottom"/>
            <w:tcBorders>
              <w:bottom w:val="single" w:sz="8" w:color="0000EE"/>
            </w:tcBorders>
            <w:gridSpan w:val="10"/>
          </w:tcPr>
          <w:p>
            <w:pPr>
              <w:spacing w:after="0" w:line="167" w:lineRule="exact"/>
              <w:rPr>
                <w:sz w:val="20"/>
                <w:szCs w:val="20"/>
                <w:color w:val="auto"/>
              </w:rPr>
            </w:pPr>
            <w:r>
              <w:rPr>
                <w:rFonts w:ascii="Times New Roman" w:cs="Times New Roman" w:eastAsia="Times New Roman" w:hAnsi="Times New Roman"/>
                <w:sz w:val="17"/>
                <w:szCs w:val="17"/>
                <w:color w:val="0000EE"/>
              </w:rPr>
              <w:t>Condensed Consolidated statements of stockholders’ equity (deficit) for the three and nine-months ended September 30, 2025 and 2024 (unaudited)</w:t>
            </w:r>
          </w:p>
        </w:tc>
        <w:tc>
          <w:tcPr>
            <w:tcW w:w="200" w:type="dxa"/>
            <w:vAlign w:val="bottom"/>
          </w:tcPr>
          <w:p>
            <w:pPr>
              <w:spacing w:after="0"/>
              <w:rPr>
                <w:sz w:val="15"/>
                <w:szCs w:val="15"/>
                <w:color w:val="auto"/>
              </w:rPr>
            </w:pP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rPr>
              <w:t>F-4</w:t>
            </w:r>
          </w:p>
        </w:tc>
      </w:tr>
      <w:tr>
        <w:trPr>
          <w:trHeight w:val="194"/>
        </w:trPr>
        <w:tc>
          <w:tcPr>
            <w:tcW w:w="8860" w:type="dxa"/>
            <w:vAlign w:val="bottom"/>
            <w:tcBorders>
              <w:bottom w:val="single" w:sz="8" w:color="0000EE"/>
              <w:right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three and nine-months ended September 30, 2025 and 2024 (unaudited)</w:t>
            </w:r>
          </w:p>
        </w:tc>
        <w:tc>
          <w:tcPr>
            <w:tcW w:w="146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ind w:right="115"/>
              <w:spacing w:after="0" w:line="176" w:lineRule="exact"/>
              <w:rPr>
                <w:sz w:val="20"/>
                <w:szCs w:val="20"/>
                <w:color w:val="auto"/>
              </w:rPr>
            </w:pPr>
            <w:r>
              <w:rPr>
                <w:rFonts w:ascii="Times New Roman" w:cs="Times New Roman" w:eastAsia="Times New Roman" w:hAnsi="Times New Roman"/>
                <w:sz w:val="17"/>
                <w:szCs w:val="17"/>
                <w:color w:val="auto"/>
              </w:rPr>
              <w:t>F-5</w:t>
            </w:r>
          </w:p>
        </w:tc>
      </w:tr>
      <w:tr>
        <w:trPr>
          <w:trHeight w:val="176"/>
        </w:trPr>
        <w:tc>
          <w:tcPr>
            <w:tcW w:w="10320" w:type="dxa"/>
            <w:vAlign w:val="bottom"/>
            <w:gridSpan w:val="11"/>
          </w:tcPr>
          <w:p>
            <w:pPr>
              <w:spacing w:after="0" w:line="167" w:lineRule="exact"/>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rPr>
              <w:t>F-6</w:t>
            </w:r>
          </w:p>
        </w:tc>
      </w:tr>
      <w:tr>
        <w:trPr>
          <w:trHeight w:val="214"/>
        </w:trPr>
        <w:tc>
          <w:tcPr>
            <w:tcW w:w="192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right w:val="single" w:sz="8" w:color="CCEEFF"/>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40" w:type="dxa"/>
            <w:vAlign w:val="bottom"/>
            <w:tcBorders>
              <w:right w:val="single" w:sz="8" w:color="CCEEFF"/>
            </w:tcBorders>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103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Audited Financial Statements</w:t>
            </w:r>
          </w:p>
        </w:tc>
        <w:tc>
          <w:tcPr>
            <w:tcW w:w="920" w:type="dxa"/>
            <w:vAlign w:val="bottom"/>
          </w:tcPr>
          <w:p>
            <w:pPr>
              <w:spacing w:after="0"/>
              <w:rPr>
                <w:sz w:val="17"/>
                <w:szCs w:val="17"/>
                <w:color w:val="auto"/>
              </w:rPr>
            </w:pPr>
          </w:p>
        </w:tc>
      </w:tr>
      <w:tr>
        <w:trPr>
          <w:trHeight w:val="205"/>
        </w:trPr>
        <w:tc>
          <w:tcPr>
            <w:tcW w:w="19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40" w:type="dxa"/>
            <w:vAlign w:val="bottom"/>
            <w:tcBorders>
              <w:right w:val="single" w:sz="8" w:color="CCEEFF"/>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76"/>
        </w:trPr>
        <w:tc>
          <w:tcPr>
            <w:tcW w:w="4840" w:type="dxa"/>
            <w:vAlign w:val="bottom"/>
            <w:tcBorders>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7"/>
                <w:szCs w:val="17"/>
                <w:color w:val="0000EE"/>
              </w:rPr>
              <w:t>Report of Independent Registered Public Accountant (PCAOB ID: 52)</w:t>
            </w:r>
          </w:p>
        </w:tc>
        <w:tc>
          <w:tcPr>
            <w:tcW w:w="5480" w:type="dxa"/>
            <w:vAlign w:val="bottom"/>
            <w:gridSpan w:val="5"/>
          </w:tcPr>
          <w:p>
            <w:pPr>
              <w:spacing w:after="0"/>
              <w:rPr>
                <w:sz w:val="15"/>
                <w:szCs w:val="15"/>
                <w:color w:val="auto"/>
              </w:rPr>
            </w:pP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w w:val="99"/>
              </w:rPr>
              <w:t>F-25</w:t>
            </w:r>
          </w:p>
        </w:tc>
      </w:tr>
      <w:tr>
        <w:trPr>
          <w:trHeight w:val="194"/>
        </w:trPr>
        <w:tc>
          <w:tcPr>
            <w:tcW w:w="49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Report of Independent Registered Public Accountant (PCAOB ID: 392)</w:t>
            </w:r>
          </w:p>
        </w:tc>
        <w:tc>
          <w:tcPr>
            <w:tcW w:w="5400" w:type="dxa"/>
            <w:vAlign w:val="bottom"/>
            <w:tcBorders>
              <w:bottom w:val="single" w:sz="8" w:color="CCEEFF"/>
            </w:tcBorders>
            <w:gridSpan w:val="4"/>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center"/>
              <w:ind w:right="115"/>
              <w:spacing w:after="0" w:line="176" w:lineRule="exact"/>
              <w:rPr>
                <w:sz w:val="20"/>
                <w:szCs w:val="20"/>
                <w:color w:val="auto"/>
              </w:rPr>
            </w:pPr>
            <w:r>
              <w:rPr>
                <w:rFonts w:ascii="Times New Roman" w:cs="Times New Roman" w:eastAsia="Times New Roman" w:hAnsi="Times New Roman"/>
                <w:sz w:val="17"/>
                <w:szCs w:val="17"/>
                <w:color w:val="auto"/>
                <w:w w:val="99"/>
              </w:rPr>
              <w:t>F-26</w:t>
            </w:r>
          </w:p>
        </w:tc>
      </w:tr>
      <w:tr>
        <w:trPr>
          <w:trHeight w:val="167"/>
        </w:trPr>
        <w:tc>
          <w:tcPr>
            <w:tcW w:w="10320" w:type="dxa"/>
            <w:vAlign w:val="bottom"/>
            <w:gridSpan w:val="11"/>
          </w:tcPr>
          <w:p>
            <w:pPr>
              <w:spacing w:after="0" w:line="167" w:lineRule="exact"/>
              <w:rPr>
                <w:sz w:val="20"/>
                <w:szCs w:val="20"/>
                <w:color w:val="auto"/>
              </w:rPr>
            </w:pPr>
            <w:r>
              <w:rPr>
                <w:rFonts w:ascii="Times New Roman" w:cs="Times New Roman" w:eastAsia="Times New Roman" w:hAnsi="Times New Roman"/>
                <w:sz w:val="17"/>
                <w:szCs w:val="17"/>
                <w:color w:val="0000EE"/>
              </w:rPr>
              <w:t>Consolidated balance sheets</w:t>
            </w: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w w:val="99"/>
              </w:rPr>
              <w:t>F-27</w:t>
            </w:r>
          </w:p>
        </w:tc>
      </w:tr>
      <w:tr>
        <w:trPr>
          <w:trHeight w:val="29"/>
        </w:trPr>
        <w:tc>
          <w:tcPr>
            <w:tcW w:w="1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3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Consolidated statements of operations</w:t>
            </w:r>
          </w:p>
        </w:tc>
        <w:tc>
          <w:tcPr>
            <w:tcW w:w="920" w:type="dxa"/>
            <w:vAlign w:val="bottom"/>
            <w:shd w:val="clear" w:color="auto" w:fill="CCEEFF"/>
          </w:tcPr>
          <w:p>
            <w:pPr>
              <w:jc w:val="center"/>
              <w:ind w:right="115"/>
              <w:spacing w:after="0" w:line="176" w:lineRule="exact"/>
              <w:rPr>
                <w:sz w:val="20"/>
                <w:szCs w:val="20"/>
                <w:color w:val="auto"/>
              </w:rPr>
            </w:pPr>
            <w:r>
              <w:rPr>
                <w:rFonts w:ascii="Times New Roman" w:cs="Times New Roman" w:eastAsia="Times New Roman" w:hAnsi="Times New Roman"/>
                <w:sz w:val="17"/>
                <w:szCs w:val="17"/>
                <w:color w:val="auto"/>
                <w:w w:val="99"/>
              </w:rPr>
              <w:t>F-29</w:t>
            </w:r>
          </w:p>
        </w:tc>
      </w:tr>
      <w:tr>
        <w:trPr>
          <w:trHeight w:val="38"/>
        </w:trPr>
        <w:tc>
          <w:tcPr>
            <w:tcW w:w="1920" w:type="dxa"/>
            <w:vAlign w:val="bottom"/>
            <w:shd w:val="clear" w:color="auto" w:fill="0000EE"/>
          </w:tcPr>
          <w:p>
            <w:pPr>
              <w:spacing w:after="0"/>
              <w:rPr>
                <w:sz w:val="3"/>
                <w:szCs w:val="3"/>
                <w:color w:val="auto"/>
              </w:rPr>
            </w:pPr>
          </w:p>
        </w:tc>
        <w:tc>
          <w:tcPr>
            <w:tcW w:w="700" w:type="dxa"/>
            <w:vAlign w:val="bottom"/>
            <w:tcBorders>
              <w:right w:val="single" w:sz="8" w:color="CCEEFF"/>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040" w:type="dxa"/>
            <w:vAlign w:val="bottom"/>
            <w:tcBorders>
              <w:right w:val="single" w:sz="8" w:color="CCEEFF"/>
            </w:tcBorders>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76"/>
        </w:trPr>
        <w:tc>
          <w:tcPr>
            <w:tcW w:w="3300" w:type="dxa"/>
            <w:vAlign w:val="bottom"/>
            <w:tcBorders>
              <w:bottom w:val="single" w:sz="8" w:color="0000EE"/>
            </w:tcBorders>
            <w:gridSpan w:val="4"/>
          </w:tcPr>
          <w:p>
            <w:pPr>
              <w:spacing w:after="0" w:line="167" w:lineRule="exact"/>
              <w:rPr>
                <w:sz w:val="20"/>
                <w:szCs w:val="20"/>
                <w:color w:val="auto"/>
              </w:rPr>
            </w:pPr>
            <w:r>
              <w:rPr>
                <w:rFonts w:ascii="Times New Roman" w:cs="Times New Roman" w:eastAsia="Times New Roman" w:hAnsi="Times New Roman"/>
                <w:sz w:val="17"/>
                <w:szCs w:val="17"/>
                <w:color w:val="0000EE"/>
              </w:rPr>
              <w:t>Consolidated statements of stockholders’ deficit</w:t>
            </w:r>
          </w:p>
        </w:tc>
        <w:tc>
          <w:tcPr>
            <w:tcW w:w="7020" w:type="dxa"/>
            <w:vAlign w:val="bottom"/>
            <w:gridSpan w:val="7"/>
          </w:tcPr>
          <w:p>
            <w:pPr>
              <w:spacing w:after="0"/>
              <w:rPr>
                <w:sz w:val="15"/>
                <w:szCs w:val="15"/>
                <w:color w:val="auto"/>
              </w:rPr>
            </w:pP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w w:val="99"/>
              </w:rPr>
              <w:t>F-30</w:t>
            </w:r>
          </w:p>
        </w:tc>
      </w:tr>
      <w:tr>
        <w:trPr>
          <w:trHeight w:val="176"/>
        </w:trPr>
        <w:tc>
          <w:tcPr>
            <w:tcW w:w="103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920" w:type="dxa"/>
            <w:vAlign w:val="bottom"/>
            <w:shd w:val="clear" w:color="auto" w:fill="CCEEFF"/>
          </w:tcPr>
          <w:p>
            <w:pPr>
              <w:jc w:val="center"/>
              <w:ind w:right="115"/>
              <w:spacing w:after="0" w:line="176" w:lineRule="exact"/>
              <w:rPr>
                <w:sz w:val="20"/>
                <w:szCs w:val="20"/>
                <w:color w:val="auto"/>
              </w:rPr>
            </w:pPr>
            <w:r>
              <w:rPr>
                <w:rFonts w:ascii="Times New Roman" w:cs="Times New Roman" w:eastAsia="Times New Roman" w:hAnsi="Times New Roman"/>
                <w:sz w:val="17"/>
                <w:szCs w:val="17"/>
                <w:color w:val="auto"/>
                <w:w w:val="99"/>
              </w:rPr>
              <w:t>F-31</w:t>
            </w:r>
          </w:p>
        </w:tc>
      </w:tr>
      <w:tr>
        <w:trPr>
          <w:trHeight w:val="38"/>
        </w:trPr>
        <w:tc>
          <w:tcPr>
            <w:tcW w:w="192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040" w:type="dxa"/>
            <w:vAlign w:val="bottom"/>
            <w:tcBorders>
              <w:right w:val="single" w:sz="8" w:color="CCEEFF"/>
            </w:tcBorders>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320" w:type="dxa"/>
            <w:vAlign w:val="bottom"/>
            <w:gridSpan w:val="11"/>
          </w:tcPr>
          <w:p>
            <w:pPr>
              <w:spacing w:after="0" w:line="167"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92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w w:val="99"/>
              </w:rPr>
              <w:t>F-32</w:t>
            </w:r>
          </w:p>
        </w:tc>
      </w:tr>
      <w:tr>
        <w:trPr>
          <w:trHeight w:val="639"/>
        </w:trPr>
        <w:tc>
          <w:tcPr>
            <w:tcW w:w="19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color w:val="auto"/>
              </w:rPr>
              <w:t>F-1</w:t>
            </w: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1"/>
        </w:trPr>
        <w:tc>
          <w:tcPr>
            <w:tcW w:w="8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1,418,834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721,032</w:t>
            </w:r>
          </w:p>
        </w:tc>
        <w:tc>
          <w:tcPr>
            <w:tcW w:w="0" w:type="dxa"/>
            <w:vAlign w:val="bottom"/>
          </w:tcPr>
          <w:p>
            <w:pPr>
              <w:spacing w:after="0"/>
              <w:rPr>
                <w:sz w:val="1"/>
                <w:szCs w:val="1"/>
                <w:color w:val="auto"/>
              </w:rPr>
            </w:pPr>
          </w:p>
        </w:tc>
      </w:tr>
      <w:tr>
        <w:trPr>
          <w:trHeight w:val="205"/>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915,027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50,264</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Inventory</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468,102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65,248</w:t>
            </w:r>
          </w:p>
        </w:tc>
        <w:tc>
          <w:tcPr>
            <w:tcW w:w="0" w:type="dxa"/>
            <w:vAlign w:val="bottom"/>
          </w:tcPr>
          <w:p>
            <w:pPr>
              <w:spacing w:after="0"/>
              <w:rPr>
                <w:sz w:val="1"/>
                <w:szCs w:val="1"/>
                <w:color w:val="auto"/>
              </w:rPr>
            </w:pPr>
          </w:p>
        </w:tc>
      </w:tr>
      <w:tr>
        <w:trPr>
          <w:trHeight w:val="224"/>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744,194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167,551</w:t>
            </w:r>
          </w:p>
        </w:tc>
        <w:tc>
          <w:tcPr>
            <w:tcW w:w="0" w:type="dxa"/>
            <w:vAlign w:val="bottom"/>
          </w:tcPr>
          <w:p>
            <w:pPr>
              <w:spacing w:after="0"/>
              <w:rPr>
                <w:sz w:val="1"/>
                <w:szCs w:val="1"/>
                <w:color w:val="auto"/>
              </w:rPr>
            </w:pPr>
          </w:p>
        </w:tc>
      </w:tr>
      <w:tr>
        <w:trPr>
          <w:trHeight w:val="225"/>
        </w:trPr>
        <w:tc>
          <w:tcPr>
            <w:tcW w:w="8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2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Noncurrent assets: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11,286</w:t>
            </w:r>
          </w:p>
        </w:tc>
        <w:tc>
          <w:tcPr>
            <w:tcW w:w="0" w:type="dxa"/>
            <w:vAlign w:val="bottom"/>
          </w:tcPr>
          <w:p>
            <w:pPr>
              <w:spacing w:after="0"/>
              <w:rPr>
                <w:sz w:val="1"/>
                <w:szCs w:val="1"/>
                <w:color w:val="auto"/>
              </w:rPr>
            </w:pPr>
          </w:p>
        </w:tc>
      </w:tr>
      <w:tr>
        <w:trPr>
          <w:trHeight w:val="205"/>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 (ROU)</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735,871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307,892</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2,660,194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1,761,396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Long-term assets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25,713</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12,103</w:t>
            </w:r>
          </w:p>
        </w:tc>
        <w:tc>
          <w:tcPr>
            <w:tcW w:w="0" w:type="dxa"/>
            <w:vAlign w:val="bottom"/>
          </w:tcPr>
          <w:p>
            <w:pPr>
              <w:spacing w:after="0"/>
              <w:rPr>
                <w:sz w:val="1"/>
                <w:szCs w:val="1"/>
                <w:color w:val="auto"/>
              </w:rPr>
            </w:pPr>
          </w:p>
        </w:tc>
      </w:tr>
      <w:tr>
        <w:trPr>
          <w:trHeight w:val="225"/>
        </w:trPr>
        <w:tc>
          <w:tcPr>
            <w:tcW w:w="8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long-term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3,899,949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7,446,106</w:t>
            </w:r>
          </w:p>
        </w:tc>
        <w:tc>
          <w:tcPr>
            <w:tcW w:w="22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3,096,772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 (DEFICIT)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933,306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770,276</w:t>
            </w:r>
          </w:p>
        </w:tc>
        <w:tc>
          <w:tcPr>
            <w:tcW w:w="0" w:type="dxa"/>
            <w:vAlign w:val="bottom"/>
          </w:tcPr>
          <w:p>
            <w:pPr>
              <w:spacing w:after="0"/>
              <w:rPr>
                <w:sz w:val="1"/>
                <w:szCs w:val="1"/>
                <w:color w:val="auto"/>
              </w:rPr>
            </w:pPr>
          </w:p>
        </w:tc>
      </w:tr>
      <w:tr>
        <w:trPr>
          <w:trHeight w:val="205"/>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1,119,808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24,219</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compensation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75,228</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246,720</w:t>
            </w:r>
          </w:p>
        </w:tc>
        <w:tc>
          <w:tcPr>
            <w:tcW w:w="0" w:type="dxa"/>
            <w:vAlign w:val="bottom"/>
          </w:tcPr>
          <w:p>
            <w:pPr>
              <w:spacing w:after="0"/>
              <w:rPr>
                <w:sz w:val="1"/>
                <w:szCs w:val="1"/>
                <w:color w:val="auto"/>
              </w:rPr>
            </w:pPr>
          </w:p>
        </w:tc>
      </w:tr>
      <w:tr>
        <w:trPr>
          <w:trHeight w:val="205"/>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taxes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3,913,668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2,772,178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1,142,643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36,225</w:t>
            </w:r>
          </w:p>
        </w:tc>
        <w:tc>
          <w:tcPr>
            <w:tcW w:w="0" w:type="dxa"/>
            <w:vAlign w:val="bottom"/>
          </w:tcPr>
          <w:p>
            <w:pPr>
              <w:spacing w:after="0"/>
              <w:rPr>
                <w:sz w:val="1"/>
                <w:szCs w:val="1"/>
                <w:color w:val="auto"/>
              </w:rPr>
            </w:pPr>
          </w:p>
        </w:tc>
      </w:tr>
      <w:tr>
        <w:trPr>
          <w:trHeight w:val="225"/>
        </w:trPr>
        <w:tc>
          <w:tcPr>
            <w:tcW w:w="8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8,950,164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2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Long-term liabilities: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SAFE notes, net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23,334,626</w:t>
            </w:r>
          </w:p>
        </w:tc>
        <w:tc>
          <w:tcPr>
            <w:tcW w:w="0" w:type="dxa"/>
            <w:vAlign w:val="bottom"/>
          </w:tcPr>
          <w:p>
            <w:pPr>
              <w:spacing w:after="0"/>
              <w:rPr>
                <w:sz w:val="1"/>
                <w:szCs w:val="1"/>
                <w:color w:val="auto"/>
              </w:rPr>
            </w:pPr>
          </w:p>
        </w:tc>
      </w:tr>
      <w:tr>
        <w:trPr>
          <w:trHeight w:val="205"/>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614,126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265,413</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bottom w:val="single" w:sz="8" w:color="CCEEFF"/>
            </w:tcBorders>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long-term liabilities</w:t>
            </w:r>
          </w:p>
        </w:tc>
        <w:tc>
          <w:tcPr>
            <w:tcW w:w="3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614,126</w:t>
            </w:r>
          </w:p>
        </w:tc>
        <w:tc>
          <w:tcPr>
            <w:tcW w:w="2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25,170,611</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9,564,290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27,390,694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28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Shareholders’ equity (deficit)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300,000,000 shares authorized; 27,743,322 and 12,210,718 shares issued and</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outstanding as of September 30, 2025 and December 31, 2024, respectively</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1,221</w:t>
            </w:r>
          </w:p>
        </w:tc>
        <w:tc>
          <w:tcPr>
            <w:tcW w:w="0" w:type="dxa"/>
            <w:vAlign w:val="bottom"/>
          </w:tcPr>
          <w:p>
            <w:pPr>
              <w:spacing w:after="0"/>
              <w:rPr>
                <w:sz w:val="1"/>
                <w:szCs w:val="1"/>
                <w:color w:val="auto"/>
              </w:rPr>
            </w:pPr>
          </w:p>
        </w:tc>
      </w:tr>
      <w:tr>
        <w:trPr>
          <w:trHeight w:val="205"/>
        </w:trPr>
        <w:tc>
          <w:tcPr>
            <w:tcW w:w="8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56,972,621</w:t>
            </w: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438,120</w:t>
            </w: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(59,093,579)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(24,733,263)</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Total shareholders’ deficit</w:t>
            </w:r>
          </w:p>
        </w:tc>
        <w:tc>
          <w:tcPr>
            <w:tcW w:w="3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(2,118,184</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 (deficit)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7,446,106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3,096,772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40" w:type="dxa"/>
            <w:vAlign w:val="bottom"/>
          </w:tcPr>
          <w:p>
            <w:pPr>
              <w:spacing w:after="0"/>
              <w:rPr>
                <w:sz w:val="17"/>
                <w:szCs w:val="17"/>
                <w:color w:val="auto"/>
              </w:rPr>
            </w:pPr>
          </w:p>
        </w:tc>
        <w:tc>
          <w:tcPr>
            <w:tcW w:w="2400" w:type="dxa"/>
            <w:vAlign w:val="bottom"/>
            <w:gridSpan w:val="5"/>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3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6"/>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240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185"/>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95"/>
              <w:spacing w:after="0" w:line="185" w:lineRule="exact"/>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5"/>
              <w:spacing w:after="0" w:line="185"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6"/>
                <w:szCs w:val="16"/>
                <w:color w:val="auto"/>
              </w:rPr>
            </w:pPr>
          </w:p>
        </w:tc>
      </w:tr>
      <w:tr>
        <w:trPr>
          <w:trHeight w:val="23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40" w:type="dxa"/>
            <w:vAlign w:val="bottom"/>
          </w:tcPr>
          <w:p>
            <w:pPr>
              <w:spacing w:after="0"/>
              <w:rPr>
                <w:sz w:val="20"/>
                <w:szCs w:val="20"/>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205"/>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778,482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81,636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1,257,813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488,286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7,997</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572,558</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18,006</w:t>
            </w:r>
          </w:p>
        </w:tc>
      </w:tr>
      <w:tr>
        <w:trPr>
          <w:trHeight w:val="22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2,742,753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506,886</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4,184,688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1,064,461</w:t>
            </w:r>
          </w:p>
        </w:tc>
        <w:tc>
          <w:tcPr>
            <w:tcW w:w="100" w:type="dxa"/>
            <w:vAlign w:val="bottom"/>
            <w:shd w:val="clear" w:color="auto" w:fill="CCEEFF"/>
          </w:tcPr>
          <w:p>
            <w:pPr>
              <w:spacing w:after="0"/>
              <w:rPr>
                <w:sz w:val="17"/>
                <w:szCs w:val="17"/>
                <w:color w:val="auto"/>
              </w:rPr>
            </w:pPr>
          </w:p>
        </w:tc>
      </w:tr>
      <w:tr>
        <w:trPr>
          <w:trHeight w:val="205"/>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397,135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186,678</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972,640</w:t>
            </w:r>
          </w:p>
        </w:tc>
        <w:tc>
          <w:tcPr>
            <w:tcW w:w="1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459,991</w:t>
            </w: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1,111,895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638,584</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2,564,891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1,763,170</w:t>
            </w:r>
          </w:p>
        </w:tc>
        <w:tc>
          <w:tcPr>
            <w:tcW w:w="100" w:type="dxa"/>
            <w:vAlign w:val="bottom"/>
            <w:shd w:val="clear" w:color="auto" w:fill="CCEEFF"/>
          </w:tcPr>
          <w:p>
            <w:pPr>
              <w:spacing w:after="0"/>
              <w:rPr>
                <w:sz w:val="17"/>
                <w:szCs w:val="17"/>
                <w:color w:val="auto"/>
              </w:rPr>
            </w:pPr>
          </w:p>
        </w:tc>
      </w:tr>
      <w:tr>
        <w:trPr>
          <w:trHeight w:val="205"/>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 and integration</w:t>
            </w: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243,230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635,459</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1,501,261</w:t>
            </w:r>
          </w:p>
        </w:tc>
        <w:tc>
          <w:tcPr>
            <w:tcW w:w="100" w:type="dxa"/>
            <w:vAlign w:val="bottom"/>
          </w:tcPr>
          <w:p>
            <w:pPr>
              <w:spacing w:after="0"/>
              <w:rPr>
                <w:sz w:val="17"/>
                <w:szCs w:val="17"/>
                <w:color w:val="auto"/>
              </w:rPr>
            </w:pPr>
          </w:p>
        </w:tc>
      </w:tr>
      <w:tr>
        <w:trPr>
          <w:trHeight w:val="23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16,839</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5980" w:type="dxa"/>
            <w:vAlign w:val="bottom"/>
            <w:tcBorders>
              <w:top w:val="single" w:sz="8" w:color="CCEEFF"/>
              <w:bottom w:val="single" w:sz="8" w:color="CCEEFF"/>
            </w:tcBorders>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4,506,751</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1,967,607</w:t>
            </w:r>
          </w:p>
        </w:tc>
        <w:tc>
          <w:tcPr>
            <w:tcW w:w="24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8,893,915</w:t>
            </w: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4,788,883</w:t>
            </w:r>
          </w:p>
        </w:tc>
        <w:tc>
          <w:tcPr>
            <w:tcW w:w="100" w:type="dxa"/>
            <w:vAlign w:val="bottom"/>
            <w:tcBorders>
              <w:top w:val="single" w:sz="8" w:color="CCEEFF"/>
              <w:bottom w:val="single" w:sz="8" w:color="CCEEFF"/>
            </w:tcBorders>
          </w:tcPr>
          <w:p>
            <w:pPr>
              <w:spacing w:after="0"/>
              <w:rPr>
                <w:sz w:val="17"/>
                <w:szCs w:val="17"/>
                <w:color w:val="auto"/>
              </w:rPr>
            </w:pPr>
          </w:p>
        </w:tc>
      </w:tr>
      <w:tr>
        <w:trPr>
          <w:trHeight w:val="225"/>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(4,216,555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(1,893,968</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(8,208,660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(4,623,258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(328,763)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SAFE notes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(764,446)</w:t>
            </w: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(17,368,415)</w:t>
            </w:r>
          </w:p>
        </w:tc>
        <w:tc>
          <w:tcPr>
            <w:tcW w:w="1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(14,227,156)</w:t>
            </w: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Transaction costs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(2,726,183)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(5,728,295)</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9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(764,446</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(26,151,656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(14,227,156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98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color w:val="auto"/>
              </w:rPr>
              <w:t>Loss before income taxes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(4,216,555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(2,658,414</w:t>
            </w:r>
          </w:p>
        </w:tc>
        <w:tc>
          <w:tcPr>
            <w:tcW w:w="2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(34,360,316</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(18,850,414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5"/>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62"/>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(4,216,555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(2,658,414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(34,360,316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(18,850,414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5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27,645,033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12,210,718</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18,146,608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12,095,288</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 (DEFICIT)</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44"/>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360" w:type="dxa"/>
            <w:vAlign w:val="bottom"/>
            <w:gridSpan w:val="6"/>
          </w:tcPr>
          <w:p>
            <w:pPr>
              <w:ind w:left="300"/>
              <w:spacing w:after="0"/>
              <w:rPr>
                <w:sz w:val="20"/>
                <w:szCs w:val="20"/>
                <w:color w:val="auto"/>
              </w:rPr>
            </w:pPr>
            <w:r>
              <w:rPr>
                <w:rFonts w:ascii="Times New Roman" w:cs="Times New Roman" w:eastAsia="Times New Roman" w:hAnsi="Times New Roman"/>
                <w:sz w:val="17"/>
                <w:szCs w:val="17"/>
                <w:b w:val="1"/>
                <w:bCs w:val="1"/>
                <w:color w:val="auto"/>
              </w:rPr>
              <w:t>Legacy Common Stock</w:t>
            </w:r>
          </w:p>
        </w:tc>
        <w:tc>
          <w:tcPr>
            <w:tcW w:w="236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21"/>
                <w:szCs w:val="21"/>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21"/>
                <w:szCs w:val="21"/>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4"/>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1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1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5"/>
        </w:trPr>
        <w:tc>
          <w:tcPr>
            <w:tcW w:w="2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as of June 30, 2025</w:t>
            </w:r>
          </w:p>
        </w:tc>
        <w:tc>
          <w:tcPr>
            <w:tcW w:w="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27,636,939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56,613,511</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(54,877,024)</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1,739,251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purchase commitment</w:t>
            </w:r>
          </w:p>
        </w:tc>
        <w:tc>
          <w:tcPr>
            <w:tcW w:w="118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106,383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349,990</w:t>
            </w: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(4,216,555)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(4,216,555)</w:t>
            </w:r>
          </w:p>
        </w:tc>
        <w:tc>
          <w:tcPr>
            <w:tcW w:w="0" w:type="dxa"/>
            <w:vAlign w:val="bottom"/>
          </w:tcPr>
          <w:p>
            <w:pPr>
              <w:spacing w:after="0"/>
              <w:rPr>
                <w:sz w:val="1"/>
                <w:szCs w:val="1"/>
                <w:color w:val="auto"/>
              </w:rPr>
            </w:pPr>
          </w:p>
        </w:tc>
      </w:tr>
      <w:tr>
        <w:trPr>
          <w:trHeight w:val="26"/>
        </w:trPr>
        <w:tc>
          <w:tcPr>
            <w:tcW w:w="2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as of September 30, 2025</w:t>
            </w:r>
          </w:p>
        </w:tc>
        <w:tc>
          <w:tcPr>
            <w:tcW w:w="1040" w:type="dxa"/>
            <w:vAlign w:val="bottom"/>
            <w:tcBorders>
              <w:lef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2980" w:type="dxa"/>
            <w:vAlign w:val="bottom"/>
            <w:gridSpan w:val="3"/>
            <w:vMerge w:val="continue"/>
            <w:shd w:val="clear" w:color="auto" w:fill="CCEEFF"/>
          </w:tcPr>
          <w:p>
            <w:pPr>
              <w:spacing w:after="0"/>
              <w:rPr>
                <w:sz w:val="20"/>
                <w:szCs w:val="20"/>
                <w:color w:val="auto"/>
              </w:rPr>
            </w:pPr>
          </w:p>
        </w:tc>
        <w:tc>
          <w:tcPr>
            <w:tcW w:w="10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27,743,322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56,972,621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(59,093,579</w:t>
            </w:r>
          </w:p>
        </w:tc>
        <w:tc>
          <w:tcPr>
            <w:tcW w:w="1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(2,118,184</w:t>
            </w:r>
          </w:p>
        </w:tc>
        <w:tc>
          <w:tcPr>
            <w:tcW w:w="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6"/>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Legacy Common Stock</w:t>
            </w:r>
          </w:p>
        </w:tc>
        <w:tc>
          <w:tcPr>
            <w:tcW w:w="23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18"/>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360" w:type="dxa"/>
            <w:vAlign w:val="bottom"/>
            <w:gridSpan w:val="6"/>
            <w:vMerge w:val="continue"/>
          </w:tcPr>
          <w:p>
            <w:pPr>
              <w:spacing w:after="0"/>
              <w:rPr>
                <w:sz w:val="18"/>
                <w:szCs w:val="18"/>
                <w:color w:val="auto"/>
              </w:rPr>
            </w:pPr>
          </w:p>
        </w:tc>
        <w:tc>
          <w:tcPr>
            <w:tcW w:w="23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1"/>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18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1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5"/>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as of June 30, 2024 (as restated)</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108,975,000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305,828</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(19,387,833)</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(18,973,030)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Retroactive application of</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recapitalization</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(108,975,000)</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tcBorders>
              <w:top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Balances as of June 30, 2024, adjusted</w:t>
            </w:r>
          </w:p>
        </w:tc>
        <w:tc>
          <w:tcPr>
            <w:tcW w:w="104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 restated)</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413,582</w:t>
            </w: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(19,387,833)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(18,973,030)</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tcBorders>
            <w:gridSpan w:val="3"/>
          </w:tcPr>
          <w:p>
            <w:pPr>
              <w:ind w:left="160"/>
              <w:spacing w:after="0" w:line="191" w:lineRule="exact"/>
              <w:rPr>
                <w:sz w:val="20"/>
                <w:szCs w:val="20"/>
                <w:color w:val="auto"/>
              </w:rPr>
            </w:pPr>
            <w:r>
              <w:rPr>
                <w:rFonts w:ascii="Times New Roman" w:cs="Times New Roman" w:eastAsia="Times New Roman" w:hAnsi="Times New Roman"/>
                <w:sz w:val="17"/>
                <w:szCs w:val="17"/>
                <w:color w:val="auto"/>
              </w:rPr>
              <w:t>Share-based compensation</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14,533</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14,533</w:t>
            </w: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(2,658,414)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(2,658,414)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Balances as of September 30, 2024</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2"/>
        </w:trPr>
        <w:tc>
          <w:tcPr>
            <w:tcW w:w="2980" w:type="dxa"/>
            <w:vAlign w:val="bottom"/>
            <w:gridSpan w:val="3"/>
            <w:vMerge w:val="continue"/>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(22,046,247</w:t>
            </w:r>
          </w:p>
        </w:tc>
        <w:tc>
          <w:tcPr>
            <w:tcW w:w="140" w:type="dxa"/>
            <w:vAlign w:val="bottom"/>
            <w:gridSpan w:val="2"/>
            <w:vMerge w:val="continue"/>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(21,616,911</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44"/>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360" w:type="dxa"/>
            <w:vAlign w:val="bottom"/>
            <w:gridSpan w:val="6"/>
          </w:tcPr>
          <w:p>
            <w:pPr>
              <w:ind w:left="280"/>
              <w:spacing w:after="0"/>
              <w:rPr>
                <w:sz w:val="20"/>
                <w:szCs w:val="20"/>
                <w:color w:val="auto"/>
              </w:rPr>
            </w:pPr>
            <w:r>
              <w:rPr>
                <w:rFonts w:ascii="Times New Roman" w:cs="Times New Roman" w:eastAsia="Times New Roman" w:hAnsi="Times New Roman"/>
                <w:sz w:val="17"/>
                <w:szCs w:val="17"/>
                <w:b w:val="1"/>
                <w:bCs w:val="1"/>
                <w:color w:val="auto"/>
              </w:rPr>
              <w:t>Legacy Common Stock</w:t>
            </w:r>
          </w:p>
        </w:tc>
        <w:tc>
          <w:tcPr>
            <w:tcW w:w="236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21"/>
                <w:szCs w:val="21"/>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21"/>
                <w:szCs w:val="21"/>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4"/>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18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1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5"/>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as of December 31, 2024</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108,975,000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330,366</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(24,733,263)</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(24,293,922)</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Retroactive application of</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recapitalization</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(108,975,000)</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tcBorders>
              <w:top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Balances as of December 31, 2024,</w:t>
            </w:r>
          </w:p>
        </w:tc>
        <w:tc>
          <w:tcPr>
            <w:tcW w:w="104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adjusted</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438,120</w:t>
            </w: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(24,733,263)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(24,293,922)</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tcBorders>
            <w:gridSpan w:val="3"/>
          </w:tcPr>
          <w:p>
            <w:pPr>
              <w:ind w:left="160"/>
              <w:spacing w:after="0" w:line="191" w:lineRule="exact"/>
              <w:rPr>
                <w:sz w:val="20"/>
                <w:szCs w:val="20"/>
                <w:color w:val="auto"/>
              </w:rPr>
            </w:pPr>
            <w:r>
              <w:rPr>
                <w:rFonts w:ascii="Times New Roman" w:cs="Times New Roman" w:eastAsia="Times New Roman" w:hAnsi="Times New Roman"/>
                <w:sz w:val="17"/>
                <w:szCs w:val="17"/>
                <w:color w:val="auto"/>
              </w:rPr>
              <w:t>Share-based compensation</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28,862</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28,862</w:t>
            </w: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Reverse recapitalization transactions,</w:t>
            </w:r>
          </w:p>
        </w:tc>
        <w:tc>
          <w:tcPr>
            <w:tcW w:w="104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15,426,221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56,155,649</w:t>
            </w:r>
          </w:p>
        </w:tc>
        <w:tc>
          <w:tcPr>
            <w:tcW w:w="10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56,157,192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Share purchase commitment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106,383</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(34,360,316)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(34,360,316)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Balances as of September 30, 2025</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2"/>
        </w:trPr>
        <w:tc>
          <w:tcPr>
            <w:tcW w:w="2980" w:type="dxa"/>
            <w:vAlign w:val="bottom"/>
            <w:gridSpan w:val="3"/>
            <w:vMerge w:val="continue"/>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27,743,322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56,972,621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(59,093,579</w:t>
            </w:r>
          </w:p>
        </w:tc>
        <w:tc>
          <w:tcPr>
            <w:tcW w:w="140" w:type="dxa"/>
            <w:vAlign w:val="bottom"/>
            <w:gridSpan w:val="2"/>
            <w:vMerge w:val="continue"/>
          </w:tcPr>
          <w:p>
            <w:pPr>
              <w:spacing w:after="0"/>
              <w:rPr>
                <w:sz w:val="19"/>
                <w:szCs w:val="19"/>
                <w:color w:val="auto"/>
              </w:rPr>
            </w:pP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(2,118,184</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6"/>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Legacy Common Stock</w:t>
            </w:r>
          </w:p>
        </w:tc>
        <w:tc>
          <w:tcPr>
            <w:tcW w:w="23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c>
          <w:tcPr>
            <w:tcW w:w="0" w:type="dxa"/>
            <w:vAlign w:val="bottom"/>
          </w:tcPr>
          <w:p>
            <w:pPr>
              <w:spacing w:after="0"/>
              <w:rPr>
                <w:sz w:val="1"/>
                <w:szCs w:val="1"/>
                <w:color w:val="auto"/>
              </w:rPr>
            </w:pPr>
          </w:p>
        </w:tc>
      </w:tr>
      <w:tr>
        <w:trPr>
          <w:trHeight w:val="218"/>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360" w:type="dxa"/>
            <w:vAlign w:val="bottom"/>
            <w:gridSpan w:val="6"/>
            <w:vMerge w:val="continue"/>
          </w:tcPr>
          <w:p>
            <w:pPr>
              <w:spacing w:after="0"/>
              <w:rPr>
                <w:sz w:val="18"/>
                <w:szCs w:val="18"/>
                <w:color w:val="auto"/>
              </w:rPr>
            </w:pPr>
          </w:p>
        </w:tc>
        <w:tc>
          <w:tcPr>
            <w:tcW w:w="23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1"/>
        </w:trPr>
        <w:tc>
          <w:tcPr>
            <w:tcW w:w="2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18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1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5"/>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as of December 31, 2023</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108,975,000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(3,195,833)</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(2,953,498)</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Retroactive application of</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recapitalization</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(108,975,000)</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12,208,851</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tcBorders>
              <w:top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Balances as of December 31, 2023,</w:t>
            </w:r>
          </w:p>
        </w:tc>
        <w:tc>
          <w:tcPr>
            <w:tcW w:w="104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adjusted</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12,208,851</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241,114</w:t>
            </w:r>
          </w:p>
        </w:tc>
        <w:tc>
          <w:tcPr>
            <w:tcW w:w="10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(3,195,833)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(2,953,498)</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tcBorders>
            <w:gridSpan w:val="3"/>
          </w:tcPr>
          <w:p>
            <w:pPr>
              <w:ind w:left="160"/>
              <w:spacing w:after="0" w:line="191" w:lineRule="exact"/>
              <w:rPr>
                <w:sz w:val="20"/>
                <w:szCs w:val="20"/>
                <w:color w:val="auto"/>
              </w:rPr>
            </w:pPr>
            <w:r>
              <w:rPr>
                <w:rFonts w:ascii="Times New Roman" w:cs="Times New Roman" w:eastAsia="Times New Roman" w:hAnsi="Times New Roman"/>
                <w:sz w:val="17"/>
                <w:szCs w:val="17"/>
                <w:color w:val="auto"/>
              </w:rPr>
              <w:t>Share-based compensation</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1,868</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187,001</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187,001</w:t>
            </w: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(18,850,414)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(18,850,414)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Balances as of September 30, 2024</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2"/>
        </w:trPr>
        <w:tc>
          <w:tcPr>
            <w:tcW w:w="2980" w:type="dxa"/>
            <w:vAlign w:val="bottom"/>
            <w:gridSpan w:val="3"/>
            <w:vMerge w:val="continue"/>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(22,046,247</w:t>
            </w:r>
          </w:p>
        </w:tc>
        <w:tc>
          <w:tcPr>
            <w:tcW w:w="140" w:type="dxa"/>
            <w:vAlign w:val="bottom"/>
            <w:gridSpan w:val="2"/>
            <w:vMerge w:val="continue"/>
          </w:tcPr>
          <w:p>
            <w:pPr>
              <w:spacing w:after="0"/>
              <w:rPr>
                <w:sz w:val="19"/>
                <w:szCs w:val="19"/>
                <w:color w:val="auto"/>
              </w:rPr>
            </w:pP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(21,616,911</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31"/>
        </w:trPr>
        <w:tc>
          <w:tcPr>
            <w:tcW w:w="6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24"/>
        </w:trPr>
        <w:tc>
          <w:tcPr>
            <w:tcW w:w="6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(34,360,316)</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(18,850,414)</w:t>
            </w: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16,839</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SAFE notes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17,368,415</w:t>
            </w: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14,227,156</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Transaction costs paid in shares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156,869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28,862</w:t>
            </w: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187,001</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64,857</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11,890</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5,728,295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Reverse recapitalization transaction</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(4,739,169)</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Fair value of shares issued as commitment fee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(864,763)</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(92,252)</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and other assets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(572,655)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107,218</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Inventory</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(402,854)</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(134,448)</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163,030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693,309</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1,095,589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6,572</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compensation</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(171,492)</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(7,872)</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interest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taxes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3,913,668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(61,968)</w:t>
            </w: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2,611</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debt, net</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58,963</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750,000</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(8,197,830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(3,099,229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INVESTING ACTIVITIES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(483,724)</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(898,798)</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(579,327)</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(1,382,522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(579,327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FINANCING ACTIVITIES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bridge loans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SAFE notes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23,752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Repayment of bridge loans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(1,660,545)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PIPE investments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10,837,643</w:t>
            </w:r>
          </w:p>
        </w:tc>
        <w:tc>
          <w:tcPr>
            <w:tcW w:w="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common stock</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(5,000,000)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Trust account</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5,577,304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10,278,154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Net increase in cash during period</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697,802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155,944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beginning of period</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721,032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605,760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Cash, end of period</w:t>
            </w: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820" w:type="dxa"/>
            <w:vAlign w:val="bottom"/>
            <w:vMerge w:val="continue"/>
          </w:tcPr>
          <w:p>
            <w:pPr>
              <w:spacing w:after="0"/>
              <w:rPr>
                <w:sz w:val="22"/>
                <w:szCs w:val="22"/>
                <w:color w:val="auto"/>
              </w:rPr>
            </w:pPr>
          </w:p>
        </w:tc>
        <w:tc>
          <w:tcPr>
            <w:tcW w:w="18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1,418,834</w:t>
            </w:r>
          </w:p>
        </w:tc>
        <w:tc>
          <w:tcPr>
            <w:tcW w:w="22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761,704</w:t>
            </w:r>
          </w:p>
        </w:tc>
        <w:tc>
          <w:tcPr>
            <w:tcW w:w="0" w:type="dxa"/>
            <w:vAlign w:val="bottom"/>
          </w:tcPr>
          <w:p>
            <w:pPr>
              <w:spacing w:after="0"/>
              <w:rPr>
                <w:sz w:val="1"/>
                <w:szCs w:val="1"/>
                <w:color w:val="auto"/>
              </w:rPr>
            </w:pPr>
          </w:p>
        </w:tc>
      </w:tr>
      <w:tr>
        <w:trPr>
          <w:trHeight w:val="204"/>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ACTIVITIES</w:t>
            </w: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ROU asset obtained in exchange for lease liability</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482,227</w:t>
            </w:r>
          </w:p>
        </w:tc>
        <w:tc>
          <w:tcPr>
            <w:tcW w:w="2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324,426</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SAFE notes to equity</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40,726,793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color w:val="auto"/>
              </w:rPr>
              <w:t>Conversion of short-term debt to equity</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2,456,500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39,462</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 – Company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 and nature of Operations</w:t>
      </w:r>
    </w:p>
    <w:p>
      <w:pPr>
        <w:spacing w:after="0" w:line="22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72"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72"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6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spacing w:after="0" w:line="172"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76"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5" w:name="page126"/>
    <w:bookmarkEnd w:id="125"/>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SUAC Class A Common Stock received one warrant to purchase the Company’s Common Stock at an exercise price of $11.50 per share.</w:t>
      </w:r>
    </w:p>
    <w:p>
      <w:pPr>
        <w:spacing w:after="0" w:line="17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Going Concern</w:t>
      </w:r>
    </w:p>
    <w:p>
      <w:pPr>
        <w:spacing w:after="0" w:line="217"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 xml:space="preserve">The Company follows Financial Accounting Standards Board (“FASB”) Accounting Standards Codification (“ASC”) Topic 205-40, </w:t>
      </w:r>
      <w:r>
        <w:rPr>
          <w:rFonts w:ascii="Times New Roman" w:cs="Times New Roman" w:eastAsia="Times New Roman" w:hAnsi="Times New Roman"/>
          <w:sz w:val="17"/>
          <w:szCs w:val="17"/>
          <w:i w:val="1"/>
          <w:iCs w:val="1"/>
          <w:color w:val="auto"/>
        </w:rPr>
        <w:t>Presentation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Statements — Going Concern</w:t>
      </w:r>
      <w:r>
        <w:rPr>
          <w:rFonts w:ascii="Times New Roman" w:cs="Times New Roman" w:eastAsia="Times New Roman" w:hAnsi="Times New Roman"/>
          <w:sz w:val="17"/>
          <w:szCs w:val="17"/>
          <w:color w:val="auto"/>
        </w:rPr>
        <w:t>, which requires that management evaluate whether there are relevant conditions and events that in aggregate raise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74"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September 30, 2025, the Company had $1,418,834 in cash, a working capital deficit of $5,404,007 and accumulated deficit of $59,093,579.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has obtained additional near-term financing to continue its research and development activities.</w:t>
      </w:r>
    </w:p>
    <w:p>
      <w:pPr>
        <w:spacing w:after="0" w:line="178"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153"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2 - Summary of Significant Accounting Policies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21"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1"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for the Business Combination</w:t>
      </w:r>
    </w:p>
    <w:p>
      <w:pPr>
        <w:spacing w:after="0" w:line="221"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72"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w:t>
      </w:r>
    </w:p>
    <w:p>
      <w:pPr>
        <w:spacing w:after="0" w:line="221"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17"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FASB issued Accounting Standards Update (“ASU”) No. 2023-07, </w:t>
      </w:r>
      <w:r>
        <w:rPr>
          <w:rFonts w:ascii="Times New Roman" w:cs="Times New Roman" w:eastAsia="Times New Roman" w:hAnsi="Times New Roman"/>
          <w:sz w:val="17"/>
          <w:szCs w:val="17"/>
          <w:i w:val="1"/>
          <w:iCs w:val="1"/>
          <w:color w:val="auto"/>
        </w:rPr>
        <w:t>Segment Reporting (Topic 280): Improvements to Reportable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Segment Disclosures</w:t>
      </w:r>
      <w:r>
        <w:rPr>
          <w:rFonts w:ascii="Times New Roman" w:cs="Times New Roman" w:eastAsia="Times New Roman" w:hAnsi="Times New Roman"/>
          <w:sz w:val="17"/>
          <w:szCs w:val="17"/>
          <w:color w:val="auto"/>
        </w:rPr>
        <w:t>, requiring public entities to disclose information about their reportable segments’ significant expenses and other segment items on an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in these notes to the condensed consolidated financial statements for further detail.</w:t>
      </w:r>
    </w:p>
    <w:p>
      <w:pPr>
        <w:spacing w:after="0" w:line="168"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2025 annual reporting period. The Company has evaluated the impact of this standard and, because it continues to operate in a loss position and does not pay income taxes, the adoption of this guidance is not expected to have a material impact on its condensed consolidated financial statements or related disclosures.</w:t>
      </w:r>
    </w:p>
    <w:p>
      <w:pPr>
        <w:spacing w:after="0" w:line="168"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condensed consolidated financial statements or related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22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72"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1"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share-based compensation, obsolete inventory, the put option under the standby equity purchase agreement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maintains its cash deposits with major financial institutions, that at times, are greater than the FDIC limit.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221"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75"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color w:val="auto"/>
        </w:rPr>
        <w:t>Level 1 -</w:t>
        <w:tab/>
        <w:t>Quoted prices in active markets for identical assets or liabilities that the entity can access.</w:t>
      </w:r>
    </w:p>
    <w:p>
      <w:pPr>
        <w:spacing w:after="0" w:line="215" w:lineRule="exact"/>
        <w:rPr>
          <w:sz w:val="20"/>
          <w:szCs w:val="20"/>
          <w:color w:val="auto"/>
        </w:rPr>
      </w:pPr>
    </w:p>
    <w:p>
      <w:pPr>
        <w:jc w:val="both"/>
        <w:ind w:left="1540" w:hanging="922"/>
        <w:spacing w:after="0" w:line="268" w:lineRule="auto"/>
        <w:tabs>
          <w:tab w:leader="none" w:pos="1520" w:val="left"/>
        </w:tabs>
        <w:rPr>
          <w:sz w:val="20"/>
          <w:szCs w:val="20"/>
          <w:color w:val="auto"/>
        </w:rPr>
      </w:pPr>
      <w:r>
        <w:rPr>
          <w:rFonts w:ascii="Times New Roman" w:cs="Times New Roman" w:eastAsia="Times New Roman" w:hAnsi="Times New Roman"/>
          <w:sz w:val="17"/>
          <w:szCs w:val="17"/>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66"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color w:val="auto"/>
        </w:rPr>
        <w:t>Level 3 -</w:t>
        <w:tab/>
        <w:t>Unobservable inputs that are supported by little or no market activity and that are significant to the fair value of the assets and liabilities.</w:t>
      </w:r>
    </w:p>
    <w:p>
      <w:pPr>
        <w:spacing w:after="0" w:line="21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22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21"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Accounts receivable are derived from customers located primarily in North America. The Company generally does not require collateral to support customer receivables.</w:t>
      </w:r>
    </w:p>
    <w:p>
      <w:pPr>
        <w:spacing w:after="0" w:line="153"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September 30, 2025 and December 31, 2024, there was no accounts receivable allowance for credit losses. There was no credit losses for the three and nine months ended September 30, 2025 and 2024.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22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September 30, 2025 and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21"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Software Development Costs</w:t>
      </w:r>
    </w:p>
    <w:p>
      <w:pPr>
        <w:spacing w:after="0" w:line="217"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color w:val="auto"/>
        </w:rPr>
        <w:t xml:space="preserve">In accordance with FASB ASC Topic 350-40, </w:t>
      </w:r>
      <w:r>
        <w:rPr>
          <w:rFonts w:ascii="Times New Roman" w:cs="Times New Roman" w:eastAsia="Times New Roman" w:hAnsi="Times New Roman"/>
          <w:sz w:val="17"/>
          <w:szCs w:val="17"/>
          <w:i w:val="1"/>
          <w:iCs w:val="1"/>
          <w:color w:val="auto"/>
        </w:rPr>
        <w:t>Intangibles-Goodwill and Other-Internal-Use Software</w:t>
      </w:r>
      <w:r>
        <w:rPr>
          <w:rFonts w:ascii="Times New Roman" w:cs="Times New Roman" w:eastAsia="Times New Roman" w:hAnsi="Times New Roman"/>
          <w:sz w:val="17"/>
          <w:szCs w:val="17"/>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72"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September 30, 2025 and 2024, and for the three and nine months then ended, no projects have been substantially completed and ready for their intended use, and no amortization was recorded in the accompanying condensed consolidated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1"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September 30, 2025 and December 31, 2024, and for the three and nine months ended September 30, 2025 and 2024, no such indicators of impairment were identified, and accordingly, no impairment losses were recognized.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17" w:lineRule="exact"/>
        <w:rPr>
          <w:sz w:val="20"/>
          <w:szCs w:val="20"/>
          <w:color w:val="auto"/>
        </w:rPr>
      </w:pPr>
    </w:p>
    <w:p>
      <w:pPr>
        <w:jc w:val="both"/>
        <w:ind w:firstLine="615"/>
        <w:spacing w:after="0" w:line="270" w:lineRule="auto"/>
        <w:rPr>
          <w:sz w:val="20"/>
          <w:szCs w:val="20"/>
          <w:color w:val="auto"/>
        </w:rPr>
      </w:pPr>
      <w:r>
        <w:rPr>
          <w:rFonts w:ascii="Times New Roman" w:cs="Times New Roman" w:eastAsia="Times New Roman" w:hAnsi="Times New Roman"/>
          <w:sz w:val="17"/>
          <w:szCs w:val="17"/>
          <w:color w:val="auto"/>
        </w:rPr>
        <w:t xml:space="preserve">As permitted by ASC 842, the Company accounts for leases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spacing w:after="0" w:line="16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66"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72"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Variable payments are included in the future lease payments when those variable payments depend on an index or a rate.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7" w:lineRule="exact"/>
        <w:rPr>
          <w:sz w:val="20"/>
          <w:szCs w:val="20"/>
          <w:color w:val="auto"/>
        </w:rPr>
      </w:pPr>
    </w:p>
    <w:p>
      <w:pPr>
        <w:jc w:val="both"/>
        <w:ind w:firstLine="615"/>
        <w:spacing w:after="0" w:line="270"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6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Deferred revenue consists of payments received in advance of satisfaction of a performance obligation and is recognized as the performance obligations are satisfied.</w:t>
      </w:r>
    </w:p>
    <w:p>
      <w:pPr>
        <w:spacing w:after="0" w:line="153"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172"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As a result of the third quarter 2025 review, the Company reversed approximately $196,000 in revenue. If the reseller fails to meet sales targets and the agreement is terminated, any remaining deferred revenue will be recognized at that time.</w:t>
      </w:r>
    </w:p>
    <w:p>
      <w:pPr>
        <w:spacing w:after="0" w:line="172"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17" w:lineRule="exact"/>
        <w:rPr>
          <w:sz w:val="20"/>
          <w:szCs w:val="20"/>
          <w:color w:val="auto"/>
        </w:rPr>
      </w:pPr>
    </w:p>
    <w:p>
      <w:pPr>
        <w:jc w:val="both"/>
        <w:ind w:firstLine="615"/>
        <w:spacing w:after="0" w:line="289" w:lineRule="auto"/>
        <w:rPr>
          <w:sz w:val="20"/>
          <w:szCs w:val="20"/>
          <w:color w:val="auto"/>
        </w:rPr>
      </w:pPr>
      <w:r>
        <w:rPr>
          <w:rFonts w:ascii="Times New Roman" w:cs="Times New Roman" w:eastAsia="Times New Roman" w:hAnsi="Times New Roman"/>
          <w:sz w:val="17"/>
          <w:szCs w:val="17"/>
          <w:color w:val="auto"/>
        </w:rPr>
        <w:t xml:space="preserve">The Company applies ASC 718,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Grant Price </w:t>
      </w:r>
      <w:r>
        <w:rPr>
          <w:rFonts w:ascii="Times New Roman" w:cs="Times New Roman" w:eastAsia="Times New Roman" w:hAnsi="Times New Roman"/>
          <w:sz w:val="17"/>
          <w:szCs w:val="17"/>
          <w:color w:val="auto"/>
        </w:rPr>
        <w:t>- The grant price of the issuances is determined based on the estimated fair value of the shares at the date of grant.</w:t>
      </w:r>
    </w:p>
    <w:p>
      <w:pPr>
        <w:spacing w:after="0" w:line="215" w:lineRule="exact"/>
        <w:rPr>
          <w:sz w:val="20"/>
          <w:szCs w:val="20"/>
          <w:color w:val="auto"/>
        </w:rPr>
      </w:pPr>
    </w:p>
    <w:p>
      <w:pPr>
        <w:jc w:val="both"/>
        <w:ind w:firstLine="615"/>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for periods within the contractual life of the option is based on the U.S. Treasury yield in effect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of grant.</w:t>
      </w:r>
    </w:p>
    <w:p>
      <w:pPr>
        <w:spacing w:after="0" w:line="145" w:lineRule="exact"/>
        <w:rPr>
          <w:sz w:val="20"/>
          <w:szCs w:val="20"/>
          <w:color w:val="auto"/>
        </w:rPr>
      </w:pPr>
    </w:p>
    <w:p>
      <w:pPr>
        <w:jc w:val="both"/>
        <w:ind w:firstLine="615"/>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Expected Lives </w:t>
      </w:r>
      <w:r>
        <w:rPr>
          <w:rFonts w:ascii="Times New Roman" w:cs="Times New Roman" w:eastAsia="Times New Roman" w:hAnsi="Times New Roman"/>
          <w:sz w:val="17"/>
          <w:szCs w:val="17"/>
          <w:color w:val="auto"/>
        </w:rPr>
        <w:t>- Due to the Company’s insufficient history of option activity, management utilizes the simplified approach to estimate the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term, which represents the period of time that options granted are expected to be outstanding.</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Determined based on management’s estimate or historical volatilities of comparable companies.</w:t>
      </w:r>
    </w:p>
    <w:p>
      <w:pPr>
        <w:spacing w:after="0" w:line="215" w:lineRule="exact"/>
        <w:rPr>
          <w:sz w:val="20"/>
          <w:szCs w:val="20"/>
          <w:color w:val="auto"/>
        </w:rPr>
      </w:pPr>
    </w:p>
    <w:p>
      <w:pPr>
        <w:jc w:val="both"/>
        <w:ind w:firstLine="615"/>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Based on current yield at the grant date or the average dividend yield over the historical period. The Company has never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declared or paid dividends and has no plans to do so in the foreseeable future.</w:t>
      </w:r>
    </w:p>
    <w:p>
      <w:pPr>
        <w:spacing w:after="0" w:line="149"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221"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7"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color w:val="auto"/>
        </w:rPr>
        <w:t xml:space="preserve">The Company accounts for income taxes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spacing w:after="0" w:line="172"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Net Loss Per Common Share</w:t>
      </w:r>
    </w:p>
    <w:p>
      <w:pPr>
        <w:spacing w:after="0" w:line="22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72"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6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Prior to the Closing, the Company inherited 15,675,000 public and private warrants from ShoulderUp, each exercisable at $11.50 per share. These warrants were considered antidilutive and excluded from the diluted net loss per share calculation for the three and nine months ended September 30, 2025. During the three and nine months ended September 30, 2025 and 2024, 20,017 of these warrants were forfeited, resulting in a net total of 15,654,983 warrants outstanding as of September 30,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and Integration Costs</w:t>
      </w:r>
    </w:p>
    <w:p>
      <w:pPr>
        <w:spacing w:after="0" w:line="221"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Company incurred acquisition and integration costs of $243,230 and $1,154,857 for the three and nine months ended September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Costs</w:t>
      </w:r>
    </w:p>
    <w:p>
      <w:pPr>
        <w:spacing w:after="0" w:line="217"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 xml:space="preserve">The Company accounts for transaction costs incurred in connection with de-SPAC transactions in accordance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Restatements and Reclassifications</w:t>
      </w:r>
    </w:p>
    <w:p>
      <w:pPr>
        <w:spacing w:after="0" w:line="221"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Certain prior period amounts have been reclassified to conform to the current period presentation. In connection with these reclassifications, amounts previously reported as general and administrative expenses have been reallocated to acquisition and integration expenses. Amounts previously reported as advances to suppliers have been reclassified to prepaid expenses and other current assets. In addition, certain amounts previously reported as other assets have been reclassified to property and equipment, net. Furthermore, certain amounts previously reported as cost of goods sold have been restated to general and administrative expenses, research and development expenses and sales and marketing expenses based on the nature of the underlying costs. These restatements and reclassifications had no impact on total loss from operations, net loss, or shareholders’ equity (deficit) for any period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3 – Business Combination and Reverse Recapitalization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21"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On March 18, 2024, the Company entered into a Business Combination Agreement with ShoulderUp, ShoulderUp Merger Sub, Inc., and SEI Merger Sub, Inc. and the Legacy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31" w:name="page132"/>
    <w:bookmarkEnd w:id="131"/>
    <w:p>
      <w:pPr>
        <w:ind w:firstLine="615"/>
        <w:spacing w:after="0" w:line="284" w:lineRule="auto"/>
        <w:rPr>
          <w:sz w:val="20"/>
          <w:szCs w:val="20"/>
          <w:color w:val="auto"/>
        </w:rPr>
      </w:pPr>
      <w:r>
        <w:rPr>
          <w:rFonts w:ascii="Times New Roman" w:cs="Times New Roman" w:eastAsia="Times New Roman" w:hAnsi="Times New Roman"/>
          <w:sz w:val="17"/>
          <w:szCs w:val="17"/>
          <w:color w:val="auto"/>
        </w:rPr>
        <w:t>On June 18, 2025, the Company consummated its Business Combination pursuant to the terms of the Business Combination Agreement. The Business Combination was structured as follows:</w:t>
      </w:r>
    </w:p>
    <w:p>
      <w:pPr>
        <w:spacing w:after="0" w:line="153" w:lineRule="exact"/>
        <w:rPr>
          <w:sz w:val="20"/>
          <w:szCs w:val="20"/>
          <w:color w:val="auto"/>
        </w:rPr>
      </w:pPr>
    </w:p>
    <w:p>
      <w:pPr>
        <w:jc w:val="both"/>
        <w:ind w:left="920" w:hanging="302"/>
        <w:spacing w:after="0" w:line="268"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65" w:lineRule="exact"/>
        <w:rPr>
          <w:rFonts w:ascii="Times New Roman" w:cs="Times New Roman" w:eastAsia="Times New Roman" w:hAnsi="Times New Roman"/>
          <w:sz w:val="17"/>
          <w:szCs w:val="17"/>
          <w:color w:val="auto"/>
        </w:rPr>
      </w:pPr>
    </w:p>
    <w:p>
      <w:pPr>
        <w:ind w:left="920" w:hanging="302"/>
        <w:spacing w:after="0" w:line="284"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52"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1,345,001 shares of Common Stock were issued to certain original public shareholders who had previously agreed not to redeem their shares.</w:t>
      </w:r>
    </w:p>
    <w:p>
      <w:pPr>
        <w:spacing w:after="0" w:line="214" w:lineRule="exact"/>
        <w:rPr>
          <w:rFonts w:ascii="Times New Roman" w:cs="Times New Roman" w:eastAsia="Times New Roman" w:hAnsi="Times New Roman"/>
          <w:sz w:val="17"/>
          <w:szCs w:val="17"/>
          <w:color w:val="auto"/>
        </w:rPr>
      </w:pPr>
    </w:p>
    <w:p>
      <w:pPr>
        <w:jc w:val="both"/>
        <w:ind w:left="920" w:hanging="302"/>
        <w:spacing w:after="0" w:line="268"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65" w:lineRule="exact"/>
        <w:rPr>
          <w:rFonts w:ascii="Times New Roman" w:cs="Times New Roman" w:eastAsia="Times New Roman" w:hAnsi="Times New Roman"/>
          <w:sz w:val="17"/>
          <w:szCs w:val="17"/>
          <w:color w:val="auto"/>
        </w:rPr>
      </w:pPr>
    </w:p>
    <w:p>
      <w:pPr>
        <w:ind w:left="920" w:hanging="302"/>
        <w:spacing w:after="0" w:line="284"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52"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2,909,057 shares of Common Stock were issued to the SEE ID SAFE note holders.</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11,205 shares of Common Stock were issued in exchange for financial advisory services at Closing.</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3,323,536 shares of Common Stock were issued to three major PIPE investors.</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assumed 15,654,983 public and private warrants of ShoulderUp, net of 20,017 forfeitures, as of September 30,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w:t>
      </w:r>
    </w:p>
    <w:p>
      <w:pPr>
        <w:spacing w:after="0" w:line="221"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Ownership Upon Closing</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number of shares of Common Stock issued in connection with the Business Combination and subsequent equity conversion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8"/>
              </w:rPr>
              <w:t>Common Stock</w:t>
            </w:r>
          </w:p>
        </w:tc>
        <w:tc>
          <w:tcPr>
            <w:tcW w:w="0" w:type="dxa"/>
            <w:vAlign w:val="bottom"/>
          </w:tcPr>
          <w:p>
            <w:pPr>
              <w:spacing w:after="0"/>
              <w:rPr>
                <w:sz w:val="1"/>
                <w:szCs w:val="1"/>
                <w:color w:val="auto"/>
              </w:rPr>
            </w:pPr>
          </w:p>
        </w:tc>
      </w:tr>
      <w:tr>
        <w:trPr>
          <w:trHeight w:val="205"/>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508,589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Redemption of ordinary shares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 held by ShoulderUp’s officers and directors, the Sponsor and each transferee of founder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6,698,333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held by non-redemption share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 held by ShoulderUp bridge loan holder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482,500</w:t>
            </w:r>
          </w:p>
        </w:tc>
        <w:tc>
          <w:tcPr>
            <w:tcW w:w="0" w:type="dxa"/>
            <w:vAlign w:val="bottom"/>
          </w:tcPr>
          <w:p>
            <w:pPr>
              <w:spacing w:after="0"/>
              <w:rPr>
                <w:sz w:val="1"/>
                <w:szCs w:val="1"/>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held by DLA Piper, LLP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issued to holders of SEE ID Inc.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12,210,718</w:t>
            </w:r>
          </w:p>
        </w:tc>
        <w:tc>
          <w:tcPr>
            <w:tcW w:w="0" w:type="dxa"/>
            <w:vAlign w:val="bottom"/>
          </w:tcPr>
          <w:p>
            <w:pPr>
              <w:spacing w:after="0"/>
              <w:rPr>
                <w:sz w:val="1"/>
                <w:szCs w:val="1"/>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issued to SEE ID SAFE note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issued to StarUpNV</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11,205</w:t>
            </w:r>
          </w:p>
        </w:tc>
        <w:tc>
          <w:tcPr>
            <w:tcW w:w="0" w:type="dxa"/>
            <w:vAlign w:val="bottom"/>
          </w:tcPr>
          <w:p>
            <w:pPr>
              <w:spacing w:after="0"/>
              <w:rPr>
                <w:sz w:val="1"/>
                <w:szCs w:val="1"/>
                <w:color w:val="auto"/>
              </w:rPr>
            </w:pPr>
          </w:p>
        </w:tc>
      </w:tr>
      <w:tr>
        <w:trPr>
          <w:trHeight w:val="224"/>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Common Stock issued to PIPE investors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3,323,536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Common Stock Upon the Business Combination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27,636,939</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7"/>
                <w:szCs w:val="17"/>
                <w:color w:val="auto"/>
              </w:rPr>
              <w:t>F-13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0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132" w:name="page133"/>
    <w:bookmarkEnd w:id="132"/>
    <w:p>
      <w:pPr>
        <w:ind w:firstLine="615"/>
        <w:spacing w:after="0" w:line="284" w:lineRule="auto"/>
        <w:rPr>
          <w:sz w:val="20"/>
          <w:szCs w:val="20"/>
          <w:color w:val="auto"/>
        </w:rPr>
      </w:pPr>
      <w:r>
        <w:rPr>
          <w:rFonts w:ascii="Times New Roman" w:cs="Times New Roman" w:eastAsia="Times New Roman" w:hAnsi="Times New Roman"/>
          <w:sz w:val="17"/>
          <w:szCs w:val="17"/>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53" w:lineRule="exact"/>
        <w:rPr>
          <w:sz w:val="20"/>
          <w:szCs w:val="20"/>
          <w:color w:val="auto"/>
        </w:rPr>
      </w:pPr>
    </w:p>
    <w:p>
      <w:pPr>
        <w:ind w:left="920" w:hanging="302"/>
        <w:spacing w:after="0"/>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$1,003,500 in assumed expenses from ShoulderUp for financial advisory services provided by Cohen Capital Markets;</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$156,870 for financial advisory services provided by a financial advisor;</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$295,000 in registration fees paid to Nasdaq Corporate Solutions, LLC;</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$271,079 paid to Continental Stock Transfer &amp; Trust Co.;</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$126,812 paid to Edgar Agents, LLC; and</w:t>
      </w:r>
    </w:p>
    <w:p>
      <w:pPr>
        <w:spacing w:after="0" w:line="214" w:lineRule="exact"/>
        <w:rPr>
          <w:rFonts w:ascii="Times New Roman" w:cs="Times New Roman" w:eastAsia="Times New Roman" w:hAnsi="Times New Roman"/>
          <w:sz w:val="17"/>
          <w:szCs w:val="17"/>
          <w:color w:val="auto"/>
        </w:rPr>
      </w:pPr>
    </w:p>
    <w:p>
      <w:pPr>
        <w:ind w:left="920" w:hanging="302"/>
        <w:spacing w:after="0"/>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$872,922 in bonus expenses related to the successful closing of the Business Combination.</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following tables reconcile elements of the Business Combination to the Company’s condensed consolidated financial statements, and should be read in conjunction with the footnotes referenced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80" w:type="dxa"/>
            <w:vAlign w:val="bottom"/>
          </w:tcPr>
          <w:p>
            <w:pPr>
              <w:spacing w:after="0"/>
              <w:rPr>
                <w:sz w:val="20"/>
                <w:szCs w:val="20"/>
                <w:color w:val="auto"/>
              </w:rPr>
            </w:pPr>
          </w:p>
        </w:tc>
        <w:tc>
          <w:tcPr>
            <w:tcW w:w="3760" w:type="dxa"/>
            <w:vAlign w:val="bottom"/>
            <w:gridSpan w:val="4"/>
          </w:tcPr>
          <w:p>
            <w:pPr>
              <w:ind w:left="2480"/>
              <w:spacing w:after="0"/>
              <w:rPr>
                <w:sz w:val="20"/>
                <w:szCs w:val="20"/>
                <w:color w:val="auto"/>
              </w:rPr>
            </w:pPr>
            <w:r>
              <w:rPr>
                <w:rFonts w:ascii="Times New Roman" w:cs="Times New Roman" w:eastAsia="Times New Roman" w:hAnsi="Times New Roman"/>
                <w:sz w:val="17"/>
                <w:szCs w:val="17"/>
                <w:b w:val="1"/>
                <w:bCs w:val="1"/>
                <w:color w:val="auto"/>
              </w:rPr>
              <w:t>Recapitalization</w:t>
            </w:r>
          </w:p>
        </w:tc>
        <w:tc>
          <w:tcPr>
            <w:tcW w:w="0" w:type="dxa"/>
            <w:vAlign w:val="bottom"/>
          </w:tcPr>
          <w:p>
            <w:pPr>
              <w:spacing w:after="0"/>
              <w:rPr>
                <w:sz w:val="1"/>
                <w:szCs w:val="1"/>
                <w:color w:val="auto"/>
              </w:rPr>
            </w:pPr>
          </w:p>
        </w:tc>
      </w:tr>
      <w:tr>
        <w:trPr>
          <w:trHeight w:val="205"/>
        </w:trPr>
        <w:tc>
          <w:tcPr>
            <w:tcW w:w="74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Closing proceeds</w:t>
            </w:r>
          </w:p>
        </w:tc>
        <w:tc>
          <w:tcPr>
            <w:tcW w:w="2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Trust account</w:t>
            </w:r>
          </w:p>
        </w:tc>
        <w:tc>
          <w:tcPr>
            <w:tcW w:w="274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PIPE investors</w:t>
            </w: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10,837,643</w:t>
            </w: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legacy ShoulderUp bank accounts</w:t>
            </w:r>
          </w:p>
        </w:tc>
        <w:tc>
          <w:tcPr>
            <w:tcW w:w="2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74,499</w:t>
            </w:r>
          </w:p>
        </w:tc>
        <w:tc>
          <w:tcPr>
            <w:tcW w:w="0" w:type="dxa"/>
            <w:vAlign w:val="bottom"/>
          </w:tcPr>
          <w:p>
            <w:pPr>
              <w:spacing w:after="0"/>
              <w:rPr>
                <w:sz w:val="1"/>
                <w:szCs w:val="1"/>
                <w:color w:val="auto"/>
              </w:rPr>
            </w:pPr>
          </w:p>
        </w:tc>
      </w:tr>
      <w:tr>
        <w:trPr>
          <w:trHeight w:val="205"/>
        </w:trPr>
        <w:tc>
          <w:tcPr>
            <w:tcW w:w="74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Closing disbursements</w:t>
            </w: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Payment to purchase founder shares</w:t>
            </w:r>
          </w:p>
        </w:tc>
        <w:tc>
          <w:tcPr>
            <w:tcW w:w="2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0" w:type="dxa"/>
            <w:vAlign w:val="bottom"/>
          </w:tcPr>
          <w:p>
            <w:pPr>
              <w:spacing w:after="0"/>
              <w:rPr>
                <w:sz w:val="1"/>
                <w:szCs w:val="1"/>
                <w:color w:val="auto"/>
              </w:rPr>
            </w:pPr>
          </w:p>
        </w:tc>
      </w:tr>
      <w:tr>
        <w:trPr>
          <w:trHeight w:val="196"/>
        </w:trPr>
        <w:tc>
          <w:tcPr>
            <w:tcW w:w="7480" w:type="dxa"/>
            <w:vAlign w:val="bottom"/>
            <w:tcBorders>
              <w:top w:val="single" w:sz="8" w:color="CCEEFF"/>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Net cash proceeds from the Business Combination</w:t>
            </w:r>
          </w:p>
        </w:tc>
        <w:tc>
          <w:tcPr>
            <w:tcW w:w="248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11,489,446</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activities</w:t>
            </w:r>
          </w:p>
        </w:tc>
        <w:tc>
          <w:tcPr>
            <w:tcW w:w="2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Conversion of SAFE notes to equity</w:t>
            </w: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40,726,793</w:t>
            </w: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Conversion of short-term debt to equity</w:t>
            </w:r>
          </w:p>
        </w:tc>
        <w:tc>
          <w:tcPr>
            <w:tcW w:w="2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8,597,750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Transaction costs paid in shares</w:t>
            </w: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156,870</w:t>
            </w: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Accrued taxes assumed from ShoulderUp</w:t>
            </w:r>
          </w:p>
        </w:tc>
        <w:tc>
          <w:tcPr>
            <w:tcW w:w="2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(3,913,668)</w:t>
            </w:r>
          </w:p>
        </w:tc>
        <w:tc>
          <w:tcPr>
            <w:tcW w:w="0" w:type="dxa"/>
            <w:vAlign w:val="bottom"/>
          </w:tcPr>
          <w:p>
            <w:pPr>
              <w:spacing w:after="0"/>
              <w:rPr>
                <w:sz w:val="1"/>
                <w:szCs w:val="1"/>
                <w:color w:val="auto"/>
              </w:rPr>
            </w:pPr>
          </w:p>
        </w:tc>
      </w:tr>
      <w:tr>
        <w:trPr>
          <w:trHeight w:val="218"/>
        </w:trPr>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Short-term debt assumed from ShoulderUp</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0" w:type="dxa"/>
            <w:vAlign w:val="bottom"/>
          </w:tcPr>
          <w:p>
            <w:pPr>
              <w:spacing w:after="0"/>
              <w:rPr>
                <w:sz w:val="1"/>
                <w:szCs w:val="1"/>
                <w:color w:val="auto"/>
              </w:rPr>
            </w:pPr>
          </w:p>
        </w:tc>
      </w:tr>
      <w:tr>
        <w:trPr>
          <w:trHeight w:val="26"/>
        </w:trPr>
        <w:tc>
          <w:tcPr>
            <w:tcW w:w="7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equity impact of the Business Combination</w:t>
            </w:r>
          </w:p>
        </w:tc>
        <w:tc>
          <w:tcPr>
            <w:tcW w:w="24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80" w:type="dxa"/>
            <w:vAlign w:val="bottom"/>
            <w:vMerge w:val="continue"/>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56,157,192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Par value of Common Stock issued</w:t>
            </w: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Impact of Business Combination on Additional Paid-in Capital</w:t>
            </w:r>
          </w:p>
        </w:tc>
        <w:tc>
          <w:tcPr>
            <w:tcW w:w="274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56,155,649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Bridge Loan Agreements</w:t>
      </w:r>
    </w:p>
    <w:p>
      <w:pPr>
        <w:spacing w:after="0" w:line="221"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the three and nine months ended September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September 30, 2025.</w:t>
      </w:r>
    </w:p>
    <w:p>
      <w:pPr>
        <w:spacing w:after="0" w:line="172"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the transaction: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Payback in</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Interest at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Payback in</w:t>
            </w: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shares at</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Bridge Loans</w:t>
            </w:r>
          </w:p>
        </w:tc>
        <w:tc>
          <w:tcPr>
            <w:tcW w:w="124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closing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$4/share</w:t>
            </w: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205"/>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Bridge loan 1*</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1/29/2025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(193,500)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1,456,500</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364,125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500,000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5/7/2025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500,000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3/29/2025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(110,000)</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2,850,000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(673,500</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2,456,500</w:t>
            </w:r>
          </w:p>
        </w:tc>
        <w:tc>
          <w:tcPr>
            <w:tcW w:w="2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614,125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320" w:hanging="317"/>
        <w:spacing w:after="0" w:line="268" w:lineRule="auto"/>
        <w:tabs>
          <w:tab w:leader="none" w:pos="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33" w:name="page134"/>
    <w:bookmarkEnd w:id="133"/>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PIPE Investments</w:t>
      </w:r>
    </w:p>
    <w:p>
      <w:pPr>
        <w:spacing w:after="0" w:line="221"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PIPE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r>
      <w:tr>
        <w:trPr>
          <w:trHeight w:val="205"/>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PIPE 1</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6/16/2025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2,814,500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703,625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5"/>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6/10/2025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2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tcPr>
          <w:p>
            <w:pPr>
              <w:spacing w:after="0"/>
              <w:rPr>
                <w:sz w:val="17"/>
                <w:szCs w:val="17"/>
                <w:color w:val="auto"/>
              </w:rPr>
            </w:pPr>
          </w:p>
        </w:tc>
      </w:tr>
      <w:tr>
        <w:trPr>
          <w:trHeight w:val="238"/>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PIPE 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6/17/2025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7,023,143</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1,755,786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2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PIPE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10,837,643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2,709,411</w:t>
            </w: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4 - Restatement and Reclassification of Prior Period Financial Statements</w:t>
      </w:r>
    </w:p>
    <w:p>
      <w:pPr>
        <w:spacing w:after="0" w:line="215" w:lineRule="exact"/>
        <w:rPr>
          <w:sz w:val="20"/>
          <w:szCs w:val="20"/>
          <w:color w:val="auto"/>
        </w:rPr>
      </w:pPr>
    </w:p>
    <w:p>
      <w:pPr>
        <w:jc w:val="both"/>
        <w:ind w:firstLine="615"/>
        <w:spacing w:after="0" w:line="270" w:lineRule="auto"/>
        <w:rPr>
          <w:sz w:val="20"/>
          <w:szCs w:val="20"/>
          <w:color w:val="auto"/>
        </w:rPr>
      </w:pPr>
      <w:r>
        <w:rPr>
          <w:rFonts w:ascii="Times New Roman" w:cs="Times New Roman" w:eastAsia="Times New Roman" w:hAnsi="Times New Roman"/>
          <w:sz w:val="17"/>
          <w:szCs w:val="17"/>
          <w:color w:val="auto"/>
        </w:rPr>
        <w:t>Based on an analysis of FASB ASC, ASC 250-</w:t>
      </w:r>
      <w:r>
        <w:rPr>
          <w:rFonts w:ascii="Times New Roman" w:cs="Times New Roman" w:eastAsia="Times New Roman" w:hAnsi="Times New Roman"/>
          <w:sz w:val="17"/>
          <w:szCs w:val="17"/>
          <w:i w:val="1"/>
          <w:iCs w:val="1"/>
          <w:color w:val="auto"/>
        </w:rPr>
        <w:t>Accounting Changes and Error Corrections</w:t>
      </w:r>
      <w:r>
        <w:rPr>
          <w:rFonts w:ascii="Times New Roman" w:cs="Times New Roman" w:eastAsia="Times New Roman" w:hAnsi="Times New Roman"/>
          <w:sz w:val="17"/>
          <w:szCs w:val="17"/>
          <w:color w:val="auto"/>
        </w:rPr>
        <w:t xml:space="preserve">, Staff Accounting Bulletin 99, </w:t>
      </w:r>
      <w:r>
        <w:rPr>
          <w:rFonts w:ascii="Times New Roman" w:cs="Times New Roman" w:eastAsia="Times New Roman" w:hAnsi="Times New Roman"/>
          <w:sz w:val="17"/>
          <w:szCs w:val="17"/>
          <w:i w:val="1"/>
          <w:iCs w:val="1"/>
          <w:color w:val="auto"/>
        </w:rPr>
        <w:t>Materiality, and Staff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Bulletin 108, Considering the Effects of Prior Year Misstatements when Quantifying Misstatements in Current Year Financial Statements</w:t>
      </w:r>
      <w:r>
        <w:rPr>
          <w:rFonts w:ascii="Times New Roman" w:cs="Times New Roman" w:eastAsia="Times New Roman" w:hAnsi="Times New Roman"/>
          <w:sz w:val="17"/>
          <w:szCs w:val="17"/>
          <w:color w:val="auto"/>
        </w:rPr>
        <w: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these errors were material to the previously issued interim financial statements and as such a restatement was necessary.</w:t>
      </w:r>
    </w:p>
    <w:p>
      <w:pPr>
        <w:spacing w:after="0" w:line="165"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revisions had no effect on total revenue, loss from operations, net loss, or shareholders’ equity (deficit) for any period presented. The impact of these reclassifications and restatements on the Company’s condensed consolidated statements of operations for the three and nine months ended September 30, 2024, is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 2024</w:t>
            </w: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1260" w:type="dxa"/>
            <w:vAlign w:val="bottom"/>
            <w:tcBorders>
              <w:top w:val="single" w:sz="8" w:color="auto"/>
            </w:tcBorders>
            <w:gridSpan w:val="3"/>
          </w:tcPr>
          <w:p>
            <w:pPr>
              <w:jc w:val="right"/>
              <w:ind w:right="120"/>
              <w:spacing w:after="0" w:line="185"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Reclassification</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9"/>
              </w:rPr>
              <w:t>Restatement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As adjusted</w:t>
            </w:r>
          </w:p>
        </w:tc>
        <w:tc>
          <w:tcPr>
            <w:tcW w:w="0" w:type="dxa"/>
            <w:vAlign w:val="bottom"/>
          </w:tcPr>
          <w:p>
            <w:pPr>
              <w:spacing w:after="0"/>
              <w:rPr>
                <w:sz w:val="1"/>
                <w:szCs w:val="1"/>
                <w:color w:val="auto"/>
              </w:rPr>
            </w:pPr>
          </w:p>
        </w:tc>
      </w:tr>
      <w:tr>
        <w:trPr>
          <w:trHeight w:val="205"/>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81,636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145,201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(137,204)</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7,997</w:t>
            </w:r>
          </w:p>
        </w:tc>
        <w:tc>
          <w:tcPr>
            <w:tcW w:w="0" w:type="dxa"/>
            <w:vAlign w:val="bottom"/>
          </w:tcPr>
          <w:p>
            <w:pPr>
              <w:spacing w:after="0"/>
              <w:rPr>
                <w:sz w:val="1"/>
                <w:szCs w:val="1"/>
                <w:color w:val="auto"/>
              </w:rPr>
            </w:pPr>
          </w:p>
        </w:tc>
      </w:tr>
      <w:tr>
        <w:trPr>
          <w:trHeight w:val="26"/>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(63,565</w:t>
            </w:r>
          </w:p>
        </w:tc>
        <w:tc>
          <w:tcPr>
            <w:tcW w:w="140" w:type="dxa"/>
            <w:vAlign w:val="bottom"/>
            <w:vMerge w:val="continue"/>
            <w:shd w:val="clear" w:color="auto" w:fill="CCEEFF"/>
          </w:tcPr>
          <w:p>
            <w:pPr>
              <w:spacing w:after="0"/>
              <w:rPr>
                <w:sz w:val="20"/>
                <w:szCs w:val="20"/>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137,204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73,639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1,039,092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(532,305)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506,886</w:t>
            </w:r>
          </w:p>
        </w:tc>
        <w:tc>
          <w:tcPr>
            <w:tcW w:w="0" w:type="dxa"/>
            <w:vAlign w:val="bottom"/>
          </w:tcPr>
          <w:p>
            <w:pPr>
              <w:spacing w:after="0"/>
              <w:rPr>
                <w:sz w:val="1"/>
                <w:szCs w:val="1"/>
                <w:color w:val="auto"/>
              </w:rPr>
            </w:pPr>
          </w:p>
        </w:tc>
      </w:tr>
      <w:tr>
        <w:trPr>
          <w:trHeight w:val="205"/>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157,741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28,937</w:t>
            </w: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186,678</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633,570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(103,154)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108,168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638,584</w:t>
            </w:r>
          </w:p>
        </w:tc>
        <w:tc>
          <w:tcPr>
            <w:tcW w:w="0" w:type="dxa"/>
            <w:vAlign w:val="bottom"/>
          </w:tcPr>
          <w:p>
            <w:pPr>
              <w:spacing w:after="0"/>
              <w:rPr>
                <w:sz w:val="1"/>
                <w:szCs w:val="1"/>
                <w:color w:val="auto"/>
              </w:rPr>
            </w:pPr>
          </w:p>
        </w:tc>
      </w:tr>
      <w:tr>
        <w:trPr>
          <w:trHeight w:val="205"/>
        </w:trPr>
        <w:tc>
          <w:tcPr>
            <w:tcW w:w="5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 and integration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635,459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635,459</w:t>
            </w: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1,830,403</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137,204</w:t>
            </w:r>
          </w:p>
        </w:tc>
        <w:tc>
          <w:tcPr>
            <w:tcW w:w="2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1,967,607</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(1,893,968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(1,893,968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2024</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Borders>
              <w:top w:val="single" w:sz="8" w:color="auto"/>
            </w:tcBorders>
            <w:gridSpan w:val="3"/>
          </w:tcPr>
          <w:p>
            <w:pPr>
              <w:jc w:val="right"/>
              <w:ind w:right="120"/>
              <w:spacing w:after="0" w:line="185"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Reclassification</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9"/>
              </w:rPr>
              <w:t>Restatement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As adjusted</w:t>
            </w:r>
          </w:p>
        </w:tc>
        <w:tc>
          <w:tcPr>
            <w:tcW w:w="0" w:type="dxa"/>
            <w:vAlign w:val="bottom"/>
          </w:tcPr>
          <w:p>
            <w:pPr>
              <w:spacing w:after="0"/>
              <w:rPr>
                <w:sz w:val="1"/>
                <w:szCs w:val="1"/>
                <w:color w:val="auto"/>
              </w:rPr>
            </w:pPr>
          </w:p>
        </w:tc>
      </w:tr>
      <w:tr>
        <w:trPr>
          <w:trHeight w:val="205"/>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183,631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(137,204)</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18,006</w:t>
            </w:r>
          </w:p>
        </w:tc>
        <w:tc>
          <w:tcPr>
            <w:tcW w:w="0" w:type="dxa"/>
            <w:vAlign w:val="bottom"/>
          </w:tcPr>
          <w:p>
            <w:pPr>
              <w:spacing w:after="0"/>
              <w:rPr>
                <w:sz w:val="1"/>
                <w:szCs w:val="1"/>
                <w:color w:val="auto"/>
              </w:rPr>
            </w:pPr>
          </w:p>
        </w:tc>
      </w:tr>
      <w:tr>
        <w:trPr>
          <w:trHeight w:val="26"/>
        </w:trPr>
        <w:tc>
          <w:tcPr>
            <w:tcW w:w="4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vMerge w:val="continue"/>
            <w:shd w:val="clear" w:color="auto" w:fill="CCEEFF"/>
          </w:tcPr>
          <w:p>
            <w:pPr>
              <w:spacing w:after="0"/>
              <w:rPr>
                <w:sz w:val="20"/>
                <w:szCs w:val="20"/>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28,421</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137,204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165,625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2,462,469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(1,398,008)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431,054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28,937</w:t>
            </w: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459,991</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1,758,156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(103,154)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108,168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 and integration</w:t>
            </w: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bottom w:val="single" w:sz="8" w:color="CCEEFF"/>
            </w:tcBorders>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operating expenses</w:t>
            </w:r>
          </w:p>
        </w:tc>
        <w:tc>
          <w:tcPr>
            <w:tcW w:w="19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4,651,679</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137,204</w:t>
            </w:r>
          </w:p>
        </w:tc>
        <w:tc>
          <w:tcPr>
            <w:tcW w:w="2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4,788,883</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(4,623,258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(4,623,258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21"/>
        </w:trPr>
        <w:tc>
          <w:tcPr>
            <w:tcW w:w="40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F-15</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i w:val="1"/>
          <w:iCs w:val="1"/>
          <w:color w:val="auto"/>
        </w:rPr>
        <w:t>Out of Period Adjustment</w:t>
      </w:r>
    </w:p>
    <w:p>
      <w:pPr>
        <w:spacing w:after="0" w:line="22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During the three months ended September 30, 2025, the Company identified an error in its previously issued financial statements that was corrected through an out of period adjustment in the condensed financial statements as of and for the three and nine months ended September 30, 2025. The error related to non-redemption compensation incurred during the three months ended June 30, 2025 that was not recorded in that quarter. As a result, the Company recorded an out of period adjustment in the amount of approximately $561,000 in the quarter ended September 30, 2025. The Company assessed this out of period adjustment both quantitatively and qualitatively and concluded the error was immaterial.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5 - Concentrations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 Arising From Cash Deposits in Excess of Insured Limits</w:t>
      </w:r>
    </w:p>
    <w:p>
      <w:pPr>
        <w:spacing w:after="0" w:line="221"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The Company maintains a cash balance with a U.S. financial institution, in which the balance exceeds the FDIC insured limit of $250,000. As of September 30, 2025 and December 31, 2024, the Company’s cash balance held at the financial institution exceeded the FDIC limit. The Company has not experienced losses on this account and management believes the Company is not exposed to significant risks on such account.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Customers</w:t>
      </w:r>
    </w:p>
    <w:p>
      <w:pPr>
        <w:spacing w:after="0" w:line="221"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A significant customer is defined as one that accounts for at least 10% of the Company’s revenue. For the three months ended September 30, 2025, sales to three customers accounted for 100% of total revenues, of which one customer contributed approximately 86% and the other customer contributed approximately 12%. For the nine months ended September 30, 2025, sales to three customers accounted for 100% of total revenues, of which one customer contributed approximately 90%. For the three months ended September 30, 2024, sales to three customers accounted for 100% of total revenues, of which one customer contributed approximately 86%. For the nine months ended September 30, 2024, sales to four customers accounted for 100% of total revenues, of which one customer contributed approximately 53% and another contributed approximately 38%.</w:t>
      </w:r>
    </w:p>
    <w:p>
      <w:pPr>
        <w:spacing w:after="0" w:line="175"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As of September 30, 2025, the Company’s accounts receivable balance was concentrated among two customers. One customer accounted for approximately 90% of total accounts receivable, and another customer represented approximately 10%. As of September 30, 2024, the Company’s accounts receivable balance was concentrated among three customers. One customer accounted for approximately 75% of total accounts receivable, and another customer represented approximately 24%.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doubtful accounts, as all receivables are considered highly collectible.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6 – Property and Equipment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net, as of September 30, 2025 and December 31, 2024,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useful life</w:t>
            </w:r>
          </w:p>
        </w:tc>
        <w:tc>
          <w:tcPr>
            <w:tcW w:w="112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0"/>
                <w:szCs w:val="20"/>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 years</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495,010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(16,839)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vMerge w:val="continue"/>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478,171</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 the three months ended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3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4"/>
        </w:trPr>
        <w:tc>
          <w:tcPr>
            <w:tcW w:w="5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20" w:type="dxa"/>
            <w:vAlign w:val="bottom"/>
            <w:tcBorders>
              <w:top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205"/>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11,738</w:t>
            </w: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7 - Capitalized Software Development Costs</w:t>
      </w:r>
    </w:p>
    <w:p>
      <w:pPr>
        <w:spacing w:after="0" w:line="219"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7"/>
          <w:szCs w:val="17"/>
          <w:i w:val="1"/>
          <w:iCs w:val="1"/>
          <w:color w:val="auto"/>
        </w:rPr>
        <w:t>Internal-Use Software</w:t>
      </w:r>
      <w:r>
        <w:rPr>
          <w:rFonts w:ascii="Times New Roman" w:cs="Times New Roman" w:eastAsia="Times New Roman" w:hAnsi="Times New Roman"/>
          <w:sz w:val="17"/>
          <w:szCs w:val="17"/>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capitalized software development costs of $2,660,194 and $1,761,396 as of September 30, 2025 and December 31, 2024, respectively.</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For the three and nine months ended September 30, 2025 and 2024, there was no amortization expense recorded on capitalized software development costs as the software was not substantially complete and ready for its intended use.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8 - SAFE Agreements and Fair Value Measurements</w:t>
      </w:r>
    </w:p>
    <w:p>
      <w:pPr>
        <w:spacing w:after="0" w:line="219"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62" w:lineRule="exact"/>
        <w:rPr>
          <w:sz w:val="20"/>
          <w:szCs w:val="20"/>
          <w:color w:val="auto"/>
        </w:rPr>
      </w:pPr>
    </w:p>
    <w:p>
      <w:pPr>
        <w:ind w:left="920" w:hanging="302"/>
        <w:spacing w:after="0" w:line="289"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Equity Financing </w:t>
      </w:r>
      <w:r>
        <w:rPr>
          <w:rFonts w:ascii="Times New Roman" w:cs="Times New Roman" w:eastAsia="Times New Roman" w:hAnsi="Times New Roman"/>
          <w:sz w:val="17"/>
          <w:szCs w:val="17"/>
          <w:color w:val="auto"/>
        </w:rPr>
        <w:t>- the SAFE agreements will automatically convert into the number of shares of Safe Preferred Stock equal to the Purchase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divided by the Discount Price with certain SAFE agreements subject to a post-money valuation cap of $30,000,000.</w:t>
      </w:r>
    </w:p>
    <w:p>
      <w:pPr>
        <w:spacing w:after="0" w:line="144" w:lineRule="exact"/>
        <w:rPr>
          <w:rFonts w:ascii="Times New Roman" w:cs="Times New Roman" w:eastAsia="Times New Roman" w:hAnsi="Times New Roman"/>
          <w:sz w:val="17"/>
          <w:szCs w:val="17"/>
          <w:color w:val="auto"/>
        </w:rPr>
      </w:pPr>
    </w:p>
    <w:p>
      <w:pPr>
        <w:jc w:val="both"/>
        <w:ind w:left="920" w:hanging="302"/>
        <w:spacing w:after="0" w:line="270"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Liquidity Event </w:t>
      </w:r>
      <w:r>
        <w:rPr>
          <w:rFonts w:ascii="Times New Roman" w:cs="Times New Roman" w:eastAsia="Times New Roman" w:hAnsi="Times New Roman"/>
          <w:sz w:val="17"/>
          <w:szCs w:val="17"/>
          <w:color w:val="auto"/>
        </w:rPr>
        <w:t>- the SAFE agreements will automatically be entitled to receive a portion of Proceeds, due and payable to the Investor immediately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60" w:lineRule="exact"/>
        <w:rPr>
          <w:rFonts w:ascii="Times New Roman" w:cs="Times New Roman" w:eastAsia="Times New Roman" w:hAnsi="Times New Roman"/>
          <w:sz w:val="17"/>
          <w:szCs w:val="17"/>
          <w:color w:val="auto"/>
        </w:rPr>
      </w:pPr>
    </w:p>
    <w:p>
      <w:pPr>
        <w:ind w:left="920" w:hanging="302"/>
        <w:spacing w:after="0" w:line="289"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Dissolution Event </w:t>
      </w:r>
      <w:r>
        <w:rPr>
          <w:rFonts w:ascii="Times New Roman" w:cs="Times New Roman" w:eastAsia="Times New Roman" w:hAnsi="Times New Roman"/>
          <w:sz w:val="17"/>
          <w:szCs w:val="17"/>
          <w:color w:val="auto"/>
        </w:rPr>
        <w:t>- the Investor will automatically be entitled to receive a portion of Proceeds equal to the Cash-Out Amount, due and payable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 immediately prior to the consummation of the Dissolution Event.</w:t>
      </w:r>
    </w:p>
    <w:p>
      <w:pPr>
        <w:spacing w:after="0" w:line="145" w:lineRule="exact"/>
        <w:rPr>
          <w:sz w:val="20"/>
          <w:szCs w:val="20"/>
          <w:color w:val="auto"/>
        </w:rPr>
      </w:pPr>
    </w:p>
    <w:p>
      <w:pPr>
        <w:jc w:val="both"/>
        <w:ind w:firstLine="615"/>
        <w:spacing w:after="0" w:line="270" w:lineRule="auto"/>
        <w:rPr>
          <w:sz w:val="20"/>
          <w:szCs w:val="20"/>
          <w:color w:val="auto"/>
        </w:rPr>
      </w:pPr>
      <w:r>
        <w:rPr>
          <w:rFonts w:ascii="Times New Roman" w:cs="Times New Roman" w:eastAsia="Times New Roman" w:hAnsi="Times New Roman"/>
          <w:sz w:val="17"/>
          <w:szCs w:val="17"/>
          <w:color w:val="auto"/>
        </w:rPr>
        <w:t xml:space="preserve">In accordance with FASB ASC 815-40, </w:t>
      </w:r>
      <w:r>
        <w:rPr>
          <w:rFonts w:ascii="Times New Roman" w:cs="Times New Roman" w:eastAsia="Times New Roman" w:hAnsi="Times New Roman"/>
          <w:sz w:val="17"/>
          <w:szCs w:val="17"/>
          <w:i w:val="1"/>
          <w:iCs w:val="1"/>
          <w:color w:val="auto"/>
        </w:rPr>
        <w:t>Contracts in Entity’s Own Equity</w:t>
      </w:r>
      <w:r>
        <w:rPr>
          <w:rFonts w:ascii="Times New Roman" w:cs="Times New Roman" w:eastAsia="Times New Roman" w:hAnsi="Times New Roman"/>
          <w:sz w:val="17"/>
          <w:szCs w:val="17"/>
          <w:color w:val="auto"/>
        </w:rPr>
        <w:t>,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spacing w:after="0" w:line="16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September 30, 2025.</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and nine months ended September 30, 2025 and 2024, the SAFE note activity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2720" w:type="dxa"/>
            <w:vAlign w:val="bottom"/>
            <w:gridSpan w:val="6"/>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60" w:type="dxa"/>
            <w:vAlign w:val="bottom"/>
          </w:tcPr>
          <w:p>
            <w:pPr>
              <w:spacing w:after="0"/>
              <w:rPr>
                <w:sz w:val="17"/>
                <w:szCs w:val="17"/>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31"/>
        </w:trPr>
        <w:tc>
          <w:tcPr>
            <w:tcW w:w="598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24"/>
        </w:trPr>
        <w:tc>
          <w:tcPr>
            <w:tcW w:w="59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SAFE agreements at fair value, beginning of period</w:t>
            </w: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21,200,160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23,334,626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SAFE agreements issued for cash</w:t>
            </w: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700,000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23,752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764,446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17,368,415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14,227,156</w:t>
            </w:r>
          </w:p>
        </w:tc>
        <w:tc>
          <w:tcPr>
            <w:tcW w:w="0" w:type="dxa"/>
            <w:vAlign w:val="bottom"/>
          </w:tcPr>
          <w:p>
            <w:pPr>
              <w:spacing w:after="0"/>
              <w:rPr>
                <w:sz w:val="1"/>
                <w:szCs w:val="1"/>
                <w:color w:val="auto"/>
              </w:rPr>
            </w:pP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SAFE notes converted into shares</w:t>
            </w: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(40,726,793)</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SAFE agreements at fair value, end of period</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22,664,606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22,664,606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September 30, 2025 and December 31, 2024, and indicates the fair value hierarchy of the valuation inputs the Company utilized to determine such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40" w:type="dxa"/>
            <w:vAlign w:val="bottom"/>
          </w:tcPr>
          <w:p>
            <w:pPr>
              <w:spacing w:after="0"/>
              <w:rPr>
                <w:sz w:val="20"/>
                <w:szCs w:val="20"/>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0"/>
                <w:szCs w:val="20"/>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r>
      <w:tr>
        <w:trPr>
          <w:trHeight w:val="205"/>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liabilities</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23,334,626</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9 - Equity Line of Credit:</w:t>
      </w:r>
    </w:p>
    <w:p>
      <w:pPr>
        <w:spacing w:after="0" w:line="219"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36" w:name="page137"/>
    <w:bookmarkEnd w:id="136"/>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72"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w:t>
      </w:r>
      <w:r>
        <w:rPr>
          <w:rFonts w:ascii="Times New Roman" w:cs="Times New Roman" w:eastAsia="Times New Roman" w:hAnsi="Times New Roman"/>
          <w:sz w:val="17"/>
          <w:szCs w:val="17"/>
          <w:color w:val="auto"/>
        </w:rPr>
        <w:t>, it must be bifurcated and accounted for separately as a derivative asset or liability, depending on changes in the underlying stock price relative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pegged discounted VWAP. The derivative is measured at fair value, with changes in fair value recognized in net loss. The fair value of the purchased put option was determined to be de minimis as of September 30, 2025, and therefore was not recorded on the Company’s balance sheet as of that date.</w:t>
      </w:r>
    </w:p>
    <w:p>
      <w:pPr>
        <w:spacing w:after="0" w:line="17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No purchase notices were issued during the three and nine months ended September 30, 2025. On October 13, 2025, the Company issued a purchase notice to sell 30,000 shares of its Common Stock. The purchase price was settled at $2.6172 per share, resulting in total cash proceeds of $78,516.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10 – Shareholders’ Equity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Recapitalization</w:t>
      </w:r>
    </w:p>
    <w:p>
      <w:pPr>
        <w:spacing w:after="0" w:line="221"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1"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As of September 30, 2025, the Company had authorized 300,000,000 shares of Common Stock, par value $0.0001 per share. As of September 30, 2025, 27,743,322 shares of Common Stock were issued and outstanding, and 272,256,678 shares of Common Stock were reserved for future issuance.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11 - Equity Incentive Plan</w:t>
      </w:r>
    </w:p>
    <w:p>
      <w:pPr>
        <w:spacing w:after="0" w:line="219"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 option activity for the nine months ended September 30, 2025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5"/>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5"/>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05"/>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Contractual</w:t>
            </w:r>
          </w:p>
        </w:tc>
      </w:tr>
      <w:tr>
        <w:trPr>
          <w:trHeight w:val="231"/>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Life (in years)</w:t>
            </w:r>
          </w:p>
        </w:tc>
      </w:tr>
      <w:tr>
        <w:trPr>
          <w:trHeight w:val="205"/>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as of December 31, 2024</w:t>
            </w:r>
          </w:p>
        </w:tc>
        <w:tc>
          <w:tcPr>
            <w:tcW w:w="30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2,032,521</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0.1151</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granted</w:t>
            </w:r>
          </w:p>
        </w:tc>
        <w:tc>
          <w:tcPr>
            <w:tcW w:w="43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exercised</w:t>
            </w:r>
          </w:p>
        </w:tc>
        <w:tc>
          <w:tcPr>
            <w:tcW w:w="4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4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cancelled</w:t>
            </w:r>
          </w:p>
        </w:tc>
        <w:tc>
          <w:tcPr>
            <w:tcW w:w="4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(170,715)</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0.1759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r>
      <w:tr>
        <w:trPr>
          <w:trHeight w:val="225"/>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as of September 30, 2025</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1,861,806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 vested as of September 30, 2025</w:t>
            </w:r>
          </w:p>
        </w:tc>
        <w:tc>
          <w:tcPr>
            <w:tcW w:w="43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1,797,840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0.1008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6.08</w:t>
            </w:r>
          </w:p>
        </w:tc>
      </w:tr>
      <w:tr>
        <w:trPr>
          <w:trHeight w:val="20"/>
        </w:trPr>
        <w:tc>
          <w:tcPr>
            <w:tcW w:w="4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9"/>
        </w:trPr>
        <w:tc>
          <w:tcPr>
            <w:tcW w:w="4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7"/>
                <w:szCs w:val="17"/>
                <w:color w:val="auto"/>
              </w:rPr>
              <w:t>F-18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37" w:name="page138"/>
    <w:bookmarkEnd w:id="137"/>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the three and nine months ended September 30, 2025, the Company recognized share-based compensation expense relating to stock options totaling $9,120 and $28,862, respectively. For the three and nine months ended September 30, 2024, the Company recognized share-based compensation relating to stock options totaling $8,778 and $80,372, respectively. Share-based compensation expense relating to stock options is included in “General and administrative” in the accompanying condensed consolidated statements of operations.</w:t>
      </w:r>
    </w:p>
    <w:p>
      <w:pPr>
        <w:spacing w:after="0" w:line="172"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As of September 30, 2025, there was a total of approximately $14,493 of unrecognized share-based compensation cost relating to outstanding stock options, which is expected to be recognized over a weighted-average period of 0.55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and nine months ended September 30, 2025 and 2024, the Company did not grant any restricted stock awards.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and December 31, 2024, there were no unvested restricted stock awards.</w:t>
      </w:r>
    </w:p>
    <w:p>
      <w:pPr>
        <w:spacing w:after="0" w:line="21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the three and nine months ended September 30, 2025, the Company did not recognize any share-based compensation relating to restricted stock awards. For the three and nine months ended September 30, 2024, the Company recognized share-based compensation relating to restricted stock awards totaling $5,755 and $106,629, respectively. Share-based compensation relating to restricted stock awards is included in “General and administrative” in the accompanying consolidated statements of operations.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there were no unrecognized share-based compensation costs relating to restricted stock awards.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12 - Net Loss Per Share</w:t>
      </w:r>
    </w:p>
    <w:p>
      <w:pPr>
        <w:spacing w:after="0" w:line="219"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72"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the nine months ended September 30,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September 30, 2025 were out of the money and also excluded from the calculation of diluted net loss per share for being antidilutive.</w:t>
      </w:r>
    </w:p>
    <w:p>
      <w:pPr>
        <w:spacing w:after="0" w:line="172"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13 - Leases</w:t>
      </w:r>
    </w:p>
    <w:p>
      <w:pPr>
        <w:spacing w:after="0" w:line="219"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66"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lease expense were as follows for the three and nine months ended September 30,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6"/>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7"/>
                <w:szCs w:val="17"/>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24"/>
        </w:trPr>
        <w:tc>
          <w:tcPr>
            <w:tcW w:w="3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Other short-term lease cost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22,170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93,516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16,879</w:t>
            </w:r>
          </w:p>
        </w:tc>
        <w:tc>
          <w:tcPr>
            <w:tcW w:w="0" w:type="dxa"/>
            <w:vAlign w:val="bottom"/>
          </w:tcPr>
          <w:p>
            <w:pPr>
              <w:spacing w:after="0"/>
              <w:rPr>
                <w:sz w:val="1"/>
                <w:szCs w:val="1"/>
                <w:color w:val="auto"/>
              </w:rPr>
            </w:pPr>
          </w:p>
        </w:tc>
      </w:tr>
      <w:tr>
        <w:trPr>
          <w:trHeight w:val="26"/>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2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vMerge w:val="continue"/>
            <w:shd w:val="clear" w:color="auto" w:fill="CCEEFF"/>
          </w:tcPr>
          <w:p>
            <w:pPr>
              <w:spacing w:after="0"/>
              <w:rPr>
                <w:sz w:val="20"/>
                <w:szCs w:val="20"/>
                <w:color w:val="auto"/>
              </w:rPr>
            </w:pPr>
          </w:p>
        </w:tc>
        <w:tc>
          <w:tcPr>
            <w:tcW w:w="25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73,468</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27,781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197,835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38,432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6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7"/>
                <w:szCs w:val="17"/>
                <w:color w:val="auto"/>
              </w:rPr>
              <w:t>F-19</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138" w:name="page139"/>
    <w:bookmarkEnd w:id="138"/>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operating lease asset and liabilities recorded as of September 30, 2025 and December 31,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568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20"/>
                <w:szCs w:val="20"/>
                <w:color w:val="auto"/>
              </w:rPr>
            </w:pPr>
          </w:p>
        </w:tc>
      </w:tr>
      <w:tr>
        <w:trPr>
          <w:trHeight w:val="20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 gross</w:t>
            </w:r>
          </w:p>
        </w:tc>
        <w:tc>
          <w:tcPr>
            <w:tcW w:w="2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824,314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331,478</w:t>
            </w:r>
          </w:p>
        </w:tc>
        <w:tc>
          <w:tcPr>
            <w:tcW w:w="140" w:type="dxa"/>
            <w:vAlign w:val="bottom"/>
            <w:shd w:val="clear" w:color="auto" w:fill="CCEEFF"/>
          </w:tcPr>
          <w:p>
            <w:pPr>
              <w:spacing w:after="0"/>
              <w:rPr>
                <w:sz w:val="17"/>
                <w:szCs w:val="17"/>
                <w:color w:val="auto"/>
              </w:rPr>
            </w:pPr>
          </w:p>
        </w:tc>
      </w:tr>
      <w:tr>
        <w:trPr>
          <w:trHeight w:val="22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(88,443)</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(23,586)</w:t>
            </w:r>
          </w:p>
        </w:tc>
      </w:tr>
      <w:tr>
        <w:trPr>
          <w:trHeight w:val="205"/>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 net</w:t>
            </w:r>
          </w:p>
        </w:tc>
        <w:tc>
          <w:tcPr>
            <w:tcW w:w="2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735,871</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307,892</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189" w:lineRule="exact"/>
        <w:rPr>
          <w:sz w:val="20"/>
          <w:szCs w:val="20"/>
          <w:color w:val="auto"/>
        </w:rPr>
      </w:pPr>
    </w:p>
    <w:p>
      <w:pPr>
        <w:sectPr>
          <w:pgSz w:w="11900" w:h="16838" w:orient="portrait"/>
          <w:cols w:equalWidth="0" w:num="1">
            <w:col w:w="11240"/>
          </w:cols>
          <w:pgMar w:left="320" w:top="84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operating lease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708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305" cy="17081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operating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operating lease discount rate</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future minimum lease commitments as of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135,976</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36,225</w:t>
            </w:r>
          </w:p>
        </w:tc>
      </w:tr>
      <w:tr>
        <w:trPr>
          <w:trHeight w:val="227"/>
        </w:trPr>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614,126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265,413</w:t>
            </w:r>
          </w:p>
        </w:tc>
        <w:tc>
          <w:tcPr>
            <w:tcW w:w="140" w:type="dxa"/>
            <w:vAlign w:val="bottom"/>
          </w:tcPr>
          <w:p>
            <w:pPr>
              <w:spacing w:after="0"/>
              <w:rPr>
                <w:sz w:val="19"/>
                <w:szCs w:val="19"/>
                <w:color w:val="auto"/>
              </w:rPr>
            </w:pPr>
          </w:p>
        </w:tc>
      </w:tr>
      <w:tr>
        <w:trPr>
          <w:trHeight w:val="236"/>
        </w:trPr>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750,102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301,638</w:t>
            </w:r>
          </w:p>
        </w:tc>
        <w:tc>
          <w:tcPr>
            <w:tcW w:w="14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2"/>
        </w:trPr>
        <w:tc>
          <w:tcPr>
            <w:tcW w:w="24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4.37 years</w:t>
            </w:r>
          </w:p>
        </w:tc>
        <w:tc>
          <w:tcPr>
            <w:tcW w:w="2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4.75 years</w:t>
            </w:r>
          </w:p>
        </w:tc>
      </w:tr>
      <w:tr>
        <w:trPr>
          <w:trHeight w:val="222"/>
        </w:trPr>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9.50%</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11.83%</w:t>
            </w:r>
          </w:p>
        </w:tc>
      </w:tr>
    </w:tbl>
    <w:p>
      <w:pPr>
        <w:spacing w:after="0" w:line="583" w:lineRule="exact"/>
        <w:rPr>
          <w:sz w:val="20"/>
          <w:szCs w:val="20"/>
          <w:color w:val="auto"/>
        </w:rPr>
      </w:pPr>
    </w:p>
    <w:p>
      <w:pPr>
        <w:sectPr>
          <w:pgSz w:w="11900" w:h="16838" w:orient="portrait"/>
          <w:cols w:equalWidth="0" w:num="2">
            <w:col w:w="7920" w:space="720"/>
            <w:col w:w="2600"/>
          </w:cols>
          <w:pgMar w:left="320" w:top="841" w:right="3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0" w:type="dxa"/>
            <w:vAlign w:val="bottom"/>
          </w:tcPr>
          <w:p>
            <w:pPr>
              <w:spacing w:after="0"/>
              <w:rPr>
                <w:sz w:val="1"/>
                <w:szCs w:val="1"/>
                <w:color w:val="auto"/>
              </w:rPr>
            </w:pPr>
          </w:p>
        </w:tc>
      </w:tr>
      <w:tr>
        <w:trPr>
          <w:trHeight w:val="205"/>
        </w:trPr>
        <w:tc>
          <w:tcPr>
            <w:tcW w:w="9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(remaining 3 months)</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200,462</w:t>
            </w:r>
          </w:p>
        </w:tc>
        <w:tc>
          <w:tcPr>
            <w:tcW w:w="0" w:type="dxa"/>
            <w:vAlign w:val="bottom"/>
          </w:tcPr>
          <w:p>
            <w:pPr>
              <w:spacing w:after="0"/>
              <w:rPr>
                <w:sz w:val="1"/>
                <w:szCs w:val="1"/>
                <w:color w:val="auto"/>
              </w:rPr>
            </w:pPr>
          </w:p>
        </w:tc>
      </w:tr>
      <w:tr>
        <w:trPr>
          <w:trHeight w:val="205"/>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207,783</w:t>
            </w:r>
          </w:p>
        </w:tc>
        <w:tc>
          <w:tcPr>
            <w:tcW w:w="0" w:type="dxa"/>
            <w:vAlign w:val="bottom"/>
          </w:tcPr>
          <w:p>
            <w:pPr>
              <w:spacing w:after="0"/>
              <w:rPr>
                <w:sz w:val="1"/>
                <w:szCs w:val="1"/>
                <w:color w:val="auto"/>
              </w:rPr>
            </w:pPr>
          </w:p>
        </w:tc>
      </w:tr>
      <w:tr>
        <w:trPr>
          <w:trHeight w:val="205"/>
        </w:trPr>
        <w:tc>
          <w:tcPr>
            <w:tcW w:w="976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215,950</w:t>
            </w:r>
          </w:p>
        </w:tc>
        <w:tc>
          <w:tcPr>
            <w:tcW w:w="0" w:type="dxa"/>
            <w:vAlign w:val="bottom"/>
          </w:tcPr>
          <w:p>
            <w:pPr>
              <w:spacing w:after="0"/>
              <w:rPr>
                <w:sz w:val="1"/>
                <w:szCs w:val="1"/>
                <w:color w:val="auto"/>
              </w:rPr>
            </w:pPr>
          </w:p>
        </w:tc>
      </w:tr>
      <w:tr>
        <w:trPr>
          <w:trHeight w:val="205"/>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197,905</w:t>
            </w:r>
          </w:p>
        </w:tc>
        <w:tc>
          <w:tcPr>
            <w:tcW w:w="0" w:type="dxa"/>
            <w:vAlign w:val="bottom"/>
          </w:tcPr>
          <w:p>
            <w:pPr>
              <w:spacing w:after="0"/>
              <w:rPr>
                <w:sz w:val="1"/>
                <w:szCs w:val="1"/>
                <w:color w:val="auto"/>
              </w:rPr>
            </w:pPr>
          </w:p>
        </w:tc>
      </w:tr>
      <w:tr>
        <w:trPr>
          <w:trHeight w:val="224"/>
        </w:trPr>
        <w:tc>
          <w:tcPr>
            <w:tcW w:w="9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42,436</w:t>
            </w:r>
          </w:p>
        </w:tc>
        <w:tc>
          <w:tcPr>
            <w:tcW w:w="0" w:type="dxa"/>
            <w:vAlign w:val="bottom"/>
          </w:tcPr>
          <w:p>
            <w:pPr>
              <w:spacing w:after="0"/>
              <w:rPr>
                <w:sz w:val="1"/>
                <w:szCs w:val="1"/>
                <w:color w:val="auto"/>
              </w:rPr>
            </w:pPr>
          </w:p>
        </w:tc>
      </w:tr>
      <w:tr>
        <w:trPr>
          <w:trHeight w:val="205"/>
        </w:trPr>
        <w:tc>
          <w:tcPr>
            <w:tcW w:w="9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3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(164,223)</w:t>
            </w:r>
          </w:p>
        </w:tc>
        <w:tc>
          <w:tcPr>
            <w:tcW w:w="0" w:type="dxa"/>
            <w:vAlign w:val="bottom"/>
          </w:tcPr>
          <w:p>
            <w:pPr>
              <w:spacing w:after="0"/>
              <w:rPr>
                <w:sz w:val="1"/>
                <w:szCs w:val="1"/>
                <w:color w:val="auto"/>
              </w:rPr>
            </w:pPr>
          </w:p>
        </w:tc>
      </w:tr>
      <w:tr>
        <w:trPr>
          <w:trHeight w:val="26"/>
        </w:trPr>
        <w:tc>
          <w:tcPr>
            <w:tcW w:w="9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86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750,102</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14 - Related Party Transactions</w:t>
      </w:r>
    </w:p>
    <w:p>
      <w:pPr>
        <w:spacing w:after="0" w:line="219"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53"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spacing w:after="0" w:line="172"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spacing w:after="0" w:line="172"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spacing w:after="0" w:line="172"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39" w:name="page140"/>
    <w:bookmarkEnd w:id="139"/>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Beginning on February 1, 2025, the Company began subleasing an office space in Barceloneta, Puerto Rico from Cruce Davila Development, LLC. The term of this sublease was month-to-month, and the rent was $12,333 per month. This lease ended on May 31, 2025. On June 1, 2025, the Company renewed the lease for a five-year term, which was recognized as a right-of-use asset with corresponding short-term and long-term lease liabilities in the Company’s financial statements as of that date. The rent expense for the short-term lease expense was $0 and $49,332 for the three and nine months ended September 30, 2025, respectively.</w:t>
      </w:r>
    </w:p>
    <w:p>
      <w:pPr>
        <w:sectPr>
          <w:pgSz w:w="11900" w:h="16838" w:orient="portrait"/>
          <w:cols w:equalWidth="0" w:num="1">
            <w:col w:w="11240"/>
          </w:cols>
          <w:pgMar w:left="320" w:top="841" w:right="33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15 – Accrued Expenses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expenses as of September 30, 2025 and December 31,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costs accrued for Cohen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9305" cy="138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305" cy="1384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9305" cy="130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Credit card expense accrual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month-end liability accrual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708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305" cy="17081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16 – Commitment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2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1,003,500</w:t>
            </w:r>
          </w:p>
        </w:tc>
        <w:tc>
          <w:tcPr>
            <w:tcW w:w="220" w:type="dxa"/>
            <w:vAlign w:val="bottom"/>
          </w:tcPr>
          <w:p>
            <w:pPr>
              <w:spacing w:after="0"/>
              <w:rPr>
                <w:sz w:val="16"/>
                <w:szCs w:val="16"/>
                <w:color w:val="auto"/>
              </w:rPr>
            </w:pPr>
          </w:p>
        </w:tc>
        <w:tc>
          <w:tcPr>
            <w:tcW w:w="24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70,000</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37,676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24,219</w:t>
            </w:r>
          </w:p>
        </w:tc>
      </w:tr>
      <w:tr>
        <w:trPr>
          <w:trHeight w:val="227"/>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1,119,808</w:t>
            </w:r>
          </w:p>
        </w:tc>
        <w:tc>
          <w:tcPr>
            <w:tcW w:w="22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24,219</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580" w:lineRule="exact"/>
        <w:rPr>
          <w:sz w:val="20"/>
          <w:szCs w:val="20"/>
          <w:color w:val="auto"/>
        </w:rPr>
      </w:pPr>
    </w:p>
    <w:p>
      <w:pPr>
        <w:sectPr>
          <w:pgSz w:w="11900" w:h="16838" w:orient="portrait"/>
          <w:cols w:equalWidth="0" w:num="2">
            <w:col w:w="7940" w:space="720"/>
            <w:col w:w="2580"/>
          </w:cols>
          <w:pgMar w:left="320" w:top="841" w:right="339" w:bottom="1440" w:gutter="0" w:footer="0" w:header="0"/>
          <w:type w:val="continuous"/>
        </w:sectPr>
      </w:pPr>
    </w:p>
    <w:p>
      <w:pPr>
        <w:spacing w:after="0" w:line="19"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In response, the Company filed a motion to dismiss several causes of action on October 23, 2025. The Company has requested that the court dismiss all claims in their entirety. The former employee holds 5,000,260 shares of the Company’s Common Stock.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therefore, no amounts have been accrued for a settlement.</w:t>
      </w:r>
    </w:p>
    <w:p>
      <w:pPr>
        <w:spacing w:after="0" w:line="17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17 - Segment Reporting</w:t>
      </w:r>
    </w:p>
    <w:p>
      <w:pPr>
        <w:spacing w:after="0" w:line="219"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Company operates a single reportable segment, which generates revenue primarily from delivering feasibility study reports that help customers understand how data-driven tracking can enhance their business operations. This segment also encompasses exclusivity arrangements with resellers, providing them protection from competitive sales. The focus on this segment reflects the Company’s strategy to leverage its data-driven insights and reseller partnerships to expand market reach and drive sustainable growth.</w:t>
      </w:r>
    </w:p>
    <w:p>
      <w:pPr>
        <w:spacing w:after="0" w:line="172"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condensed consolidated statements of operations. The measure of segment assets is reported on the condensed consolidated balance sheets as total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18 – Income Taxes</w:t>
      </w:r>
    </w:p>
    <w:p>
      <w:pPr>
        <w:spacing w:after="0" w:line="219"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For the three and nine months ended September 30, 2025 and 2024, the Company recorded no income tax expense or benefit due to pre-tax book losses. The Company’s effective tax rate for these periods was 0%, which differs from the statutory federal rate primarily due to the Company’s pre-tax losses that generate deferred tax assets (DTAs) related to net operating loss (NOL) carryforwards. Based on the weight of available evidence, including its cumulative history of operating losses, management has determined that it is more likely than not that these deferred tax assets will not be realized, and therefore continues to maintain a full valuation allowance as of September 30, 2025. As a result, the Company expects to maintain a full valuation allowance for the entire fiscal year, and its estimated annual effective tax rate for 2025 remains 0%. The Company’s deferred tax assets, net of the valuation allowance, were $0 as of September 30, 2025.</w:t>
      </w:r>
    </w:p>
    <w:p>
      <w:pPr>
        <w:spacing w:after="0" w:line="17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condensed consolidated statement of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40" w:name="page141"/>
    <w:bookmarkEnd w:id="140"/>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 As of September 30, 2025, the Company also recorded a $1,977 sales tax receivable under other current assets account.</w:t>
      </w:r>
    </w:p>
    <w:p>
      <w:pPr>
        <w:spacing w:after="0" w:line="172"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nine months ended September 30, 2025 and 2024.</w:t>
      </w:r>
    </w:p>
    <w:p>
      <w:pPr>
        <w:spacing w:after="0" w:line="172"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difference between the effective tax rate of 0% and the U.S. federal statutory rate of 21% for each of the three and nine months ended September 30, 2025 and 2024 was primarily due to changes in deferred tax balances, fully offset by valuation allowances.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19 - Subsequent Events</w:t>
      </w:r>
    </w:p>
    <w:p>
      <w:pPr>
        <w:spacing w:after="0" w:line="219"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On October 13, 2025, in connection with the SEPA executed with New Circle on June 18, 2025, the Company issued a purchase notice to sell 30,000 shares of its Common Stock. The purchase price was settled at $2.6172 per share, resulting in total cash proceeds of $78,516.</w:t>
      </w:r>
    </w:p>
    <w:p>
      <w:pPr>
        <w:spacing w:after="0" w:line="153"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 xml:space="preserve">On October 23, 2025, the Company filed a motion to dismiss several causes of action brought by the terminated founder employee, as disclosed in Note 15,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and requested that the court dismiss all claims filed against the Company in their entirety.</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On October 24, 2025, the Company filed an action for declaratory relief against a former employee who was terminated under the terms of his employment. The filing seeks clarification regarding a dispute over alleged verbal claims related to salary increases and back pay for which no formal contractual agreements exist.</w:t>
      </w:r>
    </w:p>
    <w:p>
      <w:pPr>
        <w:spacing w:after="0" w:line="166"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On October 27, 2025, the Company entered into a non-binding term sheet with an investment firm for the issuance of an $8 million secured promissory note with simple interest at 7% and a 24 month maturity from issuance. The transaction is subject to the execution of a definitive agreement and will include additional terms.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1" w:name="page142"/>
    <w:bookmarkEnd w:id="141"/>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ID, INC. AND SUBSIDIARY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00" w:type="dxa"/>
            <w:vAlign w:val="bottom"/>
            <w:gridSpan w:val="5"/>
          </w:tcPr>
          <w:p>
            <w:pPr>
              <w:jc w:val="center"/>
              <w:ind w:right="2320"/>
              <w:spacing w:after="0"/>
              <w:rPr>
                <w:sz w:val="20"/>
                <w:szCs w:val="20"/>
                <w:color w:val="auto"/>
              </w:rPr>
            </w:pPr>
            <w:r>
              <w:rPr>
                <w:rFonts w:ascii="Times New Roman" w:cs="Times New Roman" w:eastAsia="Times New Roman" w:hAnsi="Times New Roman"/>
                <w:sz w:val="17"/>
                <w:szCs w:val="17"/>
                <w:color w:val="auto"/>
              </w:rPr>
              <w:t>SEE ID, INC. AND SUBSIDIARY</w:t>
            </w:r>
          </w:p>
        </w:tc>
        <w:tc>
          <w:tcPr>
            <w:tcW w:w="1100" w:type="dxa"/>
            <w:vAlign w:val="bottom"/>
          </w:tcPr>
          <w:p>
            <w:pPr>
              <w:spacing w:after="0"/>
              <w:rPr>
                <w:sz w:val="19"/>
                <w:szCs w:val="19"/>
                <w:color w:val="auto"/>
              </w:rPr>
            </w:pPr>
          </w:p>
        </w:tc>
      </w:tr>
      <w:tr>
        <w:trPr>
          <w:trHeight w:val="371"/>
        </w:trPr>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5"/>
          </w:tcPr>
          <w:p>
            <w:pPr>
              <w:jc w:val="center"/>
              <w:ind w:right="2320"/>
              <w:spacing w:after="0"/>
              <w:rPr>
                <w:sz w:val="20"/>
                <w:szCs w:val="20"/>
                <w:color w:val="auto"/>
              </w:rPr>
            </w:pPr>
            <w:r>
              <w:rPr>
                <w:rFonts w:ascii="Times New Roman" w:cs="Times New Roman" w:eastAsia="Times New Roman" w:hAnsi="Times New Roman"/>
                <w:sz w:val="17"/>
                <w:szCs w:val="17"/>
                <w:color w:val="auto"/>
              </w:rPr>
              <w:t>TABLE OF CONTENTS</w:t>
            </w:r>
          </w:p>
        </w:tc>
        <w:tc>
          <w:tcPr>
            <w:tcW w:w="1100" w:type="dxa"/>
            <w:vAlign w:val="bottom"/>
          </w:tcPr>
          <w:p>
            <w:pPr>
              <w:spacing w:after="0"/>
              <w:rPr>
                <w:sz w:val="24"/>
                <w:szCs w:val="24"/>
                <w:color w:val="auto"/>
              </w:rPr>
            </w:pPr>
          </w:p>
        </w:tc>
      </w:tr>
      <w:tr>
        <w:trPr>
          <w:trHeight w:val="447"/>
        </w:trPr>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05"/>
        </w:trPr>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5"/>
        </w:trPr>
        <w:tc>
          <w:tcPr>
            <w:tcW w:w="101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1100" w:type="dxa"/>
            <w:vAlign w:val="bottom"/>
            <w:shd w:val="clear" w:color="auto" w:fill="CCEEFF"/>
          </w:tcPr>
          <w:p>
            <w:pPr>
              <w:spacing w:after="0"/>
              <w:rPr>
                <w:sz w:val="17"/>
                <w:szCs w:val="17"/>
                <w:color w:val="auto"/>
              </w:rPr>
            </w:pPr>
          </w:p>
        </w:tc>
      </w:tr>
      <w:tr>
        <w:trPr>
          <w:trHeight w:val="205"/>
        </w:trPr>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Report of Independent Registered Public Accountant (PCAOB ID: 52)</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F-25</w:t>
            </w:r>
          </w:p>
        </w:tc>
      </w:tr>
      <w:tr>
        <w:trPr>
          <w:trHeight w:val="205"/>
        </w:trPr>
        <w:tc>
          <w:tcPr>
            <w:tcW w:w="16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Report of Independent Registered Public Accountant (PCAOB ID: 392)</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F-26</w:t>
            </w:r>
          </w:p>
        </w:tc>
      </w:tr>
      <w:tr>
        <w:trPr>
          <w:trHeight w:val="205"/>
        </w:trPr>
        <w:tc>
          <w:tcPr>
            <w:tcW w:w="16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Consolidated balance sheets</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F-27 - F-28</w:t>
            </w:r>
          </w:p>
        </w:tc>
      </w:tr>
      <w:tr>
        <w:trPr>
          <w:trHeight w:val="205"/>
        </w:trPr>
        <w:tc>
          <w:tcPr>
            <w:tcW w:w="16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Consolidated statements of operations</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F-29</w:t>
            </w:r>
          </w:p>
        </w:tc>
      </w:tr>
      <w:tr>
        <w:trPr>
          <w:trHeight w:val="205"/>
        </w:trPr>
        <w:tc>
          <w:tcPr>
            <w:tcW w:w="16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Consolidated statements of stockholders’ deficit</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F-30</w:t>
            </w:r>
          </w:p>
        </w:tc>
      </w:tr>
      <w:tr>
        <w:trPr>
          <w:trHeight w:val="205"/>
        </w:trPr>
        <w:tc>
          <w:tcPr>
            <w:tcW w:w="16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F-31</w:t>
            </w:r>
          </w:p>
        </w:tc>
      </w:tr>
      <w:tr>
        <w:trPr>
          <w:trHeight w:val="205"/>
        </w:trPr>
        <w:tc>
          <w:tcPr>
            <w:tcW w:w="16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r>
      <w:tr>
        <w:trPr>
          <w:trHeight w:val="185"/>
        </w:trPr>
        <w:tc>
          <w:tcPr>
            <w:tcW w:w="160" w:type="dxa"/>
            <w:vAlign w:val="bottom"/>
            <w:shd w:val="clear" w:color="auto" w:fill="CCEEFF"/>
          </w:tcPr>
          <w:p>
            <w:pPr>
              <w:spacing w:after="0"/>
              <w:rPr>
                <w:sz w:val="16"/>
                <w:szCs w:val="16"/>
                <w:color w:val="auto"/>
              </w:rPr>
            </w:pPr>
          </w:p>
        </w:tc>
        <w:tc>
          <w:tcPr>
            <w:tcW w:w="9980" w:type="dxa"/>
            <w:vAlign w:val="bottom"/>
            <w:gridSpan w:val="10"/>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F-32 - F-52</w:t>
            </w:r>
          </w:p>
        </w:tc>
      </w:tr>
      <w:tr>
        <w:trPr>
          <w:trHeight w:val="621"/>
        </w:trPr>
        <w:tc>
          <w:tcPr>
            <w:tcW w:w="16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60" w:type="dxa"/>
            <w:vAlign w:val="bottom"/>
            <w:tcBorders>
              <w:top w:val="single" w:sz="8" w:color="CCEEFF"/>
              <w:bottom w:val="single" w:sz="8" w:color="auto"/>
            </w:tcBorders>
            <w:gridSpan w:val="2"/>
          </w:tcPr>
          <w:p>
            <w:pPr>
              <w:jc w:val="center"/>
              <w:ind w:right="3980"/>
              <w:spacing w:after="0"/>
              <w:rPr>
                <w:sz w:val="20"/>
                <w:szCs w:val="20"/>
                <w:color w:val="auto"/>
              </w:rPr>
            </w:pPr>
            <w:r>
              <w:rPr>
                <w:rFonts w:ascii="Times New Roman" w:cs="Times New Roman" w:eastAsia="Times New Roman" w:hAnsi="Times New Roman"/>
                <w:sz w:val="17"/>
                <w:szCs w:val="17"/>
                <w:color w:val="auto"/>
                <w:w w:val="99"/>
              </w:rPr>
              <w:t>F-24</w:t>
            </w:r>
          </w:p>
        </w:tc>
        <w:tc>
          <w:tcPr>
            <w:tcW w:w="1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of SEE ID, Inc. dba Dot Ai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Berkowitz Pollack Brant Advisors + CPAs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25,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of SEE ID,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9"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Emphasis of a Matter Regarding Going Concern</w:t>
      </w:r>
    </w:p>
    <w:p>
      <w:pPr>
        <w:spacing w:after="0" w:line="219"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9"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ind w:firstLine="410"/>
        <w:spacing w:after="0" w:line="260"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Wolf &amp; Company, P.C.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2024, except for Note 10, as to which the date is July 1, 2024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320" w:type="dxa"/>
            <w:vAlign w:val="bottom"/>
            <w:gridSpan w:val="3"/>
            <w:vMerge w:val="continue"/>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9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w:t>
            </w:r>
          </w:p>
        </w:tc>
        <w:tc>
          <w:tcPr>
            <w:tcW w:w="3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721,032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605,760</w:t>
            </w:r>
          </w:p>
        </w:tc>
        <w:tc>
          <w:tcPr>
            <w:tcW w:w="0" w:type="dxa"/>
            <w:vAlign w:val="bottom"/>
          </w:tcPr>
          <w:p>
            <w:pPr>
              <w:spacing w:after="0"/>
              <w:rPr>
                <w:sz w:val="1"/>
                <w:szCs w:val="1"/>
                <w:color w:val="auto"/>
              </w:rPr>
            </w:pPr>
          </w:p>
        </w:tc>
      </w:tr>
      <w:tr>
        <w:trPr>
          <w:trHeight w:val="205"/>
        </w:trPr>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50,264</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4,778</w:t>
            </w:r>
          </w:p>
        </w:tc>
        <w:tc>
          <w:tcPr>
            <w:tcW w:w="0" w:type="dxa"/>
            <w:vAlign w:val="bottom"/>
          </w:tcPr>
          <w:p>
            <w:pPr>
              <w:spacing w:after="0"/>
              <w:rPr>
                <w:sz w:val="1"/>
                <w:szCs w:val="1"/>
                <w:color w:val="auto"/>
              </w:rPr>
            </w:pPr>
          </w:p>
        </w:tc>
      </w:tr>
      <w:tr>
        <w:trPr>
          <w:trHeight w:val="205"/>
        </w:trPr>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Inventory</w:t>
            </w:r>
          </w:p>
        </w:tc>
        <w:tc>
          <w:tcPr>
            <w:tcW w:w="6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65,248</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Advances to supplier</w:t>
            </w:r>
          </w:p>
        </w:tc>
        <w:tc>
          <w:tcPr>
            <w:tcW w:w="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33,576</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6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133,975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155,845</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bottom w:val="single" w:sz="8" w:color="CCEEFF"/>
            </w:tcBorders>
            <w:gridSpan w:val="3"/>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current assets</w:t>
            </w:r>
          </w:p>
        </w:tc>
        <w:tc>
          <w:tcPr>
            <w:tcW w:w="620" w:type="dxa"/>
            <w:vAlign w:val="bottom"/>
            <w:tcBorders>
              <w:top w:val="single" w:sz="8" w:color="CCEEFF"/>
              <w:bottom w:val="single" w:sz="8" w:color="CCEEFF"/>
            </w:tcBorders>
          </w:tcPr>
          <w:p>
            <w:pPr>
              <w:spacing w:after="0"/>
              <w:rPr>
                <w:sz w:val="17"/>
                <w:szCs w:val="17"/>
                <w:color w:val="auto"/>
              </w:rPr>
            </w:pPr>
          </w:p>
        </w:tc>
        <w:tc>
          <w:tcPr>
            <w:tcW w:w="27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1,004,095</w:t>
            </w:r>
          </w:p>
        </w:tc>
        <w:tc>
          <w:tcPr>
            <w:tcW w:w="22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766,383</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32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color w:val="auto"/>
              </w:rPr>
              <w:t>Noncurrent assets:</w:t>
            </w:r>
          </w:p>
        </w:tc>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Right-of-use asset - operating lease</w:t>
            </w:r>
          </w:p>
        </w:tc>
        <w:tc>
          <w:tcPr>
            <w:tcW w:w="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307,892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1,761,396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927,176</w:t>
            </w:r>
          </w:p>
        </w:tc>
        <w:tc>
          <w:tcPr>
            <w:tcW w:w="0" w:type="dxa"/>
            <w:vAlign w:val="bottom"/>
          </w:tcPr>
          <w:p>
            <w:pPr>
              <w:spacing w:after="0"/>
              <w:rPr>
                <w:sz w:val="1"/>
                <w:szCs w:val="1"/>
                <w:color w:val="auto"/>
              </w:rPr>
            </w:pPr>
          </w:p>
        </w:tc>
      </w:tr>
      <w:tr>
        <w:trPr>
          <w:trHeight w:val="238"/>
        </w:trPr>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6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23,389</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bottom w:val="single" w:sz="8" w:color="CCEEFF"/>
            </w:tcBorders>
            <w:gridSpan w:val="3"/>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other assets</w:t>
            </w:r>
          </w:p>
        </w:tc>
        <w:tc>
          <w:tcPr>
            <w:tcW w:w="620" w:type="dxa"/>
            <w:vAlign w:val="bottom"/>
            <w:tcBorders>
              <w:top w:val="single" w:sz="8" w:color="CCEEFF"/>
              <w:bottom w:val="single" w:sz="8" w:color="CCEEFF"/>
            </w:tcBorders>
          </w:tcPr>
          <w:p>
            <w:pPr>
              <w:spacing w:after="0"/>
              <w:rPr>
                <w:sz w:val="17"/>
                <w:szCs w:val="17"/>
                <w:color w:val="auto"/>
              </w:rPr>
            </w:pPr>
          </w:p>
        </w:tc>
        <w:tc>
          <w:tcPr>
            <w:tcW w:w="27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2,092,677</w:t>
            </w:r>
          </w:p>
        </w:tc>
        <w:tc>
          <w:tcPr>
            <w:tcW w:w="22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927,176</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3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3,096,772</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1,693,559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80" w:type="dxa"/>
            <w:vAlign w:val="bottom"/>
            <w:gridSpan w:val="3"/>
            <w:vMerge w:val="restart"/>
          </w:tcPr>
          <w:p>
            <w:pPr>
              <w:ind w:left="2380"/>
              <w:spacing w:after="0"/>
              <w:rPr>
                <w:sz w:val="20"/>
                <w:szCs w:val="20"/>
                <w:color w:val="auto"/>
              </w:rPr>
            </w:pPr>
            <w:r>
              <w:rPr>
                <w:rFonts w:ascii="Times New Roman" w:cs="Times New Roman" w:eastAsia="Times New Roman" w:hAnsi="Times New Roman"/>
                <w:sz w:val="17"/>
                <w:szCs w:val="17"/>
                <w:color w:val="auto"/>
              </w:rPr>
              <w:t>LIABILITIES AND STOCKHOLDERS’ DEFICIT</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7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54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2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3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82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770,276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1,734</w:t>
            </w:r>
          </w:p>
        </w:tc>
        <w:tc>
          <w:tcPr>
            <w:tcW w:w="0" w:type="dxa"/>
            <w:vAlign w:val="bottom"/>
          </w:tcPr>
          <w:p>
            <w:pPr>
              <w:spacing w:after="0"/>
              <w:rPr>
                <w:sz w:val="1"/>
                <w:szCs w:val="1"/>
                <w:color w:val="auto"/>
              </w:rPr>
            </w:pPr>
          </w:p>
        </w:tc>
      </w:tr>
      <w:tr>
        <w:trPr>
          <w:trHeight w:val="205"/>
        </w:trPr>
        <w:tc>
          <w:tcPr>
            <w:tcW w:w="8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24,219</w:t>
            </w:r>
          </w:p>
        </w:tc>
        <w:tc>
          <w:tcPr>
            <w:tcW w:w="3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23,505</w:t>
            </w:r>
          </w:p>
        </w:tc>
        <w:tc>
          <w:tcPr>
            <w:tcW w:w="0" w:type="dxa"/>
            <w:vAlign w:val="bottom"/>
          </w:tcPr>
          <w:p>
            <w:pPr>
              <w:spacing w:after="0"/>
              <w:rPr>
                <w:sz w:val="1"/>
                <w:szCs w:val="1"/>
                <w:color w:val="auto"/>
              </w:rPr>
            </w:pPr>
          </w:p>
        </w:tc>
      </w:tr>
      <w:tr>
        <w:trPr>
          <w:trHeight w:val="205"/>
        </w:trPr>
        <w:tc>
          <w:tcPr>
            <w:tcW w:w="82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Payroll liabilities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246,720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18,868</w:t>
            </w:r>
          </w:p>
        </w:tc>
        <w:tc>
          <w:tcPr>
            <w:tcW w:w="0" w:type="dxa"/>
            <w:vAlign w:val="bottom"/>
          </w:tcPr>
          <w:p>
            <w:pPr>
              <w:spacing w:after="0"/>
              <w:rPr>
                <w:sz w:val="1"/>
                <w:szCs w:val="1"/>
                <w:color w:val="auto"/>
              </w:rPr>
            </w:pPr>
          </w:p>
        </w:tc>
      </w:tr>
      <w:tr>
        <w:trPr>
          <w:trHeight w:val="205"/>
        </w:trPr>
        <w:tc>
          <w:tcPr>
            <w:tcW w:w="8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1,142,643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82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liability, current portion</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36,225</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bottom w:val="single" w:sz="8" w:color="CCEEFF"/>
            </w:tcBorders>
            <w:gridSpan w:val="6"/>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current liabilities</w:t>
            </w:r>
          </w:p>
        </w:tc>
        <w:tc>
          <w:tcPr>
            <w:tcW w:w="4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2,220,083</w:t>
            </w:r>
          </w:p>
        </w:tc>
        <w:tc>
          <w:tcPr>
            <w:tcW w:w="22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44,107</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60" w:type="dxa"/>
            <w:vAlign w:val="bottom"/>
            <w:gridSpan w:val="6"/>
          </w:tcPr>
          <w:p>
            <w:pPr>
              <w:spacing w:after="0" w:line="167" w:lineRule="exact"/>
              <w:rPr>
                <w:sz w:val="20"/>
                <w:szCs w:val="20"/>
                <w:color w:val="auto"/>
              </w:rPr>
            </w:pPr>
            <w:r>
              <w:rPr>
                <w:rFonts w:ascii="Times New Roman" w:cs="Times New Roman" w:eastAsia="Times New Roman" w:hAnsi="Times New Roman"/>
                <w:sz w:val="17"/>
                <w:szCs w:val="17"/>
                <w:color w:val="auto"/>
              </w:rPr>
              <w:t>Long-term liabilities: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SAFE agreements</w:t>
            </w:r>
          </w:p>
        </w:tc>
        <w:tc>
          <w:tcPr>
            <w:tcW w:w="6840" w:type="dxa"/>
            <w:vAlign w:val="bottom"/>
            <w:gridSpan w:val="4"/>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23,334,626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1,570,572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82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liability, net of current portion</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265,413</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bottom w:val="single" w:sz="8" w:color="CCEEFF"/>
            </w:tcBorders>
            <w:gridSpan w:val="6"/>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long-term liabilities</w:t>
            </w:r>
          </w:p>
        </w:tc>
        <w:tc>
          <w:tcPr>
            <w:tcW w:w="4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25,170,611</w:t>
            </w:r>
          </w:p>
        </w:tc>
        <w:tc>
          <w:tcPr>
            <w:tcW w:w="22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4,602,950</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gridSpan w:val="6"/>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27,390,694</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4,647,057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260" w:type="dxa"/>
            <w:vAlign w:val="bottom"/>
            <w:gridSpan w:val="6"/>
          </w:tcPr>
          <w:p>
            <w:pPr>
              <w:spacing w:after="0" w:line="191" w:lineRule="exact"/>
              <w:rPr>
                <w:sz w:val="20"/>
                <w:szCs w:val="20"/>
                <w:color w:val="auto"/>
              </w:rPr>
            </w:pPr>
            <w:r>
              <w:rPr>
                <w:rFonts w:ascii="Times New Roman" w:cs="Times New Roman" w:eastAsia="Times New Roman" w:hAnsi="Times New Roman"/>
                <w:sz w:val="17"/>
                <w:szCs w:val="17"/>
                <w:color w:val="auto"/>
              </w:rPr>
              <w:t>Commitments and contingencies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gridSpan w:val="3"/>
          </w:tcPr>
          <w:p>
            <w:pPr>
              <w:spacing w:after="0" w:line="167" w:lineRule="exact"/>
              <w:rPr>
                <w:sz w:val="20"/>
                <w:szCs w:val="20"/>
                <w:color w:val="auto"/>
              </w:rPr>
            </w:pPr>
            <w:r>
              <w:rPr>
                <w:rFonts w:ascii="Times New Roman" w:cs="Times New Roman" w:eastAsia="Times New Roman" w:hAnsi="Times New Roman"/>
                <w:sz w:val="17"/>
                <w:szCs w:val="17"/>
                <w:color w:val="auto"/>
                <w:w w:val="99"/>
              </w:rPr>
              <w:t>Stockholders’ deficit:</w:t>
            </w:r>
          </w:p>
        </w:tc>
        <w:tc>
          <w:tcPr>
            <w:tcW w:w="678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 $0.0001 par value, 200,000,000 shares authorized; 108,975,000 shares issued and outstanding at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6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2024 and 2023</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108,975</w:t>
            </w:r>
          </w:p>
        </w:tc>
        <w:tc>
          <w:tcPr>
            <w:tcW w:w="0" w:type="dxa"/>
            <w:vAlign w:val="bottom"/>
          </w:tcPr>
          <w:p>
            <w:pPr>
              <w:spacing w:after="0"/>
              <w:rPr>
                <w:sz w:val="1"/>
                <w:szCs w:val="1"/>
                <w:color w:val="auto"/>
              </w:rPr>
            </w:pPr>
          </w:p>
        </w:tc>
      </w:tr>
      <w:tr>
        <w:trPr>
          <w:trHeight w:val="205"/>
        </w:trPr>
        <w:tc>
          <w:tcPr>
            <w:tcW w:w="8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330,366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133,360</w:t>
            </w:r>
          </w:p>
        </w:tc>
        <w:tc>
          <w:tcPr>
            <w:tcW w:w="0" w:type="dxa"/>
            <w:vAlign w:val="bottom"/>
          </w:tcPr>
          <w:p>
            <w:pPr>
              <w:spacing w:after="0"/>
              <w:rPr>
                <w:sz w:val="1"/>
                <w:szCs w:val="1"/>
                <w:color w:val="auto"/>
              </w:rPr>
            </w:pPr>
          </w:p>
        </w:tc>
      </w:tr>
      <w:tr>
        <w:trPr>
          <w:trHeight w:val="238"/>
        </w:trPr>
        <w:tc>
          <w:tcPr>
            <w:tcW w:w="82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(24,733,263)</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(3,195,833)</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bottom w:val="single" w:sz="8" w:color="CCEEFF"/>
            </w:tcBorders>
            <w:gridSpan w:val="6"/>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stockholders’ deficit</w:t>
            </w:r>
          </w:p>
        </w:tc>
        <w:tc>
          <w:tcPr>
            <w:tcW w:w="4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(24,293,922</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(2,953,498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260" w:type="dxa"/>
            <w:vAlign w:val="bottom"/>
            <w:gridSpan w:val="6"/>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3,096,772</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1,693,559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p>
      <w:pPr>
        <w:spacing w:after="0" w:line="198"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color w:val="auto"/>
        </w:rPr>
        <w:t>For the year ended</w:t>
      </w:r>
    </w:p>
    <w:p>
      <w:pPr>
        <w:spacing w:after="0" w:line="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r>
      <w:tr>
        <w:trPr>
          <w:trHeight w:val="205"/>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439,640</w:t>
            </w:r>
          </w:p>
        </w:tc>
        <w:tc>
          <w:tcPr>
            <w:tcW w:w="100" w:type="dxa"/>
            <w:vAlign w:val="bottom"/>
            <w:shd w:val="clear" w:color="auto" w:fill="CCEEFF"/>
          </w:tcPr>
          <w:p>
            <w:pPr>
              <w:spacing w:after="0"/>
              <w:rPr>
                <w:sz w:val="17"/>
                <w:szCs w:val="17"/>
                <w:color w:val="auto"/>
              </w:rPr>
            </w:pPr>
          </w:p>
        </w:tc>
      </w:tr>
      <w:tr>
        <w:trPr>
          <w:trHeight w:val="224"/>
        </w:trPr>
        <w:tc>
          <w:tcPr>
            <w:tcW w:w="5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86,888</w:t>
            </w:r>
          </w:p>
        </w:tc>
      </w:tr>
      <w:tr>
        <w:trPr>
          <w:trHeight w:val="211"/>
        </w:trPr>
        <w:tc>
          <w:tcPr>
            <w:tcW w:w="5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 (loss)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(171,228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5"/>
        </w:trPr>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7"/>
        </w:trPr>
        <w:tc>
          <w:tcPr>
            <w:tcW w:w="584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Operating expenses:</w:t>
            </w:r>
          </w:p>
        </w:tc>
        <w:tc>
          <w:tcPr>
            <w:tcW w:w="2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8"/>
        </w:trPr>
        <w:tc>
          <w:tcPr>
            <w:tcW w:w="9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50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05"/>
        </w:trPr>
        <w:tc>
          <w:tcPr>
            <w:tcW w:w="5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3,588,548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742,041</w:t>
            </w:r>
          </w:p>
        </w:tc>
      </w:tr>
      <w:tr>
        <w:trPr>
          <w:trHeight w:val="205"/>
        </w:trPr>
        <w:tc>
          <w:tcPr>
            <w:tcW w:w="5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2,524,930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449,936</w:t>
            </w:r>
          </w:p>
        </w:tc>
      </w:tr>
      <w:tr>
        <w:trPr>
          <w:trHeight w:val="224"/>
        </w:trPr>
        <w:tc>
          <w:tcPr>
            <w:tcW w:w="5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759,967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837,453</w:t>
            </w:r>
          </w:p>
        </w:tc>
      </w:tr>
      <w:tr>
        <w:trPr>
          <w:trHeight w:val="225"/>
        </w:trPr>
        <w:tc>
          <w:tcPr>
            <w:tcW w:w="584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6,873,445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6"/>
        </w:trPr>
        <w:tc>
          <w:tcPr>
            <w:tcW w:w="5840" w:type="dxa"/>
            <w:vAlign w:val="bottom"/>
            <w:tcBorders>
              <w:bottom w:val="single" w:sz="8" w:color="CCEEFF"/>
            </w:tcBorders>
            <w:gridSpan w:val="3"/>
          </w:tcPr>
          <w:p>
            <w:pPr>
              <w:ind w:left="460"/>
              <w:spacing w:after="0" w:line="191" w:lineRule="exact"/>
              <w:rPr>
                <w:sz w:val="20"/>
                <w:szCs w:val="20"/>
                <w:color w:val="auto"/>
              </w:rPr>
            </w:pPr>
            <w:r>
              <w:rPr>
                <w:rFonts w:ascii="Times New Roman" w:cs="Times New Roman" w:eastAsia="Times New Roman" w:hAnsi="Times New Roman"/>
                <w:sz w:val="17"/>
                <w:szCs w:val="17"/>
                <w:color w:val="auto"/>
              </w:rPr>
              <w:t>Loss from operations</w:t>
            </w:r>
          </w:p>
        </w:tc>
        <w:tc>
          <w:tcPr>
            <w:tcW w:w="2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(7,044,673</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(1,676,678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5"/>
        </w:trPr>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584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color w:val="auto"/>
              </w:rPr>
              <w:t>Other expense:</w:t>
            </w: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
        </w:trPr>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7"/>
        </w:trPr>
        <w:tc>
          <w:tcPr>
            <w:tcW w:w="5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SAFE agreements</w:t>
            </w:r>
          </w:p>
        </w:tc>
        <w:tc>
          <w:tcPr>
            <w:tcW w:w="2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14,492,176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263,239</w:t>
            </w:r>
          </w:p>
        </w:tc>
      </w:tr>
      <w:tr>
        <w:trPr>
          <w:trHeight w:val="26"/>
        </w:trPr>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sectPr>
          <w:pgSz w:w="11900" w:h="16838" w:orient="portrait"/>
          <w:cols w:equalWidth="0" w:num="1">
            <w:col w:w="11240"/>
          </w:cols>
          <w:pgMar w:left="320" w:top="84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Net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 for income taxes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9305" cy="1790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305" cy="17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20"/>
        <w:spacing w:after="0"/>
        <w:tabs>
          <w:tab w:leader="none" w:pos="1720" w:val="left"/>
        </w:tabs>
        <w:rPr>
          <w:sz w:val="20"/>
          <w:szCs w:val="20"/>
          <w:color w:val="auto"/>
        </w:rPr>
      </w:pPr>
      <w:r>
        <w:rPr>
          <w:rFonts w:ascii="Times New Roman" w:cs="Times New Roman" w:eastAsia="Times New Roman" w:hAnsi="Times New Roman"/>
          <w:sz w:val="17"/>
          <w:szCs w:val="17"/>
          <w:color w:val="auto"/>
        </w:rPr>
        <w:t>(21,536,849)</w:t>
      </w:r>
      <w:r>
        <w:rPr>
          <w:sz w:val="20"/>
          <w:szCs w:val="20"/>
          <w:color w:val="auto"/>
        </w:rPr>
        <w:tab/>
      </w:r>
      <w:r>
        <w:rPr>
          <w:rFonts w:ascii="Times New Roman" w:cs="Times New Roman" w:eastAsia="Times New Roman" w:hAnsi="Times New Roman"/>
          <w:sz w:val="17"/>
          <w:szCs w:val="17"/>
          <w:color w:val="auto"/>
        </w:rPr>
        <w:t>(1,939,917)</w:t>
      </w:r>
    </w:p>
    <w:p>
      <w:pPr>
        <w:spacing w:after="0" w:line="27" w:lineRule="exact"/>
        <w:rPr>
          <w:sz w:val="20"/>
          <w:szCs w:val="20"/>
          <w:color w:val="auto"/>
        </w:rPr>
      </w:pPr>
    </w:p>
    <w:p>
      <w:pPr>
        <w:ind w:left="2420" w:hanging="1539"/>
        <w:spacing w:after="0"/>
        <w:tabs>
          <w:tab w:leader="none" w:pos="24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(21,537,430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(1,939,917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157099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7099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841"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8"/>
        </w:trPr>
        <w:tc>
          <w:tcPr>
            <w:tcW w:w="1220" w:type="dxa"/>
            <w:vAlign w:val="bottom"/>
            <w:shd w:val="clear" w:color="auto" w:fill="000000"/>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120" w:type="dxa"/>
            <w:vAlign w:val="bottom"/>
            <w:shd w:val="clear" w:color="auto" w:fill="CCEEFF"/>
          </w:tcPr>
          <w:p>
            <w:pPr>
              <w:spacing w:after="0"/>
              <w:rPr>
                <w:sz w:val="3"/>
                <w:szCs w:val="3"/>
                <w:color w:val="auto"/>
              </w:rPr>
            </w:pPr>
          </w:p>
        </w:tc>
        <w:tc>
          <w:tcPr>
            <w:tcW w:w="30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24"/>
        </w:trPr>
        <w:tc>
          <w:tcPr>
            <w:tcW w:w="55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3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(0.20)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(0.02)</w:t>
            </w:r>
          </w:p>
        </w:tc>
      </w:tr>
      <w:tr>
        <w:trPr>
          <w:trHeight w:val="205"/>
        </w:trPr>
        <w:tc>
          <w:tcPr>
            <w:tcW w:w="1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76"/>
        </w:trPr>
        <w:tc>
          <w:tcPr>
            <w:tcW w:w="558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color w:val="auto"/>
              </w:rPr>
              <w:t>Weighted-average number of shares:</w:t>
            </w:r>
          </w:p>
        </w:tc>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246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312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108,203,788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95,983,188</w:t>
            </w:r>
          </w:p>
        </w:tc>
      </w:tr>
      <w:tr>
        <w:trPr>
          <w:trHeight w:val="26"/>
        </w:trPr>
        <w:tc>
          <w:tcPr>
            <w:tcW w:w="1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880"/>
        <w:spacing w:after="0" w:line="267" w:lineRule="auto"/>
        <w:rPr>
          <w:sz w:val="20"/>
          <w:szCs w:val="20"/>
          <w:color w:val="auto"/>
        </w:rPr>
      </w:pPr>
      <w:r>
        <w:rPr>
          <w:rFonts w:ascii="Times New Roman" w:cs="Times New Roman" w:eastAsia="Times New Roman" w:hAnsi="Times New Roman"/>
          <w:sz w:val="17"/>
          <w:szCs w:val="17"/>
          <w:color w:val="auto"/>
        </w:rPr>
        <w:t>Balances at January 1, 2023 Stock-based compensation Net loss</w:t>
      </w:r>
    </w:p>
    <w:p>
      <w:pPr>
        <w:spacing w:after="0" w:line="1"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7"/>
          <w:szCs w:val="17"/>
          <w:color w:val="auto"/>
        </w:rPr>
        <w:t>Balances at December 31, 2023 Stock-based compensation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at December 31, 2024</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color w:val="auto"/>
        </w:rPr>
        <w:t>Consolidated Statements of Stockholders’ Deficit</w:t>
      </w:r>
    </w:p>
    <w:p>
      <w:pPr>
        <w:spacing w:after="0" w:line="10"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color w:val="auto"/>
        </w:rPr>
        <w:t>For the Years Ended December 31, 2024 and 2023</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Additional</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60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color w:val="auto"/>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Paid-in</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9"/>
              </w:rPr>
              <w:t>Accumulated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3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Shares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Capital</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Deficit</w:t>
            </w:r>
          </w:p>
        </w:tc>
        <w:tc>
          <w:tcPr>
            <w:tcW w:w="180" w:type="dxa"/>
            <w:vAlign w:val="bottom"/>
          </w:tcPr>
          <w:p>
            <w:pPr>
              <w:spacing w:after="0"/>
              <w:rPr>
                <w:sz w:val="19"/>
                <w:szCs w:val="19"/>
                <w:color w:val="auto"/>
              </w:rPr>
            </w:pPr>
          </w:p>
        </w:tc>
        <w:tc>
          <w:tcPr>
            <w:tcW w:w="980" w:type="dxa"/>
            <w:vAlign w:val="bottom"/>
            <w:gridSpan w:val="3"/>
          </w:tcPr>
          <w:p>
            <w:pPr>
              <w:jc w:val="right"/>
              <w:ind w:right="403"/>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108,975,000</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108,975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71,543</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(1,255,916)</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(1,075,398)</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61,817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61,817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(1,939,917)</w:t>
            </w:r>
          </w:p>
        </w:tc>
        <w:tc>
          <w:tcPr>
            <w:tcW w:w="1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(1,939,917)</w:t>
            </w: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108,975,000</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108,975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133,360</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(3,195,833)</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(2,953,498)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197,006</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197,006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(21,537,430)</w:t>
            </w:r>
          </w:p>
        </w:tc>
        <w:tc>
          <w:tcPr>
            <w:tcW w:w="1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(21,537,430)</w:t>
            </w:r>
          </w:p>
        </w:tc>
        <w:tc>
          <w:tcPr>
            <w:tcW w:w="0" w:type="dxa"/>
            <w:vAlign w:val="bottom"/>
          </w:tcPr>
          <w:p>
            <w:pPr>
              <w:spacing w:after="0"/>
              <w:rPr>
                <w:sz w:val="1"/>
                <w:szCs w:val="1"/>
                <w:color w:val="auto"/>
              </w:rPr>
            </w:pPr>
          </w:p>
        </w:tc>
      </w:tr>
      <w:tr>
        <w:trPr>
          <w:trHeight w:val="26"/>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108,975,000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108,975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330,366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(24,733,263</w:t>
            </w:r>
          </w:p>
        </w:tc>
        <w:tc>
          <w:tcPr>
            <w:tcW w:w="220" w:type="dxa"/>
            <w:vAlign w:val="bottom"/>
            <w:vMerge w:val="continue"/>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(24,293,922</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-1024890</wp:posOffset>
            </wp:positionV>
            <wp:extent cx="7139305" cy="138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-756285</wp:posOffset>
            </wp:positionV>
            <wp:extent cx="7139305" cy="146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305" cy="14668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-471805</wp:posOffset>
            </wp:positionV>
            <wp:extent cx="7139305" cy="130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-194945</wp:posOffset>
            </wp:positionV>
            <wp:extent cx="7139305" cy="1708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305" cy="1708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16510</wp:posOffset>
            </wp:positionV>
            <wp:extent cx="713930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2">
            <w:col w:w="2800" w:space="720"/>
            <w:col w:w="7680"/>
          </w:cols>
          <w:pgMar w:left="320" w:top="841" w:right="37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198"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color w:val="auto"/>
        </w:rPr>
        <w:t>For the year ended</w:t>
      </w:r>
    </w:p>
    <w:p>
      <w:pPr>
        <w:spacing w:after="0" w:line="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920" w:type="dxa"/>
            <w:vAlign w:val="bottom"/>
            <w:gridSpan w:val="2"/>
            <w:vMerge w:val="continue"/>
          </w:tcPr>
          <w:p>
            <w:pPr>
              <w:spacing w:after="0"/>
              <w:rPr>
                <w:sz w:val="13"/>
                <w:szCs w:val="13"/>
                <w:color w:val="auto"/>
              </w:rPr>
            </w:pPr>
          </w:p>
        </w:tc>
        <w:tc>
          <w:tcPr>
            <w:tcW w:w="1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540" w:type="dxa"/>
            <w:vAlign w:val="bottom"/>
            <w:tcBorders>
              <w:top w:val="single" w:sz="8" w:color="auto"/>
            </w:tcBorders>
          </w:tcPr>
          <w:p>
            <w:pPr>
              <w:spacing w:after="0"/>
              <w:rPr>
                <w:sz w:val="3"/>
                <w:szCs w:val="3"/>
                <w:color w:val="auto"/>
              </w:rPr>
            </w:pPr>
          </w:p>
        </w:tc>
        <w:tc>
          <w:tcPr>
            <w:tcW w:w="43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(21,537,430)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(1,939,917)</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Adjustments to reconcile net loss to net cash used by operating activities:</w:t>
            </w:r>
          </w:p>
        </w:tc>
        <w:tc>
          <w:tcPr>
            <w:tcW w:w="17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SAFE agreements</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14,492,176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263,239</w:t>
            </w:r>
          </w:p>
        </w:tc>
        <w:tc>
          <w:tcPr>
            <w:tcW w:w="0" w:type="dxa"/>
            <w:vAlign w:val="bottom"/>
          </w:tcPr>
          <w:p>
            <w:pPr>
              <w:spacing w:after="0"/>
              <w:rPr>
                <w:sz w:val="1"/>
                <w:szCs w:val="1"/>
                <w:color w:val="auto"/>
              </w:rPr>
            </w:pPr>
          </w:p>
        </w:tc>
      </w:tr>
      <w:tr>
        <w:trPr>
          <w:trHeight w:val="205"/>
        </w:trPr>
        <w:tc>
          <w:tcPr>
            <w:tcW w:w="69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197,006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61,817</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23,586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payments</w:t>
            </w:r>
          </w:p>
        </w:tc>
        <w:tc>
          <w:tcPr>
            <w:tcW w:w="3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14,103</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3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(45,486)</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108,008</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Inventory</w:t>
            </w:r>
          </w:p>
        </w:tc>
        <w:tc>
          <w:tcPr>
            <w:tcW w:w="3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(65,248)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Advances to supplier</w:t>
            </w:r>
          </w:p>
        </w:tc>
        <w:tc>
          <w:tcPr>
            <w:tcW w:w="3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(33,576)</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Prepaid expenses</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21,870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(155,323)</w:t>
            </w:r>
          </w:p>
        </w:tc>
        <w:tc>
          <w:tcPr>
            <w:tcW w:w="0" w:type="dxa"/>
            <w:vAlign w:val="bottom"/>
          </w:tcPr>
          <w:p>
            <w:pPr>
              <w:spacing w:after="0"/>
              <w:rPr>
                <w:sz w:val="1"/>
                <w:szCs w:val="1"/>
                <w:color w:val="auto"/>
              </w:rPr>
            </w:pPr>
          </w:p>
        </w:tc>
      </w:tr>
      <w:tr>
        <w:trPr>
          <w:trHeight w:val="205"/>
        </w:trPr>
        <w:tc>
          <w:tcPr>
            <w:tcW w:w="6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Other noncurrent assets</w:t>
            </w:r>
          </w:p>
        </w:tc>
        <w:tc>
          <w:tcPr>
            <w:tcW w:w="3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(23,389)</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(10,707)</w:t>
            </w:r>
          </w:p>
        </w:tc>
        <w:tc>
          <w:tcPr>
            <w:tcW w:w="0" w:type="dxa"/>
            <w:vAlign w:val="bottom"/>
          </w:tcPr>
          <w:p>
            <w:pPr>
              <w:spacing w:after="0"/>
              <w:rPr>
                <w:sz w:val="1"/>
                <w:szCs w:val="1"/>
                <w:color w:val="auto"/>
              </w:rPr>
            </w:pPr>
          </w:p>
        </w:tc>
      </w:tr>
      <w:tr>
        <w:trPr>
          <w:trHeight w:val="205"/>
        </w:trPr>
        <w:tc>
          <w:tcPr>
            <w:tcW w:w="6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3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714</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20,207</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Payroll liabilities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(15,827)</w:t>
            </w:r>
          </w:p>
        </w:tc>
        <w:tc>
          <w:tcPr>
            <w:tcW w:w="0" w:type="dxa"/>
            <w:vAlign w:val="bottom"/>
          </w:tcPr>
          <w:p>
            <w:pPr>
              <w:spacing w:after="0"/>
              <w:rPr>
                <w:sz w:val="1"/>
                <w:szCs w:val="1"/>
                <w:color w:val="auto"/>
              </w:rPr>
            </w:pPr>
          </w:p>
        </w:tc>
      </w:tr>
      <w:tr>
        <w:trPr>
          <w:trHeight w:val="205"/>
        </w:trPr>
        <w:tc>
          <w:tcPr>
            <w:tcW w:w="6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Deferred revenue</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2,713,215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6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Lease liabilities</w:t>
            </w:r>
          </w:p>
        </w:tc>
        <w:tc>
          <w:tcPr>
            <w:tcW w:w="3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(43,943)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bottom w:val="single" w:sz="8" w:color="CCEEFF"/>
            </w:tcBorders>
            <w:gridSpan w:val="2"/>
          </w:tcPr>
          <w:p>
            <w:pPr>
              <w:ind w:left="620"/>
              <w:spacing w:after="0" w:line="191" w:lineRule="exact"/>
              <w:rPr>
                <w:sz w:val="20"/>
                <w:szCs w:val="20"/>
                <w:color w:val="auto"/>
              </w:rPr>
            </w:pPr>
            <w:r>
              <w:rPr>
                <w:rFonts w:ascii="Times New Roman" w:cs="Times New Roman" w:eastAsia="Times New Roman" w:hAnsi="Times New Roman"/>
                <w:sz w:val="17"/>
                <w:szCs w:val="17"/>
                <w:color w:val="auto"/>
              </w:rPr>
              <w:t>Total adjustments</w:t>
            </w:r>
          </w:p>
        </w:tc>
        <w:tc>
          <w:tcPr>
            <w:tcW w:w="174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18,247,422</w:t>
            </w:r>
          </w:p>
        </w:tc>
        <w:tc>
          <w:tcPr>
            <w:tcW w:w="2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271,414</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Net cash used by operating activities</w:t>
            </w:r>
          </w:p>
        </w:tc>
        <w:tc>
          <w:tcPr>
            <w:tcW w:w="17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(3,290,008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(1,668,503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841" w:right="339" w:bottom="1440" w:gutter="0" w:footer="0" w:header="0"/>
        </w:sectPr>
      </w:pPr>
    </w:p>
    <w:p>
      <w:pPr>
        <w:spacing w:after="0"/>
        <w:rPr>
          <w:sz w:val="20"/>
          <w:szCs w:val="20"/>
          <w:color w:val="auto"/>
        </w:rPr>
      </w:pPr>
      <w:r>
        <w:rPr>
          <w:rFonts w:ascii="Times New Roman" w:cs="Times New Roman" w:eastAsia="Times New Roman" w:hAnsi="Times New Roman"/>
          <w:sz w:val="17"/>
          <w:szCs w:val="17"/>
          <w:u w:val="single" w:color="auto"/>
          <w:color w:val="auto"/>
        </w:rPr>
        <w:t>Cash flows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9305" cy="146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305" cy="14668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54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305" cy="15494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Proceeds from issuance of SAFE agreements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increase (decrease)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beginning of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9305" cy="1790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305" cy="17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ind w:right="40"/>
        <w:spacing w:after="0"/>
        <w:tabs>
          <w:tab w:leader="none" w:pos="640" w:val="left"/>
        </w:tabs>
        <w:rPr>
          <w:sz w:val="20"/>
          <w:szCs w:val="20"/>
          <w:color w:val="auto"/>
        </w:rPr>
      </w:pPr>
      <w:r>
        <w:rPr>
          <w:rFonts w:ascii="Times New Roman" w:cs="Times New Roman" w:eastAsia="Times New Roman" w:hAnsi="Times New Roman"/>
          <w:sz w:val="17"/>
          <w:szCs w:val="17"/>
          <w:color w:val="auto"/>
        </w:rPr>
        <w:t>(834,220)</w:t>
      </w:r>
      <w:r>
        <w:rPr>
          <w:sz w:val="20"/>
          <w:szCs w:val="20"/>
          <w:color w:val="auto"/>
        </w:rPr>
        <w:tab/>
      </w:r>
      <w:r>
        <w:rPr>
          <w:rFonts w:ascii="Times New Roman" w:cs="Times New Roman" w:eastAsia="Times New Roman" w:hAnsi="Times New Roman"/>
          <w:sz w:val="16"/>
          <w:szCs w:val="16"/>
          <w:color w:val="auto"/>
        </w:rPr>
        <w:t>(672,319)</w:t>
      </w:r>
    </w:p>
    <w:p>
      <w:pPr>
        <w:spacing w:after="0" w:line="200" w:lineRule="exact"/>
        <w:rPr>
          <w:sz w:val="20"/>
          <w:szCs w:val="20"/>
          <w:color w:val="auto"/>
        </w:rPr>
      </w:pPr>
    </w:p>
    <w:p>
      <w:pPr>
        <w:spacing w:after="0" w:line="271" w:lineRule="exact"/>
        <w:rPr>
          <w:sz w:val="20"/>
          <w:szCs w:val="20"/>
          <w:color w:val="auto"/>
        </w:rPr>
      </w:pPr>
    </w:p>
    <w:p>
      <w:pPr>
        <w:ind w:left="460"/>
        <w:spacing w:after="0"/>
        <w:tabs>
          <w:tab w:leader="none" w:pos="1780" w:val="left"/>
        </w:tabs>
        <w:rPr>
          <w:sz w:val="20"/>
          <w:szCs w:val="20"/>
          <w:color w:val="auto"/>
        </w:rPr>
      </w:pPr>
      <w:r>
        <w:rPr>
          <w:rFonts w:ascii="Times New Roman" w:cs="Times New Roman" w:eastAsia="Times New Roman" w:hAnsi="Times New Roman"/>
          <w:sz w:val="17"/>
          <w:szCs w:val="17"/>
          <w:color w:val="auto"/>
        </w:rPr>
        <w:t>4,239,500</w:t>
      </w:r>
      <w:r>
        <w:rPr>
          <w:sz w:val="20"/>
          <w:szCs w:val="20"/>
          <w:color w:val="auto"/>
        </w:rPr>
        <w:tab/>
      </w:r>
      <w:r>
        <w:rPr>
          <w:rFonts w:ascii="Times New Roman" w:cs="Times New Roman" w:eastAsia="Times New Roman" w:hAnsi="Times New Roman"/>
          <w:sz w:val="17"/>
          <w:szCs w:val="17"/>
          <w:color w:val="auto"/>
        </w:rPr>
        <w:t>2,120,000</w:t>
      </w:r>
    </w:p>
    <w:p>
      <w:pPr>
        <w:spacing w:after="0" w:line="240" w:lineRule="exact"/>
        <w:rPr>
          <w:sz w:val="20"/>
          <w:szCs w:val="20"/>
          <w:color w:val="auto"/>
        </w:rPr>
      </w:pPr>
    </w:p>
    <w:p>
      <w:pPr>
        <w:jc w:val="both"/>
        <w:ind w:left="580"/>
        <w:spacing w:after="0"/>
        <w:tabs>
          <w:tab w:leader="none" w:pos="1860" w:val="left"/>
        </w:tabs>
        <w:rPr>
          <w:sz w:val="20"/>
          <w:szCs w:val="20"/>
          <w:color w:val="auto"/>
        </w:rPr>
      </w:pPr>
      <w:r>
        <w:rPr>
          <w:rFonts w:ascii="Times New Roman" w:cs="Times New Roman" w:eastAsia="Times New Roman" w:hAnsi="Times New Roman"/>
          <w:sz w:val="17"/>
          <w:szCs w:val="17"/>
          <w:color w:val="auto"/>
        </w:rPr>
        <w:t>115,272</w:t>
      </w:r>
      <w:r>
        <w:rPr>
          <w:sz w:val="20"/>
          <w:szCs w:val="20"/>
          <w:color w:val="auto"/>
        </w:rPr>
        <w:tab/>
      </w:r>
      <w:r>
        <w:rPr>
          <w:rFonts w:ascii="Times New Roman" w:cs="Times New Roman" w:eastAsia="Times New Roman" w:hAnsi="Times New Roman"/>
          <w:sz w:val="17"/>
          <w:szCs w:val="17"/>
          <w:color w:val="auto"/>
        </w:rPr>
        <w:t>(220,822)</w:t>
      </w:r>
    </w:p>
    <w:p>
      <w:pPr>
        <w:spacing w:after="0" w:line="27" w:lineRule="exact"/>
        <w:rPr>
          <w:sz w:val="20"/>
          <w:szCs w:val="20"/>
          <w:color w:val="auto"/>
        </w:rPr>
      </w:pPr>
    </w:p>
    <w:p>
      <w:pPr>
        <w:ind w:left="580"/>
        <w:spacing w:after="0"/>
        <w:tabs>
          <w:tab w:leader="none" w:pos="1900" w:val="left"/>
        </w:tabs>
        <w:rPr>
          <w:sz w:val="20"/>
          <w:szCs w:val="20"/>
          <w:color w:val="auto"/>
        </w:rPr>
      </w:pPr>
      <w:r>
        <w:rPr>
          <w:rFonts w:ascii="Times New Roman" w:cs="Times New Roman" w:eastAsia="Times New Roman" w:hAnsi="Times New Roman"/>
          <w:sz w:val="17"/>
          <w:szCs w:val="17"/>
          <w:color w:val="auto"/>
        </w:rPr>
        <w:t>605,760</w:t>
      </w:r>
      <w:r>
        <w:rPr>
          <w:sz w:val="20"/>
          <w:szCs w:val="20"/>
          <w:color w:val="auto"/>
        </w:rPr>
        <w:tab/>
      </w:r>
      <w:r>
        <w:rPr>
          <w:rFonts w:ascii="Times New Roman" w:cs="Times New Roman" w:eastAsia="Times New Roman" w:hAnsi="Times New Roman"/>
          <w:sz w:val="17"/>
          <w:szCs w:val="17"/>
          <w:color w:val="auto"/>
        </w:rPr>
        <w:t>826,582</w:t>
      </w:r>
    </w:p>
    <w:p>
      <w:pPr>
        <w:spacing w:after="0" w:line="57" w:lineRule="exact"/>
        <w:rPr>
          <w:sz w:val="20"/>
          <w:szCs w:val="20"/>
          <w:color w:val="auto"/>
        </w:rPr>
      </w:pPr>
    </w:p>
    <w:p>
      <w:pPr>
        <w:spacing w:after="0"/>
        <w:tabs>
          <w:tab w:leader="none" w:pos="560" w:val="left"/>
          <w:tab w:leader="none" w:pos="1340" w:val="left"/>
          <w:tab w:leader="none" w:pos="19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721,032</w:t>
        <w:tab/>
        <w:t>$</w:t>
      </w:r>
      <w:r>
        <w:rPr>
          <w:sz w:val="20"/>
          <w:szCs w:val="20"/>
          <w:color w:val="auto"/>
        </w:rPr>
        <w:tab/>
      </w:r>
      <w:r>
        <w:rPr>
          <w:rFonts w:ascii="Times New Roman" w:cs="Times New Roman" w:eastAsia="Times New Roman" w:hAnsi="Times New Roman"/>
          <w:sz w:val="17"/>
          <w:szCs w:val="17"/>
          <w:color w:val="auto"/>
        </w:rPr>
        <w:t>605,760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157099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099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841" w:right="33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1 - Organization and Description of the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Nature of Operations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SEE ID, Inc. dba Dot AI (“SEE ID”) was incorporated in the state of Nevada on December 8, 2020 to help businesses transform their operations by optimizing safety, security and efficiency of operations through real-time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ID’s corporate headquarters is in Las Vegas, Nevada and SEE ID has offices in Massachusetts and Maryland.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Principles of Consolidation:</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of Presentation</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accompanying consolidated financial statements of the Company have been prepared in conformity with accounting principles generally accepted in the United States of America (“US GAAP”).</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Going Concern</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Risks and Uncertainties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2 -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Use of Estimates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Accounts Receivable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Accounts receivable are derived from customers located primarily in North America. The Company generally does not require collateral to support customer receivables.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Inventory</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Advances to supplier are adjusted against the final amounts due upon shipment of the related products to the Company and are expected to be utilized within one year.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Prepaid Expenses:</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Prepaid expenses are amounts paid to secure the use of assets or the receipt of services at a future date or continuously over one or more future periods. When the prepaid expenses are consumed, they are charged to expense.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Software Development Costs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accordance with Financial Accounting Standards Board (“FASB”) Accounting Standards Codification (“ASC”) Topic 350-40, </w:t>
      </w:r>
      <w:r>
        <w:rPr>
          <w:rFonts w:ascii="Times New Roman" w:cs="Times New Roman" w:eastAsia="Times New Roman" w:hAnsi="Times New Roman"/>
          <w:sz w:val="17"/>
          <w:szCs w:val="17"/>
          <w:i w:val="1"/>
          <w:iCs w:val="1"/>
          <w:color w:val="auto"/>
        </w:rPr>
        <w:t>Intangibles-Goodwill and Other-Internal-Use Software</w:t>
      </w:r>
      <w:r>
        <w:rPr>
          <w:rFonts w:ascii="Times New Roman" w:cs="Times New Roman" w:eastAsia="Times New Roman" w:hAnsi="Times New Roman"/>
          <w:sz w:val="17"/>
          <w:szCs w:val="17"/>
          <w:color w:val="auto"/>
        </w:rPr>
        <w:t>, the Company capitalizes software development costs incurred on new applications or enhancements to applications during the application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Impairment of Long-Lived Assets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Leases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and measures its leases in accordance with FASB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FASB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The Company primarily recognizes revenue from the delivery of subscription services and related professional services through a hosted cloud (SaaS) environment. Arrangements for services generally have terms of one year or less.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Deferred revenue consists of payments received in advance of satisfaction of a performance obligation and is recognized as the performance obligations are satisfied.</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Stock-Based Compensation</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The Company applies FASB ASC 718,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when recording stock-based compensation. The fair value of each stock option award is estimated on the date of grant using the Black-Scholes option valuation model. The assumptions used in the Black-Scholes valuation model are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Grant Price </w:t>
      </w:r>
      <w:r>
        <w:rPr>
          <w:rFonts w:ascii="Times New Roman" w:cs="Times New Roman" w:eastAsia="Times New Roman" w:hAnsi="Times New Roman"/>
          <w:sz w:val="17"/>
          <w:szCs w:val="17"/>
          <w:color w:val="auto"/>
        </w:rPr>
        <w:t>- The grant price of the issuances is determined based on the estimated fair value of the shares at the date of grant.</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for periods within the contractual life of the option is based on the U.S. Treasury yield in effect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Expected Lives </w:t>
      </w:r>
      <w:r>
        <w:rPr>
          <w:rFonts w:ascii="Times New Roman" w:cs="Times New Roman" w:eastAsia="Times New Roman" w:hAnsi="Times New Roman"/>
          <w:sz w:val="17"/>
          <w:szCs w:val="17"/>
          <w:color w:val="auto"/>
        </w:rPr>
        <w:t>- Due to the Company’s insufficient history of option activity, management utilizes the simplified approach to estimate the options’ expected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represents the period of time that options granted are expected to be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Determined based on management’s estimate or historical volatilities of comparable companies.</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Based on current yield at the grant date or the average dividend yield over the historical period. The Company has never declared or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dividends and has no plans to do so in the foreseeable future.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Research and Development Costs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Advertising</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expenses advertising costs as incurred. For the years ended December 31, 2024 and 2023, advertising expenses totaled $818,538 and $47,850,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FASB ASC Topic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three levels of the fair value hierarchy under ASC 820 are described as follows: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 Pricing inputs are unadjusted quoted prices available in active markets for identical assets or liabilities at the reporting date.</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Level 3 - Pricing inputs are unobservable, supported by little or no market activity, and reflect the reporting entity’s own assumptions about the assumptions market participants would use in pricing the asset or liability.</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Recently Issued Accounting Pronouncements: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November 2023, the FASB issued Accounting Standards Update (“ASU”) No. 2023-07 (“ASU 2023-07”), </w:t>
      </w:r>
      <w:r>
        <w:rPr>
          <w:rFonts w:ascii="Times New Roman" w:cs="Times New Roman" w:eastAsia="Times New Roman" w:hAnsi="Times New Roman"/>
          <w:sz w:val="17"/>
          <w:szCs w:val="17"/>
          <w:i w:val="1"/>
          <w:iCs w:val="1"/>
          <w:color w:val="auto"/>
        </w:rPr>
        <w:t>Segment Reporting (Topic 280):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Reportable Segment Disclosures, </w:t>
      </w:r>
      <w:r>
        <w:rPr>
          <w:rFonts w:ascii="Times New Roman" w:cs="Times New Roman" w:eastAsia="Times New Roman" w:hAnsi="Times New Roman"/>
          <w:sz w:val="17"/>
          <w:szCs w:val="17"/>
          <w:color w:val="auto"/>
        </w:rPr>
        <w:t>to enhance disclosures about significant segment expenses for public entities reporting segment information under FASB ASC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3 - Concentrations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Concentration of Credit Risk Arising From Cash Deposits in Excess of Insured Limits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Significant Customers: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Significant Vendor:</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4 - Capitalized Software Development Costs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years ended December 31, 2024 and 2023, SEE ID capitalized software development costs totaling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5 - SAFE Agreements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spacing w:after="0" w:line="162" w:lineRule="exact"/>
        <w:rPr>
          <w:sz w:val="20"/>
          <w:szCs w:val="20"/>
          <w:color w:val="auto"/>
        </w:rPr>
      </w:pPr>
    </w:p>
    <w:p>
      <w:pPr>
        <w:ind w:left="620" w:hanging="2"/>
        <w:spacing w:after="0" w:line="289" w:lineRule="auto"/>
        <w:tabs>
          <w:tab w:leader="none" w:pos="79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Equity Financing </w:t>
      </w:r>
      <w:r>
        <w:rPr>
          <w:rFonts w:ascii="Times New Roman" w:cs="Times New Roman" w:eastAsia="Times New Roman" w:hAnsi="Times New Roman"/>
          <w:sz w:val="17"/>
          <w:szCs w:val="17"/>
          <w:color w:val="auto"/>
        </w:rPr>
        <w:t>- the SAFE agreements will automatically convert into the number of shares of Safe Preferred Stock equal to the Purchase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divided by the Discount Price with certain SAFE agreements subject to a post-money valuation cap of $30,000,000.</w:t>
      </w:r>
    </w:p>
    <w:p>
      <w:pPr>
        <w:spacing w:after="0" w:line="144" w:lineRule="exact"/>
        <w:rPr>
          <w:rFonts w:ascii="Times New Roman" w:cs="Times New Roman" w:eastAsia="Times New Roman" w:hAnsi="Times New Roman"/>
          <w:sz w:val="17"/>
          <w:szCs w:val="17"/>
          <w:color w:val="auto"/>
        </w:rPr>
      </w:pPr>
    </w:p>
    <w:p>
      <w:pPr>
        <w:jc w:val="both"/>
        <w:ind w:left="620" w:hanging="2"/>
        <w:spacing w:after="0" w:line="270" w:lineRule="auto"/>
        <w:tabs>
          <w:tab w:leader="none" w:pos="80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Liquidity Event </w:t>
      </w:r>
      <w:r>
        <w:rPr>
          <w:rFonts w:ascii="Times New Roman" w:cs="Times New Roman" w:eastAsia="Times New Roman" w:hAnsi="Times New Roman"/>
          <w:sz w:val="17"/>
          <w:szCs w:val="17"/>
          <w:color w:val="auto"/>
        </w:rPr>
        <w:t>- the SAFE agreements will automatically be entitled to receive a portion of Proceeds, due and payable to the investor immediately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or concurrent with, the consummation of such Liquidity Event, equal to the greater of (i) the Purchase Amount (the “Cash-Out Amount”) or (ii) the amount payable on the number of shares of Common Stock equal to the Purchase Amount divided by the Liquidity Price.</w:t>
      </w:r>
    </w:p>
    <w:p>
      <w:pPr>
        <w:spacing w:after="0" w:line="160" w:lineRule="exact"/>
        <w:rPr>
          <w:rFonts w:ascii="Times New Roman" w:cs="Times New Roman" w:eastAsia="Times New Roman" w:hAnsi="Times New Roman"/>
          <w:sz w:val="17"/>
          <w:szCs w:val="17"/>
          <w:color w:val="auto"/>
        </w:rPr>
      </w:pPr>
    </w:p>
    <w:p>
      <w:pPr>
        <w:ind w:left="620" w:hanging="2"/>
        <w:spacing w:after="0" w:line="289" w:lineRule="auto"/>
        <w:tabs>
          <w:tab w:leader="none" w:pos="79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Dissolution Event </w:t>
      </w:r>
      <w:r>
        <w:rPr>
          <w:rFonts w:ascii="Times New Roman" w:cs="Times New Roman" w:eastAsia="Times New Roman" w:hAnsi="Times New Roman"/>
          <w:sz w:val="17"/>
          <w:szCs w:val="17"/>
          <w:color w:val="auto"/>
        </w:rPr>
        <w:t>- the Investor will automatically be entitled to receive a portion of Proceeds equal to the Cash-Out Amount, due and payable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 immediately prior to the consummation of the Dissolution Event.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 of these events had occurred at December 31, 2024, and the SAFE agreements remained outstanding.</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accordance with FASB ASC 815-40, </w:t>
      </w:r>
      <w:r>
        <w:rPr>
          <w:rFonts w:ascii="Times New Roman" w:cs="Times New Roman" w:eastAsia="Times New Roman" w:hAnsi="Times New Roman"/>
          <w:sz w:val="17"/>
          <w:szCs w:val="17"/>
          <w:i w:val="1"/>
          <w:iCs w:val="1"/>
          <w:color w:val="auto"/>
        </w:rPr>
        <w:t>Contracts in Entity’s Own Equity</w:t>
      </w:r>
      <w:r>
        <w:rPr>
          <w:rFonts w:ascii="Times New Roman" w:cs="Times New Roman" w:eastAsia="Times New Roman" w:hAnsi="Times New Roman"/>
          <w:sz w:val="17"/>
          <w:szCs w:val="17"/>
          <w:color w:val="auto"/>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probability-weighted expected return method. During the years ended December 31, 2024 and 2023, SEE ID issued additional SAFE agreements to investors totaling $4,239,500 and $2,120,000, and the change in the fair value of the SAFE agreements was $14,492,176 and $263,239,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 agreements activity for the years ended December 31, 2024 and 2023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r>
      <w:tr>
        <w:trPr>
          <w:trHeight w:val="20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SAFE agreements at fair value, beginning of year</w:t>
            </w: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2,219,711</w:t>
            </w:r>
          </w:p>
        </w:tc>
        <w:tc>
          <w:tcPr>
            <w:tcW w:w="100" w:type="dxa"/>
            <w:vAlign w:val="bottom"/>
            <w:shd w:val="clear" w:color="auto" w:fill="CCEEFF"/>
          </w:tcPr>
          <w:p>
            <w:pPr>
              <w:spacing w:after="0"/>
              <w:rPr>
                <w:sz w:val="17"/>
                <w:szCs w:val="17"/>
                <w:color w:val="auto"/>
              </w:rPr>
            </w:pP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Plus: SAFE agreements issued for cash</w:t>
            </w: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4,239,500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2,120,000</w:t>
            </w:r>
          </w:p>
        </w:tc>
        <w:tc>
          <w:tcPr>
            <w:tcW w:w="100" w:type="dxa"/>
            <w:vAlign w:val="bottom"/>
          </w:tcPr>
          <w:p>
            <w:pPr>
              <w:spacing w:after="0"/>
              <w:rPr>
                <w:sz w:val="17"/>
                <w:szCs w:val="17"/>
                <w:color w:val="auto"/>
              </w:rPr>
            </w:pPr>
          </w:p>
        </w:tc>
      </w:tr>
      <w:tr>
        <w:trPr>
          <w:trHeight w:val="23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 Change in fair value</w:t>
            </w:r>
          </w:p>
        </w:tc>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14,492,176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263,239</w:t>
            </w:r>
          </w:p>
        </w:tc>
      </w:tr>
      <w:tr>
        <w:trPr>
          <w:trHeight w:val="222"/>
        </w:trPr>
        <w:tc>
          <w:tcPr>
            <w:tcW w:w="4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SAFE agreements at fair value, end of year</w:t>
            </w:r>
          </w:p>
        </w:tc>
        <w:tc>
          <w:tcPr>
            <w:tcW w:w="4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23,334,626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4,602,950</w:t>
            </w:r>
          </w:p>
        </w:tc>
        <w:tc>
          <w:tcPr>
            <w:tcW w:w="100" w:type="dxa"/>
            <w:vAlign w:val="bottom"/>
            <w:tcBorders>
              <w:top w:val="single" w:sz="8" w:color="CCEEFF"/>
            </w:tcBorders>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9"/>
        </w:trPr>
        <w:tc>
          <w:tcPr>
            <w:tcW w:w="44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right"/>
              <w:ind w:right="3035"/>
              <w:spacing w:after="0"/>
              <w:rPr>
                <w:sz w:val="20"/>
                <w:szCs w:val="20"/>
                <w:color w:val="auto"/>
              </w:rPr>
            </w:pPr>
            <w:r>
              <w:rPr>
                <w:rFonts w:ascii="Times New Roman" w:cs="Times New Roman" w:eastAsia="Times New Roman" w:hAnsi="Times New Roman"/>
                <w:sz w:val="17"/>
                <w:szCs w:val="17"/>
                <w:color w:val="auto"/>
              </w:rPr>
              <w:t>F-42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6 - Common Stock</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SEE ID is authorized to issue 200,000,000 shares of common stock at $0.001 par value, comprised of (i) 165,000,000 shares of Class A Common Stock (voting) and (ii) 35,000,000 shares of Class B Common Stock (non-voting).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2024 and 2023, SEE ID had 108,975,000 shares of Class A Common Stock issued and outstanding.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7 - Equity Incentive Plan</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2024, SEE ID granted stock options to purchase 86,700 shares of its common stock at an exercise price of $0.70 per share, which 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 (in years)</w:t>
            </w:r>
          </w:p>
        </w:tc>
        <w:tc>
          <w:tcPr>
            <w:tcW w:w="60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5.75</w:t>
            </w: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Average volatility</w:t>
            </w:r>
          </w:p>
        </w:tc>
        <w:tc>
          <w:tcPr>
            <w:tcW w:w="6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rates</w:t>
            </w:r>
          </w:p>
        </w:tc>
        <w:tc>
          <w:tcPr>
            <w:tcW w:w="60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602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grant date calculated fair value</w:t>
            </w:r>
          </w:p>
        </w:tc>
        <w:tc>
          <w:tcPr>
            <w:tcW w:w="60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0.51</w:t>
            </w:r>
          </w:p>
        </w:tc>
      </w:tr>
      <w:tr>
        <w:trPr>
          <w:trHeight w:val="621"/>
        </w:trPr>
        <w:tc>
          <w:tcPr>
            <w:tcW w:w="44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jc w:val="right"/>
              <w:ind w:right="4575"/>
              <w:spacing w:after="0"/>
              <w:rPr>
                <w:sz w:val="20"/>
                <w:szCs w:val="20"/>
                <w:color w:val="auto"/>
              </w:rPr>
            </w:pPr>
            <w:r>
              <w:rPr>
                <w:rFonts w:ascii="Times New Roman" w:cs="Times New Roman" w:eastAsia="Times New Roman" w:hAnsi="Times New Roman"/>
                <w:sz w:val="17"/>
                <w:szCs w:val="17"/>
                <w:color w:val="auto"/>
              </w:rPr>
              <w:t>F-43</w:t>
            </w: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Stock option activity for the years ended December 31, 2024 and 2023, is as follows: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3"/>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Weighted-</w:t>
            </w:r>
          </w:p>
        </w:tc>
      </w:tr>
      <w:tr>
        <w:trPr>
          <w:trHeight w:val="205"/>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Average</w:t>
            </w:r>
          </w:p>
        </w:tc>
      </w:tr>
      <w:tr>
        <w:trPr>
          <w:trHeight w:val="205"/>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7"/>
              </w:rPr>
              <w:t>Weighted-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Remaining</w:t>
            </w:r>
          </w:p>
        </w:tc>
      </w:tr>
      <w:tr>
        <w:trPr>
          <w:trHeight w:val="205"/>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Average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Contractual</w:t>
            </w:r>
          </w:p>
        </w:tc>
      </w:tr>
      <w:tr>
        <w:trPr>
          <w:trHeight w:val="227"/>
        </w:trPr>
        <w:tc>
          <w:tcPr>
            <w:tcW w:w="7320" w:type="dxa"/>
            <w:vAlign w:val="bottom"/>
          </w:tcPr>
          <w:p>
            <w:pPr>
              <w:spacing w:after="0"/>
              <w:rPr>
                <w:sz w:val="19"/>
                <w:szCs w:val="19"/>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Shares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Exercise Price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Life (in years)</w:t>
            </w:r>
          </w:p>
        </w:tc>
      </w:tr>
      <w:tr>
        <w:trPr>
          <w:trHeight w:val="205"/>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13,060,760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0.010</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Options cancelled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13,460,760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0.010</w:t>
            </w:r>
          </w:p>
        </w:tc>
        <w:tc>
          <w:tcPr>
            <w:tcW w:w="2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8.29</w:t>
            </w:r>
          </w:p>
        </w:tc>
      </w:tr>
      <w:tr>
        <w:trPr>
          <w:trHeight w:val="205"/>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Adjustment to options outstanding*</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11,455,000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0.003</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86,700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0.70</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cancelled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6"/>
        </w:trPr>
        <w:tc>
          <w:tcPr>
            <w:tcW w:w="7320" w:type="dxa"/>
            <w:vAlign w:val="bottom"/>
            <w:tcBorders>
              <w:top w:val="single" w:sz="8" w:color="CCEEFF"/>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color w:val="auto"/>
              </w:rPr>
              <w:t>Options outstanding at December 31, 2024</w:t>
            </w: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25,002,460</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bottom w:val="single" w:sz="8" w:color="CCEEF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0.009</w:t>
            </w:r>
          </w:p>
        </w:tc>
        <w:tc>
          <w:tcPr>
            <w:tcW w:w="240" w:type="dxa"/>
            <w:vAlign w:val="bottom"/>
            <w:tcBorders>
              <w:top w:val="single" w:sz="8" w:color="CCEEFF"/>
              <w:bottom w:val="single" w:sz="8" w:color="CCEEFF"/>
            </w:tcBorders>
          </w:tcPr>
          <w:p>
            <w:pPr>
              <w:spacing w:after="0"/>
              <w:rPr>
                <w:sz w:val="17"/>
                <w:szCs w:val="17"/>
                <w:color w:val="auto"/>
              </w:rPr>
            </w:pPr>
          </w:p>
        </w:tc>
        <w:tc>
          <w:tcPr>
            <w:tcW w:w="1200" w:type="dxa"/>
            <w:vAlign w:val="bottom"/>
            <w:tcBorders>
              <w:top w:val="single" w:sz="8" w:color="CCEEFF"/>
              <w:bottom w:val="single" w:sz="8" w:color="CCEEFF"/>
            </w:tcBorders>
            <w:gridSpan w:val="2"/>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6.22</w:t>
            </w: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(i.e., exercisable)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22,615,760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0.006</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6.63</w:t>
            </w:r>
          </w:p>
        </w:tc>
      </w:tr>
    </w:tbl>
    <w:p>
      <w:pPr>
        <w:spacing w:after="0" w:line="189" w:lineRule="exact"/>
        <w:rPr>
          <w:sz w:val="20"/>
          <w:szCs w:val="20"/>
          <w:color w:val="auto"/>
        </w:rPr>
      </w:pPr>
    </w:p>
    <w:p>
      <w:pPr>
        <w:jc w:val="both"/>
        <w:ind w:left="320" w:hanging="317"/>
        <w:spacing w:after="0" w:line="262" w:lineRule="auto"/>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At December 31, 2024, there was a total of approximately $47,000 of unrecognized stock-based compensation cost relating to outstanding stock options, which is expected to be recognized over a weighted-average period of 1.25 years.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Restricted Stock Awards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years ended December 31, 2024 and 2023, SEE ID did not grant any restricted stock awards.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2024 and 2023, unvested restricted stock awards granted amounted to zero and 3,115,625, respectively.</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2024, there was no unrecognized stock-based compensation costs relating to restricted stock awards.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Note 8 - Income Taxes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4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Income tax expense (benefit) consisted of the following for the years ended December 31:</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w w:val="99"/>
              </w:rPr>
              <w:t>Current tax expense:</w:t>
            </w:r>
          </w:p>
        </w:tc>
        <w:tc>
          <w:tcPr>
            <w:tcW w:w="6000" w:type="dxa"/>
            <w:vAlign w:val="bottom"/>
            <w:gridSpan w:val="3"/>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14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bottom w:val="single" w:sz="8" w:color="CCEEFF"/>
            </w:tcBorders>
            <w:gridSpan w:val="5"/>
          </w:tcPr>
          <w:p>
            <w:pPr>
              <w:ind w:left="320"/>
              <w:spacing w:after="0" w:line="191" w:lineRule="exact"/>
              <w:rPr>
                <w:sz w:val="20"/>
                <w:szCs w:val="20"/>
                <w:color w:val="auto"/>
              </w:rPr>
            </w:pPr>
            <w:r>
              <w:rPr>
                <w:rFonts w:ascii="Times New Roman" w:cs="Times New Roman" w:eastAsia="Times New Roman" w:hAnsi="Times New Roman"/>
                <w:sz w:val="17"/>
                <w:szCs w:val="17"/>
                <w:color w:val="auto"/>
              </w:rPr>
              <w:t>Current provision for income taxes</w:t>
            </w:r>
          </w:p>
        </w:tc>
        <w:tc>
          <w:tcPr>
            <w:tcW w:w="124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581</w:t>
            </w:r>
          </w:p>
        </w:tc>
        <w:tc>
          <w:tcPr>
            <w:tcW w:w="2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w w:val="99"/>
              </w:rPr>
              <w:t>Deferred taxes:</w:t>
            </w:r>
          </w:p>
        </w:tc>
        <w:tc>
          <w:tcPr>
            <w:tcW w:w="6360" w:type="dxa"/>
            <w:vAlign w:val="bottom"/>
            <w:tcBorders>
              <w:bottom w:val="single" w:sz="8" w:color="CCEEFF"/>
            </w:tcBorders>
            <w:gridSpan w:val="4"/>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14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4,045,818</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397,951</w:t>
            </w: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27,676</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10,338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(4,161,621)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(425,627)</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bottom w:val="single" w:sz="8" w:color="CCEEFF"/>
            </w:tcBorders>
            <w:gridSpan w:val="5"/>
          </w:tcPr>
          <w:p>
            <w:pPr>
              <w:ind w:left="320"/>
              <w:spacing w:after="0" w:line="191" w:lineRule="exact"/>
              <w:rPr>
                <w:sz w:val="20"/>
                <w:szCs w:val="20"/>
                <w:color w:val="auto"/>
              </w:rPr>
            </w:pPr>
            <w:r>
              <w:rPr>
                <w:rFonts w:ascii="Times New Roman" w:cs="Times New Roman" w:eastAsia="Times New Roman" w:hAnsi="Times New Roman"/>
                <w:sz w:val="17"/>
                <w:szCs w:val="17"/>
                <w:color w:val="auto"/>
              </w:rPr>
              <w:t>Deferred provision for income taxes</w:t>
            </w:r>
          </w:p>
        </w:tc>
        <w:tc>
          <w:tcPr>
            <w:tcW w:w="124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2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income tax expense</w:t>
            </w:r>
          </w:p>
        </w:tc>
        <w:tc>
          <w:tcPr>
            <w:tcW w:w="14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581</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0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taxes consist of the following at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Deferred tax asset (liability):</w:t>
            </w:r>
          </w:p>
        </w:tc>
        <w:tc>
          <w:tcPr>
            <w:tcW w:w="1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420" w:type="dxa"/>
            <w:vAlign w:val="bottom"/>
            <w:gridSpan w:val="5"/>
            <w:vMerge w:val="continue"/>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0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5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Accrual to cash adjustment</w:t>
            </w:r>
          </w:p>
        </w:tc>
        <w:tc>
          <w:tcPr>
            <w:tcW w:w="14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729,287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Charitable contributions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SAFE agreements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3,106,508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R&amp;D expenditures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255,835</w:t>
            </w: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R&amp;D tax credit carryovers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43,669</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Right-of-use asset</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(65,999)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liability</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56,893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Stock options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55,481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 net operating loss carryforwards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343,123</w:t>
            </w:r>
          </w:p>
        </w:tc>
        <w:tc>
          <w:tcPr>
            <w:tcW w:w="0" w:type="dxa"/>
            <w:vAlign w:val="bottom"/>
          </w:tcPr>
          <w:p>
            <w:pPr>
              <w:spacing w:after="0"/>
              <w:rPr>
                <w:sz w:val="1"/>
                <w:szCs w:val="1"/>
                <w:color w:val="auto"/>
              </w:rPr>
            </w:pPr>
          </w:p>
        </w:tc>
      </w:tr>
      <w:tr>
        <w:trPr>
          <w:trHeight w:val="205"/>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Foreign net operating loss carryforwards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10,338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 net operating loss carryforwards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4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Valuation allowance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(4,804,357)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(642,736)</w:t>
            </w:r>
          </w:p>
        </w:tc>
        <w:tc>
          <w:tcPr>
            <w:tcW w:w="0" w:type="dxa"/>
            <w:vAlign w:val="bottom"/>
          </w:tcPr>
          <w:p>
            <w:pPr>
              <w:spacing w:after="0"/>
              <w:rPr>
                <w:sz w:val="1"/>
                <w:szCs w:val="1"/>
                <w:color w:val="auto"/>
              </w:rPr>
            </w:pPr>
          </w:p>
        </w:tc>
      </w:tr>
      <w:tr>
        <w:trPr>
          <w:trHeight w:val="26"/>
        </w:trPr>
        <w:tc>
          <w:tcPr>
            <w:tcW w:w="7420" w:type="dxa"/>
            <w:vAlign w:val="bottom"/>
            <w:gridSpan w:val="5"/>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deferred taxes</w:t>
            </w:r>
          </w:p>
        </w:tc>
        <w:tc>
          <w:tcPr>
            <w:tcW w:w="1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gridSpan w:val="5"/>
            <w:vMerge w:val="continue"/>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At December 31, 2024 and 2023, the Company had available net research and development tax credit carryforwards amounting to approximately $239,000 and $44,000, respectively, for state tax purposes that do not expire.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December 31, 2024 and 2023, the Company has generated net operating loss (“NOL”) carryforwards for federal tax purposes of approximately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recognizes interest and penalties related to income tax matters in interest expense and general and administrative, respectively. At December 31, 2024 and 2023, the Company has no accrued interest and penalties.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is subject to taxation in the U.S. federal jurisdiction, various state jurisdictions and in Puerto Rico. The Company is currently not under examination by any tax authority.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9 - Net Loss Per Share</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Earnings per share accounting requires the presentation of both basic and diluted earnings per share on the face of the consolidated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10 - Leases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sectPr>
          <w:pgSz w:w="11900" w:h="16838" w:orient="portrait"/>
          <w:cols w:equalWidth="0" w:num="1">
            <w:col w:w="11240"/>
          </w:cols>
          <w:pgMar w:left="320" w:top="841" w:right="339" w:bottom="1440"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were as follows for the year ended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 (cost resulting from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9305" cy="154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305" cy="1549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Variable lease cost (cost excluded from lease payments)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lease cost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is as follows for the year ended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 Operating cash flows (fixed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9305" cy="130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 Operating cash flows (liability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9305" cy="130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Operating lease - Change in ROU asset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lease liabilities -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9305" cy="130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New ROU asset - Operating lease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operating lease asset and liabilities recorded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665" w:hanging="665"/>
        <w:spacing w:after="0"/>
        <w:tabs>
          <w:tab w:leader="none" w:pos="66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43,106</w:t>
      </w:r>
    </w:p>
    <w:p>
      <w:pPr>
        <w:spacing w:after="0" w:line="26" w:lineRule="exact"/>
        <w:rPr>
          <w:rFonts w:ascii="Times New Roman" w:cs="Times New Roman" w:eastAsia="Times New Roman" w:hAnsi="Times New Roman"/>
          <w:sz w:val="17"/>
          <w:szCs w:val="17"/>
          <w:color w:val="auto"/>
        </w:rPr>
      </w:pPr>
    </w:p>
    <w:p>
      <w:pPr>
        <w:ind w:left="6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31,470</w:t>
      </w:r>
    </w:p>
    <w:p>
      <w:pPr>
        <w:spacing w:after="0" w:line="9" w:lineRule="exact"/>
        <w:rPr>
          <w:rFonts w:ascii="Times New Roman" w:cs="Times New Roman" w:eastAsia="Times New Roman" w:hAnsi="Times New Roman"/>
          <w:sz w:val="17"/>
          <w:szCs w:val="17"/>
          <w:color w:val="auto"/>
        </w:rPr>
      </w:pPr>
    </w:p>
    <w:p>
      <w:pPr>
        <w:ind w:left="7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3,536</w:t>
      </w:r>
    </w:p>
    <w:p>
      <w:pPr>
        <w:spacing w:after="0" w:line="57" w:lineRule="exact"/>
        <w:rPr>
          <w:sz w:val="20"/>
          <w:szCs w:val="20"/>
          <w:color w:val="auto"/>
        </w:rPr>
      </w:pPr>
    </w:p>
    <w:p>
      <w:pPr>
        <w:ind w:left="665" w:hanging="665"/>
        <w:spacing w:after="0"/>
        <w:tabs>
          <w:tab w:leader="none" w:pos="66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628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28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wp:posOffset>
            </wp:positionV>
            <wp:extent cx="71628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28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5" w:hanging="665"/>
        <w:spacing w:after="0"/>
        <w:tabs>
          <w:tab w:leader="none" w:pos="66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14,103</w:t>
      </w:r>
    </w:p>
    <w:p>
      <w:pPr>
        <w:spacing w:after="0" w:line="27" w:lineRule="exact"/>
        <w:rPr>
          <w:sz w:val="20"/>
          <w:szCs w:val="20"/>
          <w:color w:val="auto"/>
        </w:rPr>
      </w:pPr>
    </w:p>
    <w:p>
      <w:pPr>
        <w:ind w:left="685" w:hanging="685"/>
        <w:spacing w:after="0"/>
        <w:tabs>
          <w:tab w:leader="none" w:pos="68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(5,417)</w:t>
      </w:r>
    </w:p>
    <w:p>
      <w:pPr>
        <w:spacing w:after="0" w:line="10" w:lineRule="exact"/>
        <w:rPr>
          <w:sz w:val="20"/>
          <w:szCs w:val="20"/>
          <w:color w:val="auto"/>
        </w:rPr>
      </w:pPr>
    </w:p>
    <w:p>
      <w:pPr>
        <w:ind w:left="665" w:hanging="665"/>
        <w:spacing w:after="0"/>
        <w:tabs>
          <w:tab w:leader="none" w:pos="66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23,586</w:t>
      </w:r>
    </w:p>
    <w:p>
      <w:pPr>
        <w:spacing w:after="0" w:line="10" w:lineRule="exact"/>
        <w:rPr>
          <w:sz w:val="20"/>
          <w:szCs w:val="20"/>
          <w:color w:val="auto"/>
        </w:rPr>
      </w:pPr>
    </w:p>
    <w:p>
      <w:pPr>
        <w:ind w:left="565" w:hanging="565"/>
        <w:spacing w:after="0"/>
        <w:tabs>
          <w:tab w:leader="none" w:pos="56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324,426</w:t>
      </w:r>
    </w:p>
    <w:p>
      <w:pPr>
        <w:spacing w:after="0" w:line="9" w:lineRule="exact"/>
        <w:rPr>
          <w:rFonts w:ascii="Times New Roman" w:cs="Times New Roman" w:eastAsia="Times New Roman" w:hAnsi="Times New Roman"/>
          <w:sz w:val="17"/>
          <w:szCs w:val="17"/>
          <w:color w:val="auto"/>
        </w:rPr>
      </w:pPr>
    </w:p>
    <w:p>
      <w:pPr>
        <w:ind w:left="565" w:hanging="565"/>
        <w:spacing w:after="0"/>
        <w:tabs>
          <w:tab w:leader="none" w:pos="56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331,478</w:t>
      </w:r>
    </w:p>
    <w:p>
      <w:pPr>
        <w:spacing w:after="0" w:line="593" w:lineRule="exact"/>
        <w:rPr>
          <w:sz w:val="20"/>
          <w:szCs w:val="20"/>
          <w:color w:val="auto"/>
        </w:rPr>
      </w:pPr>
    </w:p>
    <w:p>
      <w:pPr>
        <w:sectPr>
          <w:pgSz w:w="11900" w:h="16838" w:orient="portrait"/>
          <w:cols w:equalWidth="0" w:num="2">
            <w:col w:w="9295" w:space="720"/>
            <w:col w:w="1225"/>
          </w:cols>
          <w:pgMar w:left="320" w:top="841" w:right="3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307,892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liability, current portion</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liability, less current portion</w:t>
            </w: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265,413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99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301,638</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operating lease term</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 years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operating lease discount rate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0" w:type="dxa"/>
            <w:vAlign w:val="bottom"/>
          </w:tcPr>
          <w:p>
            <w:pPr>
              <w:spacing w:after="0"/>
              <w:rPr>
                <w:sz w:val="1"/>
                <w:szCs w:val="1"/>
                <w:color w:val="auto"/>
              </w:rPr>
            </w:pPr>
          </w:p>
        </w:tc>
      </w:tr>
      <w:tr>
        <w:trPr>
          <w:trHeight w:val="394"/>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future minimum lease commitments at December 31, 2024: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57,680</w:t>
            </w:r>
          </w:p>
        </w:tc>
        <w:tc>
          <w:tcPr>
            <w:tcW w:w="0" w:type="dxa"/>
            <w:vAlign w:val="bottom"/>
          </w:tcPr>
          <w:p>
            <w:pPr>
              <w:spacing w:after="0"/>
              <w:rPr>
                <w:sz w:val="1"/>
                <w:szCs w:val="1"/>
                <w:color w:val="auto"/>
              </w:rPr>
            </w:pPr>
          </w:p>
        </w:tc>
      </w:tr>
      <w:tr>
        <w:trPr>
          <w:trHeight w:val="205"/>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88,462</w:t>
            </w:r>
          </w:p>
        </w:tc>
        <w:tc>
          <w:tcPr>
            <w:tcW w:w="0" w:type="dxa"/>
            <w:vAlign w:val="bottom"/>
          </w:tcPr>
          <w:p>
            <w:pPr>
              <w:spacing w:after="0"/>
              <w:rPr>
                <w:sz w:val="1"/>
                <w:szCs w:val="1"/>
                <w:color w:val="auto"/>
              </w:rPr>
            </w:pPr>
          </w:p>
        </w:tc>
      </w:tr>
      <w:tr>
        <w:trPr>
          <w:trHeight w:val="205"/>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91,116</w:t>
            </w:r>
          </w:p>
        </w:tc>
        <w:tc>
          <w:tcPr>
            <w:tcW w:w="0" w:type="dxa"/>
            <w:vAlign w:val="bottom"/>
          </w:tcPr>
          <w:p>
            <w:pPr>
              <w:spacing w:after="0"/>
              <w:rPr>
                <w:sz w:val="1"/>
                <w:szCs w:val="1"/>
                <w:color w:val="auto"/>
              </w:rPr>
            </w:pPr>
          </w:p>
        </w:tc>
      </w:tr>
      <w:tr>
        <w:trPr>
          <w:trHeight w:val="205"/>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93,850</w:t>
            </w:r>
          </w:p>
        </w:tc>
        <w:tc>
          <w:tcPr>
            <w:tcW w:w="0" w:type="dxa"/>
            <w:vAlign w:val="bottom"/>
          </w:tcPr>
          <w:p>
            <w:pPr>
              <w:spacing w:after="0"/>
              <w:rPr>
                <w:sz w:val="1"/>
                <w:szCs w:val="1"/>
                <w:color w:val="auto"/>
              </w:rPr>
            </w:pPr>
          </w:p>
        </w:tc>
      </w:tr>
      <w:tr>
        <w:trPr>
          <w:trHeight w:val="23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72,142</w:t>
            </w:r>
          </w:p>
        </w:tc>
        <w:tc>
          <w:tcPr>
            <w:tcW w:w="0" w:type="dxa"/>
            <w:vAlign w:val="bottom"/>
          </w:tcPr>
          <w:p>
            <w:pPr>
              <w:spacing w:after="0"/>
              <w:rPr>
                <w:sz w:val="1"/>
                <w:szCs w:val="1"/>
                <w:color w:val="auto"/>
              </w:rPr>
            </w:pPr>
          </w:p>
        </w:tc>
      </w:tr>
      <w:tr>
        <w:trPr>
          <w:trHeight w:val="191"/>
        </w:trPr>
        <w:tc>
          <w:tcPr>
            <w:tcW w:w="9980" w:type="dxa"/>
            <w:vAlign w:val="bottom"/>
            <w:tcBorders>
              <w:top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color w:val="auto"/>
              </w:rPr>
              <w:t>Total lease payments</w:t>
            </w: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403,250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101,612</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80" w:type="dxa"/>
            <w:vAlign w:val="bottom"/>
            <w:gridSpan w:val="2"/>
            <w:vMerge w:val="continue"/>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301,638</w:t>
            </w:r>
          </w:p>
        </w:tc>
        <w:tc>
          <w:tcPr>
            <w:tcW w:w="0" w:type="dxa"/>
            <w:vAlign w:val="bottom"/>
          </w:tcPr>
          <w:p>
            <w:pPr>
              <w:spacing w:after="0"/>
              <w:rPr>
                <w:sz w:val="1"/>
                <w:szCs w:val="1"/>
                <w:color w:val="auto"/>
              </w:rPr>
            </w:pPr>
          </w:p>
        </w:tc>
      </w:tr>
      <w:tr>
        <w:trPr>
          <w:trHeight w:val="20"/>
        </w:trPr>
        <w:tc>
          <w:tcPr>
            <w:tcW w:w="99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7"/>
                <w:szCs w:val="17"/>
                <w:color w:val="auto"/>
              </w:rPr>
              <w:t>F-48</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998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11 - Related Party Transactions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At December 31, 2024 and 2023, SEE ID has entered into SAFE agreements with Charles Maddox, SEE ID’s Chief Financial Officer and a stockholder of SEE ID, for proceeds totaling $28,833.</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12 - Litigation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13 - Segment Reporting</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has a single reportable segment that derives revenues from the delivery of feasibility study reports to customers seeking to gain insight into how data driven tracking could improve their business.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14 - Subsequent Events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Safe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December 31, 2024, SEE ID issued an additional SAFE agreement to an investor for proceeds of $23,752, which has a stated discount rate of 67%.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terms are consistent with the terms of the SAFE agreements in Note 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Sales: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January 2025, the Company received two orders from a customer: 1) one for approximately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Lease: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January 2025, Dot Works entered into a noncancelable lease agreement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Bridge Loan Agreements: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Effective Date</w:t>
            </w: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8"/>
              </w:rPr>
              <w:t>Loan Amount</w:t>
            </w:r>
          </w:p>
        </w:tc>
      </w:tr>
      <w:tr>
        <w:trPr>
          <w:trHeight w:val="205"/>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29, 2025*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March 29, 2025**</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r>
      <w:tr>
        <w:trPr>
          <w:trHeight w:val="205"/>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April 9, 2025*</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500,000</w:t>
            </w:r>
          </w:p>
        </w:tc>
      </w:tr>
      <w:tr>
        <w:trPr>
          <w:trHeight w:val="205"/>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7, 2025*</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500,000</w:t>
            </w:r>
          </w:p>
        </w:tc>
      </w:tr>
      <w:tr>
        <w:trPr>
          <w:trHeight w:val="224"/>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5, 2025***</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r>
      <w:tr>
        <w:trPr>
          <w:trHeight w:val="236"/>
        </w:trPr>
        <w:tc>
          <w:tcPr>
            <w:tcW w:w="99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2,850,000</w:t>
            </w:r>
          </w:p>
        </w:tc>
        <w:tc>
          <w:tcPr>
            <w:tcW w:w="100" w:type="dxa"/>
            <w:vAlign w:val="bottom"/>
            <w:tcBorders>
              <w:top w:val="single" w:sz="8" w:color="CCEEFF"/>
            </w:tcBorders>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320" w:hanging="317"/>
        <w:spacing w:after="0" w:line="268" w:lineRule="auto"/>
        <w:tabs>
          <w:tab w:leader="none" w:pos="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p>
      <w:pPr>
        <w:spacing w:after="0" w:line="166" w:lineRule="exact"/>
        <w:rPr>
          <w:sz w:val="20"/>
          <w:szCs w:val="20"/>
          <w:color w:val="auto"/>
        </w:rPr>
      </w:pPr>
    </w:p>
    <w:p>
      <w:pPr>
        <w:ind w:left="320" w:hanging="317"/>
        <w:spacing w:after="0"/>
        <w:tabs>
          <w:tab w:leader="none" w:pos="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loan principal and minimum 10% interest totaling $110,000 was paid in cash at closing of the BCA on June 18, 2025.</w:t>
      </w:r>
    </w:p>
    <w:p>
      <w:pPr>
        <w:spacing w:after="0" w:line="214" w:lineRule="exact"/>
        <w:rPr>
          <w:rFonts w:ascii="Times New Roman" w:cs="Times New Roman" w:eastAsia="Times New Roman" w:hAnsi="Times New Roman"/>
          <w:sz w:val="17"/>
          <w:szCs w:val="17"/>
          <w:color w:val="auto"/>
        </w:rPr>
      </w:pPr>
    </w:p>
    <w:p>
      <w:pPr>
        <w:ind w:right="2220" w:firstLine="3"/>
        <w:spacing w:after="0" w:line="503" w:lineRule="auto"/>
        <w:tabs>
          <w:tab w:leader="none" w:pos="30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Aggregate loan principal and minimum 8% interest totaling $270,000 was paid in cash at closing of the BCA on June 18, 2025. </w:t>
      </w:r>
      <w:r>
        <w:rPr>
          <w:rFonts w:ascii="Times New Roman" w:cs="Times New Roman" w:eastAsia="Times New Roman" w:hAnsi="Times New Roman"/>
          <w:sz w:val="17"/>
          <w:szCs w:val="17"/>
          <w:u w:val="single" w:color="auto"/>
          <w:color w:val="auto"/>
        </w:rPr>
        <w:t>Business Combination: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7"/>
          <w:szCs w:val="17"/>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PIPE Investors: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10, 2025, an investor subscribed to 250,000 common shares of Holdings in exchange for $1,000,000.</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June 16, 2025, an investor subscribed to 1,317,750 common shares of Holdings in exchange for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17, 2025, an investor subscribed to 1,755,786 common shares of Holdings in exchange for $7,023,143.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Equity Line of Credit:</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Other Expenses and Issuance and Distribution</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estimated fees and expenses payable by the registrant in connection with the offering and sale of our Common Stock and other securities: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5"/>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4,255.21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Printing and engraving expenses</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10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9" w:lineRule="exact"/>
        <w:rPr>
          <w:sz w:val="20"/>
          <w:szCs w:val="20"/>
          <w:color w:val="auto"/>
        </w:rPr>
      </w:pPr>
    </w:p>
    <w:p>
      <w:pPr>
        <w:ind w:left="320" w:hanging="317"/>
        <w:spacing w:after="0"/>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fees are calculated based on the securities offered and the number of issuances and accordingly cannot be defined at this time.</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will bear all costs, expenses and fees in connection with the registration of the securities, including with regard to compliance with state securities or “blue sky” laws. All amounts are estimates except the SEC registration fee and the FINRA filing fee.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accordance with Section 102(b)(7) of the DGCL, our Second Amended and Restated Certificate of Incorporation provides that a director will not be personally liable to us or our stockholders for monetary damages for breach of fiduciary duty as a director, except for liability (i) for any breach of the director’s duty of loyalty to us or our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Certificate of Incorporation provides that we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Founder Shares, the Private Placement Warrants and the shares of Series A Convertible Preferred Stock issued pursuant to the Subscription Agreement in connection with the PIPE Financing, were not registered under the Securities Act, in reliance upon the exemption provided in Section 4(a)(2) thereof.</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Exhibits.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exhibits listed below are filed as part of this registration statement.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40" w:type="dxa"/>
            <w:vAlign w:val="bottom"/>
          </w:tcPr>
          <w:p>
            <w:pPr>
              <w:spacing w:after="0"/>
              <w:rPr>
                <w:sz w:val="20"/>
                <w:szCs w:val="20"/>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7"/>
        </w:trPr>
        <w:tc>
          <w:tcPr>
            <w:tcW w:w="1020" w:type="dxa"/>
            <w:vAlign w:val="bottom"/>
            <w:tcBorders>
              <w:top w:val="single" w:sz="8" w:color="auto"/>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2.1+</w:t>
            </w: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auto"/>
              <w:bottom w:val="single" w:sz="8" w:color="0000EE"/>
            </w:tcBorders>
            <w:gridSpan w:val="14"/>
            <w:shd w:val="clear" w:color="auto" w:fill="CCEEFF"/>
          </w:tcPr>
          <w:p>
            <w:pPr>
              <w:spacing w:after="0" w:line="167" w:lineRule="exact"/>
              <w:rPr>
                <w:rFonts w:ascii="Times New Roman" w:cs="Times New Roman" w:eastAsia="Times New Roman" w:hAnsi="Times New Roman"/>
                <w:sz w:val="17"/>
                <w:szCs w:val="17"/>
                <w:color w:val="0000EE"/>
                <w:w w:val="99"/>
              </w:rPr>
            </w:pPr>
            <w:hyperlink r:id="rId207">
              <w:r>
                <w:rPr>
                  <w:rFonts w:ascii="Times New Roman" w:cs="Times New Roman" w:eastAsia="Times New Roman" w:hAnsi="Times New Roman"/>
                  <w:sz w:val="17"/>
                  <w:szCs w:val="17"/>
                  <w:color w:val="0000EE"/>
                  <w:w w:val="99"/>
                </w:rPr>
                <w:t>Business Combination Agreement by and among ShoulderUp Technology Acquisition Corp., CID HoldCo, Inc., ShoulderUp Merger Sub, Inc., SEI</w:t>
              </w:r>
            </w:hyperlink>
          </w:p>
        </w:tc>
      </w:tr>
      <w:tr>
        <w:trPr>
          <w:trHeight w:val="185"/>
        </w:trPr>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Merger Sub, Inc., and SEE ID, Inc., dated as of March 18, 2024 (incorporated by reference to Exhibit 2.1 of CID HoldCo, Inc.’s Registration</w:t>
              </w:r>
            </w:hyperlink>
          </w:p>
        </w:tc>
      </w:tr>
      <w:tr>
        <w:trPr>
          <w:trHeight w:val="185"/>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Statement on Form S-4, filed with the SEC on January 15, 2025).</w:t>
              </w:r>
            </w:hyperlink>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80" w:type="dxa"/>
            <w:vAlign w:val="bottom"/>
            <w:tcBorders>
              <w:left w:val="single" w:sz="8" w:color="0000EE"/>
            </w:tcBorders>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3.1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Amended and Restated Certificate of Incorporation of CID HoldCo, Inc. (incorporated by reference to Exhibit 3.1 of CID HoldCo, Inc.’s Current</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85"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Report on Form 8-K, filed with the SEC on June 26, 2025).</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3.2</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Bylaws of CID HoldCo, Inc. (incorporated by reference to Exhibit 3.2 of CID HoldCo, Inc.’s Current Report on Form 8-K, filed with the SEC on</w:t>
              </w:r>
            </w:hyperlink>
          </w:p>
        </w:tc>
      </w:tr>
      <w:tr>
        <w:trPr>
          <w:trHeight w:val="185"/>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June 26, 2025).</w:t>
              </w:r>
            </w:hyperlink>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4.1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Specimen Common Stock Certificate (incorporated by reference to Exhibit 4.5 of CID HoldCo, Inc.’s Registration Statement on Form S-4, filed</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85"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with the SEC on January 15, 2025).</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4.2</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Specimen Warrant Certificate (incorporated by reference to Exhibit 4.6 of CID HoldCo, Inc.’s Registration Statement on Form S-4, filed with the</w:t>
              </w:r>
            </w:hyperlink>
          </w:p>
        </w:tc>
      </w:tr>
      <w:tr>
        <w:trPr>
          <w:trHeight w:val="185"/>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SEC on January 15, 2025).</w:t>
              </w:r>
            </w:hyperlink>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4.3</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w w:val="99"/>
              </w:rPr>
            </w:pPr>
            <w:hyperlink r:id="rId212">
              <w:r>
                <w:rPr>
                  <w:rFonts w:ascii="Times New Roman" w:cs="Times New Roman" w:eastAsia="Times New Roman" w:hAnsi="Times New Roman"/>
                  <w:sz w:val="17"/>
                  <w:szCs w:val="17"/>
                  <w:color w:val="0000EE"/>
                  <w:w w:val="99"/>
                </w:rPr>
                <w:t>Existing Warrant Agreement, dated November 16, 2021, by and between ShoulderUp Technology Acquisition Corp and Continental Stock Transfer</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tcBorders>
              <w:bottom w:val="single" w:sz="8" w:color="0000EE"/>
            </w:tcBorders>
            <w:gridSpan w:val="14"/>
          </w:tcPr>
          <w:p>
            <w:pPr>
              <w:spacing w:after="0" w:line="185" w:lineRule="exact"/>
              <w:rPr>
                <w:rFonts w:ascii="Times New Roman" w:cs="Times New Roman" w:eastAsia="Times New Roman" w:hAnsi="Times New Roman"/>
                <w:sz w:val="17"/>
                <w:szCs w:val="17"/>
                <w:color w:val="0000EE"/>
                <w:w w:val="99"/>
              </w:rPr>
            </w:pPr>
            <w:hyperlink r:id="rId212">
              <w:r>
                <w:rPr>
                  <w:rFonts w:ascii="Times New Roman" w:cs="Times New Roman" w:eastAsia="Times New Roman" w:hAnsi="Times New Roman"/>
                  <w:sz w:val="17"/>
                  <w:szCs w:val="17"/>
                  <w:color w:val="0000EE"/>
                  <w:w w:val="99"/>
                </w:rPr>
                <w:t>&amp; Trust Company, as warrant agent (incorporated by reference to Exhibit 4.4 of CID HoldCo, Inc.’s Registration Statement on Form S-4, filed with</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85"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the SEC on January 15, 2025).</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4.4</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Warrant Assumption and Assignment Agreement, dated as of June 18, 2025 (incorporated by reference to Exhibit 4.4 of CID HoldCo, Inc.’s</w:t>
              </w:r>
            </w:hyperlink>
          </w:p>
        </w:tc>
      </w:tr>
      <w:tr>
        <w:trPr>
          <w:trHeight w:val="185"/>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Current Report on Form 8-K, filed with the SEC on June 26, 2025).</w:t>
              </w:r>
            </w:hyperlink>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80" w:type="dxa"/>
            <w:vAlign w:val="bottom"/>
            <w:tcBorders>
              <w:left w:val="single" w:sz="8" w:color="0000EE"/>
            </w:tcBorders>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4.5</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Common Stock Purchase Warrant, dated December 4, 2025, issued in connection with the senior secured financing (incorporated by reference to</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85"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Exhibit 4.1 to the Company’s Form 8-K/prospectus supplement materials filed December 31, 2025).</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140" w:type="dxa"/>
            <w:vAlign w:val="bottom"/>
            <w:shd w:val="clear" w:color="auto" w:fill="0000EE"/>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4.6*</w:t>
            </w: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Form of Series A-1 Common Stock Purchase Warrant.</w:t>
            </w:r>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4.7*</w:t>
            </w:r>
          </w:p>
        </w:tc>
        <w:tc>
          <w:tcPr>
            <w:tcW w:w="140" w:type="dxa"/>
            <w:vAlign w:val="bottom"/>
          </w:tcPr>
          <w:p>
            <w:pPr>
              <w:spacing w:after="0"/>
              <w:rPr>
                <w:sz w:val="14"/>
                <w:szCs w:val="14"/>
                <w:color w:val="auto"/>
              </w:rPr>
            </w:pPr>
          </w:p>
        </w:tc>
        <w:tc>
          <w:tcPr>
            <w:tcW w:w="10080" w:type="dxa"/>
            <w:vAlign w:val="bottom"/>
            <w:gridSpan w:val="14"/>
          </w:tcPr>
          <w:p>
            <w:pPr>
              <w:spacing w:after="0" w:line="167" w:lineRule="exact"/>
              <w:rPr>
                <w:sz w:val="20"/>
                <w:szCs w:val="20"/>
                <w:color w:val="auto"/>
              </w:rPr>
            </w:pPr>
            <w:r>
              <w:rPr>
                <w:rFonts w:ascii="Times New Roman" w:cs="Times New Roman" w:eastAsia="Times New Roman" w:hAnsi="Times New Roman"/>
                <w:sz w:val="17"/>
                <w:szCs w:val="17"/>
                <w:color w:val="0000EE"/>
              </w:rPr>
              <w:t>Form of Series A-2 Common Stock Purchase Warrant.</w:t>
            </w:r>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4.8*</w:t>
            </w: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Form of Pre-Funded Common Stock Purchase Warrant.</w:t>
            </w:r>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80" w:type="dxa"/>
            <w:vAlign w:val="bottom"/>
            <w:tcBorders>
              <w:left w:val="single" w:sz="8" w:color="0000EE"/>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4.9*</w:t>
            </w:r>
          </w:p>
        </w:tc>
        <w:tc>
          <w:tcPr>
            <w:tcW w:w="140" w:type="dxa"/>
            <w:vAlign w:val="bottom"/>
          </w:tcPr>
          <w:p>
            <w:pPr>
              <w:spacing w:after="0"/>
              <w:rPr>
                <w:sz w:val="14"/>
                <w:szCs w:val="14"/>
                <w:color w:val="auto"/>
              </w:rPr>
            </w:pPr>
          </w:p>
        </w:tc>
        <w:tc>
          <w:tcPr>
            <w:tcW w:w="10080" w:type="dxa"/>
            <w:vAlign w:val="bottom"/>
            <w:gridSpan w:val="14"/>
          </w:tcPr>
          <w:p>
            <w:pPr>
              <w:spacing w:after="0" w:line="167" w:lineRule="exact"/>
              <w:rPr>
                <w:sz w:val="20"/>
                <w:szCs w:val="20"/>
                <w:color w:val="auto"/>
              </w:rPr>
            </w:pPr>
            <w:r>
              <w:rPr>
                <w:rFonts w:ascii="Times New Roman" w:cs="Times New Roman" w:eastAsia="Times New Roman" w:hAnsi="Times New Roman"/>
                <w:sz w:val="17"/>
                <w:szCs w:val="17"/>
                <w:color w:val="0000EE"/>
              </w:rPr>
              <w:t>Form of Placement Agent Common Stock Purchase Warrant.</w:t>
            </w:r>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44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5.1*</w:t>
            </w: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Form of Opinion of DLA Piper LLP (US).</w:t>
            </w:r>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10.1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Form of PIPE Subscription Agreement (incorporated by reference to Exhibit 10.8 of CID HoldCo, Inc.’s Current Report on Form 8-K, filed with</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85"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the SEC on June 26, 2025).</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10.2</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Registration Rights and Lock-up Agreement by and among CID HoldCo, Inc, and certain parties listed therein, dated as of June 18, 2025</w:t>
              </w:r>
            </w:hyperlink>
          </w:p>
        </w:tc>
      </w:tr>
      <w:tr>
        <w:trPr>
          <w:trHeight w:val="185"/>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(incorporated by reference to Exhibit 10.10 of CID HoldCo, Inc.’s Current Report on Form 8-K, filed with the SEC on June 26, 2025).</w:t>
              </w:r>
            </w:hyperlink>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80" w:type="dxa"/>
            <w:vAlign w:val="bottom"/>
            <w:tcBorders>
              <w:left w:val="single" w:sz="8" w:color="0000EE"/>
            </w:tcBorders>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140" w:type="dxa"/>
            <w:vAlign w:val="bottom"/>
            <w:shd w:val="clear" w:color="auto" w:fill="0000EE"/>
          </w:tcPr>
          <w:p>
            <w:pPr>
              <w:spacing w:after="0"/>
              <w:rPr>
                <w:sz w:val="3"/>
                <w:szCs w:val="3"/>
                <w:color w:val="auto"/>
              </w:rPr>
            </w:pPr>
          </w:p>
        </w:tc>
        <w:tc>
          <w:tcPr>
            <w:tcW w:w="234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167"/>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10.3</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4"/>
          </w:tcPr>
          <w:p>
            <w:pPr>
              <w:spacing w:after="0" w:line="167"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Share Purchase Agreement, dated June 18, 2025 by and among New Circle Principal Investments LLC, a Delaware limited liability company, and</w:t>
              </w:r>
            </w:hyperlink>
          </w:p>
        </w:tc>
      </w:tr>
      <w:tr>
        <w:trPr>
          <w:trHeight w:val="18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tcBorders>
              <w:bottom w:val="single" w:sz="8" w:color="0000EE"/>
            </w:tcBorders>
            <w:gridSpan w:val="14"/>
          </w:tcPr>
          <w:p>
            <w:pPr>
              <w:spacing w:after="0" w:line="185"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CID HoldCo, Inc. (incorporated by reference to Exhibit 10.11 of CID HoldCo, Inc.’s Current Report on Form 8-K, filed with the SEC on June 26,</w:t>
              </w:r>
            </w:hyperlink>
          </w:p>
        </w:tc>
      </w:tr>
      <w:tr>
        <w:trPr>
          <w:trHeight w:val="185"/>
        </w:trPr>
        <w:tc>
          <w:tcPr>
            <w:tcW w:w="1020" w:type="dxa"/>
            <w:vAlign w:val="bottom"/>
          </w:tcPr>
          <w:p>
            <w:pPr>
              <w:spacing w:after="0"/>
              <w:rPr>
                <w:sz w:val="16"/>
                <w:szCs w:val="16"/>
                <w:color w:val="auto"/>
              </w:rPr>
            </w:pPr>
          </w:p>
        </w:tc>
        <w:tc>
          <w:tcPr>
            <w:tcW w:w="800" w:type="dxa"/>
            <w:vAlign w:val="bottom"/>
            <w:gridSpan w:val="3"/>
          </w:tcPr>
          <w:p>
            <w:pPr>
              <w:ind w:left="120"/>
              <w:spacing w:after="0" w:line="185"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2025).</w:t>
              </w:r>
            </w:hyperlink>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10.4</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Registration Rights Agreement, dated June 18, 2025 by and among New Circle Principal Investments LLC, a Delaware limited liability company,</w:t>
              </w:r>
            </w:hyperlink>
          </w:p>
        </w:tc>
      </w:tr>
      <w:tr>
        <w:trPr>
          <w:trHeight w:val="185"/>
        </w:trPr>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85"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and CID HoldCo, Inc. (incorporated by reference to Exhibit 10.12 of CID HoldCo, Inc.’s Current Report on Form 8-K, filed with the SEC on June</w:t>
              </w:r>
            </w:hyperlink>
          </w:p>
        </w:tc>
      </w:tr>
      <w:tr>
        <w:trPr>
          <w:trHeight w:val="185"/>
        </w:trPr>
        <w:tc>
          <w:tcPr>
            <w:tcW w:w="102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ind w:left="120"/>
              <w:spacing w:after="0" w:line="185"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26, 2025).</w:t>
              </w:r>
            </w:hyperlink>
          </w:p>
        </w:tc>
        <w:tc>
          <w:tcPr>
            <w:tcW w:w="74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tcBorders>
              <w:left w:val="single" w:sz="8" w:color="CCEEFF"/>
            </w:tcBorders>
            <w:shd w:val="clear" w:color="auto" w:fill="CCEEFF"/>
          </w:tcPr>
          <w:p>
            <w:pPr>
              <w:spacing w:after="0"/>
              <w:rPr>
                <w:sz w:val="16"/>
                <w:szCs w:val="16"/>
                <w:color w:val="auto"/>
              </w:rPr>
            </w:pPr>
          </w:p>
        </w:tc>
        <w:tc>
          <w:tcPr>
            <w:tcW w:w="4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38"/>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95"/>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10.5</w:t>
            </w:r>
          </w:p>
        </w:tc>
        <w:tc>
          <w:tcPr>
            <w:tcW w:w="1010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Loan Agreement between J.J. Astor &amp; Co. and CID Holdco, Inc., dated as of December 4, 2025 (incorporated by reference to Exhibit 10.1 to the</w:t>
              </w:r>
            </w:hyperlink>
          </w:p>
        </w:tc>
      </w:tr>
      <w:tr>
        <w:trPr>
          <w:trHeight w:val="185"/>
        </w:trPr>
        <w:tc>
          <w:tcPr>
            <w:tcW w:w="1140" w:type="dxa"/>
            <w:vAlign w:val="bottom"/>
            <w:shd w:val="clear" w:color="auto" w:fill="CCEEFF"/>
          </w:tcPr>
          <w:p>
            <w:pPr>
              <w:spacing w:after="0"/>
              <w:rPr>
                <w:sz w:val="16"/>
                <w:szCs w:val="16"/>
                <w:color w:val="auto"/>
              </w:rPr>
            </w:pPr>
          </w:p>
        </w:tc>
        <w:tc>
          <w:tcPr>
            <w:tcW w:w="10100" w:type="dxa"/>
            <w:vAlign w:val="bottom"/>
            <w:gridSpan w:val="9"/>
            <w:shd w:val="clear" w:color="auto" w:fill="CCEEFF"/>
          </w:tcPr>
          <w:p>
            <w:pPr>
              <w:spacing w:after="0" w:line="185" w:lineRule="exact"/>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Company’s Form 8-K/prospectus supplement materials filed December 31, 2025).</w:t>
              </w:r>
            </w:hyperlink>
          </w:p>
        </w:tc>
      </w:tr>
      <w:tr>
        <w:trPr>
          <w:trHeight w:val="38"/>
        </w:trPr>
        <w:tc>
          <w:tcPr>
            <w:tcW w:w="114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1300" w:type="dxa"/>
            <w:vAlign w:val="bottom"/>
            <w:shd w:val="clear" w:color="auto" w:fill="0000EE"/>
          </w:tcPr>
          <w:p>
            <w:pPr>
              <w:spacing w:after="0"/>
              <w:rPr>
                <w:sz w:val="3"/>
                <w:szCs w:val="3"/>
                <w:color w:val="auto"/>
              </w:rPr>
            </w:pPr>
          </w:p>
        </w:tc>
        <w:tc>
          <w:tcPr>
            <w:tcW w:w="136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67"/>
        </w:trPr>
        <w:tc>
          <w:tcPr>
            <w:tcW w:w="11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10.6</w:t>
            </w:r>
          </w:p>
        </w:tc>
        <w:tc>
          <w:tcPr>
            <w:tcW w:w="10100" w:type="dxa"/>
            <w:vAlign w:val="bottom"/>
            <w:tcBorders>
              <w:bottom w:val="single" w:sz="8" w:color="0000EE"/>
            </w:tcBorders>
            <w:gridSpan w:val="9"/>
          </w:tcPr>
          <w:p>
            <w:pPr>
              <w:spacing w:after="0" w:line="167"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Senior Secured Convertible Promissory Note (Original Issue Date: December 4, 2025) (incorporated by reference to Exhibit 10.2 to the Company’s</w:t>
              </w:r>
            </w:hyperlink>
          </w:p>
        </w:tc>
      </w:tr>
      <w:tr>
        <w:trPr>
          <w:trHeight w:val="185"/>
        </w:trPr>
        <w:tc>
          <w:tcPr>
            <w:tcW w:w="1140" w:type="dxa"/>
            <w:vAlign w:val="bottom"/>
          </w:tcPr>
          <w:p>
            <w:pPr>
              <w:spacing w:after="0"/>
              <w:rPr>
                <w:sz w:val="16"/>
                <w:szCs w:val="16"/>
                <w:color w:val="auto"/>
              </w:rPr>
            </w:pPr>
          </w:p>
        </w:tc>
        <w:tc>
          <w:tcPr>
            <w:tcW w:w="10100" w:type="dxa"/>
            <w:vAlign w:val="bottom"/>
            <w:gridSpan w:val="9"/>
          </w:tcPr>
          <w:p>
            <w:pPr>
              <w:spacing w:after="0" w:line="185"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Form 8-K/prospectus supplement materials filed December 31, 2025).</w:t>
              </w:r>
            </w:hyperlink>
          </w:p>
        </w:tc>
      </w:tr>
      <w:tr>
        <w:trPr>
          <w:trHeight w:val="29"/>
        </w:trPr>
        <w:tc>
          <w:tcPr>
            <w:tcW w:w="114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10.7</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Amended and Restated Registration Rights Agreement between CID Holdco, Inc. and J.J. Astor &amp; Co., dated as of December 4, 2025</w:t>
              </w:r>
            </w:hyperlink>
          </w:p>
        </w:tc>
      </w:tr>
      <w:tr>
        <w:trPr>
          <w:trHeight w:val="204"/>
        </w:trPr>
        <w:tc>
          <w:tcPr>
            <w:tcW w:w="1140" w:type="dxa"/>
            <w:vAlign w:val="bottom"/>
            <w:tcBorders>
              <w:bottom w:val="single" w:sz="8" w:color="CCEEFF"/>
            </w:tcBorders>
            <w:shd w:val="clear" w:color="auto" w:fill="CCEEFF"/>
          </w:tcPr>
          <w:p>
            <w:pPr>
              <w:spacing w:after="0"/>
              <w:rPr>
                <w:sz w:val="17"/>
                <w:szCs w:val="17"/>
                <w:color w:val="auto"/>
              </w:rPr>
            </w:pPr>
          </w:p>
        </w:tc>
        <w:tc>
          <w:tcPr>
            <w:tcW w:w="8960" w:type="dxa"/>
            <w:vAlign w:val="bottom"/>
            <w:tcBorders>
              <w:bottom w:val="single" w:sz="8" w:color="0000EE"/>
            </w:tcBorders>
            <w:gridSpan w:val="8"/>
            <w:shd w:val="clear" w:color="auto" w:fill="CCEEFF"/>
          </w:tcPr>
          <w:p>
            <w:pPr>
              <w:spacing w:after="0" w:line="185"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(incorporated by reference to Exhibit 10.3 to the Company’s Form 8-K/prospectus supplement materials filed December 31, 2025).</w:t>
              </w:r>
            </w:hyperlink>
          </w:p>
        </w:tc>
        <w:tc>
          <w:tcPr>
            <w:tcW w:w="114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10.8*</w:t>
            </w:r>
          </w:p>
        </w:tc>
        <w:tc>
          <w:tcPr>
            <w:tcW w:w="7380" w:type="dxa"/>
            <w:vAlign w:val="bottom"/>
            <w:tcBorders>
              <w:bottom w:val="single" w:sz="8" w:color="0000EE"/>
            </w:tcBorders>
            <w:gridSpan w:val="7"/>
          </w:tcPr>
          <w:p>
            <w:pPr>
              <w:spacing w:after="0" w:line="167" w:lineRule="exact"/>
              <w:rPr>
                <w:sz w:val="20"/>
                <w:szCs w:val="20"/>
                <w:color w:val="auto"/>
              </w:rPr>
            </w:pPr>
            <w:r>
              <w:rPr>
                <w:rFonts w:ascii="Times New Roman" w:cs="Times New Roman" w:eastAsia="Times New Roman" w:hAnsi="Times New Roman"/>
                <w:sz w:val="17"/>
                <w:szCs w:val="17"/>
                <w:color w:val="0000EE"/>
              </w:rPr>
              <w:t>Form of Securities Purchase Agreement, by and between CID Holdco, Inc. and the purchasers party thereto.</w:t>
            </w:r>
          </w:p>
        </w:tc>
        <w:tc>
          <w:tcPr>
            <w:tcW w:w="2720" w:type="dxa"/>
            <w:vAlign w:val="bottom"/>
            <w:gridSpan w:val="2"/>
          </w:tcPr>
          <w:p>
            <w:pPr>
              <w:spacing w:after="0"/>
              <w:rPr>
                <w:sz w:val="15"/>
                <w:szCs w:val="15"/>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21.1</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Subsidiaries of the Registrant (incorporated by reference to Exhibit 21.1 of CID HoldCo, Inc.’s Current Report on Form 8-K, filed with the SEC on</w:t>
              </w:r>
            </w:hyperlink>
          </w:p>
        </w:tc>
      </w:tr>
      <w:tr>
        <w:trPr>
          <w:trHeight w:val="185"/>
        </w:trPr>
        <w:tc>
          <w:tcPr>
            <w:tcW w:w="1140" w:type="dxa"/>
            <w:vAlign w:val="bottom"/>
            <w:shd w:val="clear" w:color="auto" w:fill="CCEEFF"/>
          </w:tcPr>
          <w:p>
            <w:pPr>
              <w:spacing w:after="0"/>
              <w:rPr>
                <w:sz w:val="16"/>
                <w:szCs w:val="16"/>
                <w:color w:val="auto"/>
              </w:rPr>
            </w:pPr>
          </w:p>
        </w:tc>
        <w:tc>
          <w:tcPr>
            <w:tcW w:w="10100" w:type="dxa"/>
            <w:vAlign w:val="bottom"/>
            <w:gridSpan w:val="9"/>
            <w:shd w:val="clear" w:color="auto" w:fill="CCEEFF"/>
          </w:tcPr>
          <w:p>
            <w:pPr>
              <w:spacing w:after="0" w:line="185"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June 26, 2025).</w:t>
              </w:r>
            </w:hyperlink>
          </w:p>
        </w:tc>
      </w:tr>
      <w:tr>
        <w:trPr>
          <w:trHeight w:val="38"/>
        </w:trPr>
        <w:tc>
          <w:tcPr>
            <w:tcW w:w="114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67"/>
        </w:trPr>
        <w:tc>
          <w:tcPr>
            <w:tcW w:w="11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23.1*</w:t>
            </w:r>
          </w:p>
        </w:tc>
        <w:tc>
          <w:tcPr>
            <w:tcW w:w="10100" w:type="dxa"/>
            <w:vAlign w:val="bottom"/>
            <w:gridSpan w:val="9"/>
          </w:tcPr>
          <w:p>
            <w:pPr>
              <w:spacing w:after="0" w:line="167" w:lineRule="exact"/>
              <w:rPr>
                <w:sz w:val="20"/>
                <w:szCs w:val="20"/>
                <w:color w:val="auto"/>
              </w:rPr>
            </w:pPr>
            <w:r>
              <w:rPr>
                <w:rFonts w:ascii="Times New Roman" w:cs="Times New Roman" w:eastAsia="Times New Roman" w:hAnsi="Times New Roman"/>
                <w:sz w:val="17"/>
                <w:szCs w:val="17"/>
                <w:color w:val="0000EE"/>
              </w:rPr>
              <w:t>Consent of Wolf &amp; Company, P.C.</w:t>
            </w:r>
          </w:p>
        </w:tc>
      </w:tr>
      <w:tr>
        <w:trPr>
          <w:trHeight w:val="29"/>
        </w:trPr>
        <w:tc>
          <w:tcPr>
            <w:tcW w:w="114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4"/>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23.2*</w:t>
            </w:r>
          </w:p>
        </w:tc>
        <w:tc>
          <w:tcPr>
            <w:tcW w:w="37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Consent of Berkowitz Pollack Brant Advisors + CPAs</w:t>
            </w:r>
          </w:p>
        </w:tc>
        <w:tc>
          <w:tcPr>
            <w:tcW w:w="6400" w:type="dxa"/>
            <w:vAlign w:val="bottom"/>
            <w:tcBorders>
              <w:bottom w:val="single" w:sz="8" w:color="CCEEFF"/>
            </w:tcBorders>
            <w:gridSpan w:val="6"/>
            <w:shd w:val="clear" w:color="auto" w:fill="CCEEFF"/>
          </w:tcPr>
          <w:p>
            <w:pPr>
              <w:spacing w:after="0"/>
              <w:rPr>
                <w:sz w:val="16"/>
                <w:szCs w:val="16"/>
                <w:color w:val="auto"/>
              </w:rPr>
            </w:pPr>
          </w:p>
        </w:tc>
      </w:tr>
      <w:tr>
        <w:trPr>
          <w:trHeight w:val="176"/>
        </w:trPr>
        <w:tc>
          <w:tcPr>
            <w:tcW w:w="11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23.3*</w:t>
            </w:r>
          </w:p>
        </w:tc>
        <w:tc>
          <w:tcPr>
            <w:tcW w:w="4580" w:type="dxa"/>
            <w:vAlign w:val="bottom"/>
            <w:tcBorders>
              <w:bottom w:val="single" w:sz="8" w:color="0000EE"/>
            </w:tcBorders>
            <w:gridSpan w:val="4"/>
          </w:tcPr>
          <w:p>
            <w:pPr>
              <w:spacing w:after="0" w:line="167" w:lineRule="exact"/>
              <w:rPr>
                <w:sz w:val="20"/>
                <w:szCs w:val="20"/>
                <w:color w:val="auto"/>
              </w:rPr>
            </w:pPr>
            <w:r>
              <w:rPr>
                <w:rFonts w:ascii="Times New Roman" w:cs="Times New Roman" w:eastAsia="Times New Roman" w:hAnsi="Times New Roman"/>
                <w:sz w:val="17"/>
                <w:szCs w:val="17"/>
                <w:color w:val="0000EE"/>
                <w:w w:val="99"/>
              </w:rPr>
              <w:t>Form of Consent of DLA Piper LLP (US) (included in Exhibit 5.1)</w:t>
            </w:r>
          </w:p>
        </w:tc>
        <w:tc>
          <w:tcPr>
            <w:tcW w:w="5520" w:type="dxa"/>
            <w:vAlign w:val="bottom"/>
            <w:gridSpan w:val="5"/>
          </w:tcPr>
          <w:p>
            <w:pPr>
              <w:spacing w:after="0"/>
              <w:rPr>
                <w:sz w:val="15"/>
                <w:szCs w:val="15"/>
                <w:color w:val="auto"/>
              </w:rPr>
            </w:pPr>
          </w:p>
        </w:tc>
      </w:tr>
      <w:tr>
        <w:trPr>
          <w:trHeight w:val="21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101.INS*</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5"/>
        </w:trPr>
        <w:tc>
          <w:tcPr>
            <w:tcW w:w="1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101.SCH*</w:t>
            </w:r>
          </w:p>
        </w:tc>
        <w:tc>
          <w:tcPr>
            <w:tcW w:w="101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101.CAL*</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5"/>
        </w:trPr>
        <w:tc>
          <w:tcPr>
            <w:tcW w:w="1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101.DEF*</w:t>
            </w:r>
          </w:p>
        </w:tc>
        <w:tc>
          <w:tcPr>
            <w:tcW w:w="101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101.LAB*</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101.PRE*</w:t>
            </w:r>
          </w:p>
        </w:tc>
        <w:tc>
          <w:tcPr>
            <w:tcW w:w="101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9305" cy="130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ind w:left="1140" w:hanging="1137"/>
        <w:spacing w:after="0"/>
        <w:tabs>
          <w:tab w:leader="none" w:pos="11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107*</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198" w:lineRule="exact"/>
        <w:rPr>
          <w:sz w:val="20"/>
          <w:szCs w:val="20"/>
          <w:color w:val="auto"/>
        </w:rPr>
      </w:pPr>
    </w:p>
    <w:p>
      <w:pPr>
        <w:ind w:left="320" w:hanging="317"/>
        <w:spacing w:after="0"/>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To be filed by future amendment.</w:t>
      </w:r>
    </w:p>
    <w:p>
      <w:pPr>
        <w:spacing w:after="0" w:line="10" w:lineRule="exact"/>
        <w:rPr>
          <w:sz w:val="20"/>
          <w:szCs w:val="20"/>
          <w:color w:val="auto"/>
        </w:rPr>
      </w:pPr>
    </w:p>
    <w:p>
      <w:pPr>
        <w:ind w:left="320" w:hanging="317"/>
        <w:spacing w:after="0" w:line="263" w:lineRule="auto"/>
        <w:tabs>
          <w:tab w:leader="none" w:pos="3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To file, during any period in which offers or sales are being made, a post-effective amendment to this registration statement:</w:t>
      </w:r>
    </w:p>
    <w:p>
      <w:pPr>
        <w:spacing w:after="0" w:line="215" w:lineRule="exact"/>
        <w:rPr>
          <w:sz w:val="20"/>
          <w:szCs w:val="20"/>
          <w:color w:val="auto"/>
        </w:rPr>
      </w:pPr>
    </w:p>
    <w:p>
      <w:pPr>
        <w:ind w:left="520" w:hanging="210"/>
        <w:spacing w:after="0"/>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14" w:lineRule="exact"/>
        <w:rPr>
          <w:rFonts w:ascii="Times New Roman" w:cs="Times New Roman" w:eastAsia="Times New Roman" w:hAnsi="Times New Roman"/>
          <w:sz w:val="17"/>
          <w:szCs w:val="17"/>
          <w:color w:val="auto"/>
        </w:rPr>
      </w:pPr>
    </w:p>
    <w:p>
      <w:pPr>
        <w:ind w:firstLine="310"/>
        <w:spacing w:after="0" w:line="284" w:lineRule="auto"/>
        <w:tabs>
          <w:tab w:leader="none" w:pos="56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53" w:lineRule="exact"/>
        <w:rPr>
          <w:sz w:val="20"/>
          <w:szCs w:val="20"/>
          <w:color w:val="auto"/>
        </w:rPr>
      </w:pPr>
    </w:p>
    <w:p>
      <w:pPr>
        <w:jc w:val="both"/>
        <w:ind w:firstLine="308"/>
        <w:spacing w:after="0" w:line="262" w:lineRule="auto"/>
        <w:rPr>
          <w:sz w:val="20"/>
          <w:szCs w:val="20"/>
          <w:color w:val="auto"/>
        </w:rPr>
      </w:pPr>
      <w:r>
        <w:rPr>
          <w:rFonts w:ascii="Times New Roman" w:cs="Times New Roman" w:eastAsia="Times New Roman" w:hAnsi="Times New Roman"/>
          <w:sz w:val="17"/>
          <w:szCs w:val="17"/>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2" w:lineRule="exact"/>
        <w:rPr>
          <w:sz w:val="20"/>
          <w:szCs w:val="20"/>
          <w:color w:val="auto"/>
        </w:rPr>
      </w:pPr>
    </w:p>
    <w:p>
      <w:pPr>
        <w:ind w:firstLine="310"/>
        <w:spacing w:after="0" w:line="284" w:lineRule="auto"/>
        <w:tabs>
          <w:tab w:leader="none" w:pos="60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74" w:name="page175"/>
    <w:bookmarkEnd w:id="174"/>
    <w:p>
      <w:pPr>
        <w:jc w:val="both"/>
        <w:ind w:firstLine="308"/>
        <w:spacing w:after="0" w:line="284" w:lineRule="auto"/>
        <w:rPr>
          <w:sz w:val="20"/>
          <w:szCs w:val="20"/>
          <w:color w:val="auto"/>
        </w:rPr>
      </w:pPr>
      <w:r>
        <w:rPr>
          <w:rFonts w:ascii="Times New Roman" w:cs="Times New Roman" w:eastAsia="Times New Roman" w:hAnsi="Times New Roman"/>
          <w:sz w:val="17"/>
          <w:szCs w:val="17"/>
          <w:color w:val="auto"/>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3" w:lineRule="exact"/>
        <w:rPr>
          <w:sz w:val="20"/>
          <w:szCs w:val="20"/>
          <w:color w:val="auto"/>
        </w:rPr>
      </w:pPr>
    </w:p>
    <w:p>
      <w:pPr>
        <w:jc w:val="both"/>
        <w:ind w:firstLine="308"/>
        <w:spacing w:after="0" w:line="284" w:lineRule="auto"/>
        <w:rPr>
          <w:sz w:val="20"/>
          <w:szCs w:val="20"/>
          <w:color w:val="auto"/>
        </w:rPr>
      </w:pPr>
      <w:r>
        <w:rPr>
          <w:rFonts w:ascii="Times New Roman" w:cs="Times New Roman" w:eastAsia="Times New Roman" w:hAnsi="Times New Roman"/>
          <w:sz w:val="17"/>
          <w:szCs w:val="17"/>
          <w:color w:val="auto"/>
        </w:rPr>
        <w:t>C. To remove from registration by means of a post-effective amendment any of the securities being registered which remain unsold at the termination of the offering.</w:t>
      </w:r>
    </w:p>
    <w:p>
      <w:pPr>
        <w:spacing w:after="0" w:line="153" w:lineRule="exact"/>
        <w:rPr>
          <w:sz w:val="20"/>
          <w:szCs w:val="20"/>
          <w:color w:val="auto"/>
        </w:rPr>
      </w:pPr>
    </w:p>
    <w:p>
      <w:pPr>
        <w:jc w:val="both"/>
        <w:ind w:firstLine="308"/>
        <w:spacing w:after="0" w:line="257" w:lineRule="auto"/>
        <w:rPr>
          <w:sz w:val="20"/>
          <w:szCs w:val="20"/>
          <w:color w:val="auto"/>
        </w:rPr>
      </w:pPr>
      <w:r>
        <w:rPr>
          <w:rFonts w:ascii="Times New Roman" w:cs="Times New Roman" w:eastAsia="Times New Roman" w:hAnsi="Times New Roman"/>
          <w:sz w:val="17"/>
          <w:szCs w:val="17"/>
          <w:color w:val="auto"/>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6" w:lineRule="exact"/>
        <w:rPr>
          <w:sz w:val="20"/>
          <w:szCs w:val="20"/>
          <w:color w:val="auto"/>
        </w:rPr>
      </w:pPr>
    </w:p>
    <w:p>
      <w:pPr>
        <w:jc w:val="both"/>
        <w:ind w:firstLine="308"/>
        <w:spacing w:after="0" w:line="262" w:lineRule="auto"/>
        <w:rPr>
          <w:sz w:val="20"/>
          <w:szCs w:val="20"/>
          <w:color w:val="auto"/>
        </w:rPr>
      </w:pPr>
      <w:r>
        <w:rPr>
          <w:rFonts w:ascii="Times New Roman" w:cs="Times New Roman" w:eastAsia="Times New Roman" w:hAnsi="Times New Roman"/>
          <w:sz w:val="17"/>
          <w:szCs w:val="17"/>
          <w:color w:val="auto"/>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2" w:lineRule="exact"/>
        <w:rPr>
          <w:sz w:val="20"/>
          <w:szCs w:val="20"/>
          <w:color w:val="auto"/>
        </w:rPr>
      </w:pPr>
    </w:p>
    <w:p>
      <w:pPr>
        <w:ind w:left="500" w:hanging="190"/>
        <w:spacing w:after="0"/>
        <w:tabs>
          <w:tab w:leader="none" w:pos="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214" w:lineRule="exact"/>
        <w:rPr>
          <w:rFonts w:ascii="Times New Roman" w:cs="Times New Roman" w:eastAsia="Times New Roman" w:hAnsi="Times New Roman"/>
          <w:sz w:val="17"/>
          <w:szCs w:val="17"/>
          <w:color w:val="auto"/>
        </w:rPr>
      </w:pPr>
    </w:p>
    <w:p>
      <w:pPr>
        <w:ind w:firstLine="310"/>
        <w:spacing w:after="0" w:line="284" w:lineRule="auto"/>
        <w:tabs>
          <w:tab w:leader="none" w:pos="57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52" w:lineRule="exact"/>
        <w:rPr>
          <w:rFonts w:ascii="Times New Roman" w:cs="Times New Roman" w:eastAsia="Times New Roman" w:hAnsi="Times New Roman"/>
          <w:sz w:val="17"/>
          <w:szCs w:val="17"/>
          <w:color w:val="auto"/>
        </w:rPr>
      </w:pPr>
    </w:p>
    <w:p>
      <w:pPr>
        <w:ind w:firstLine="310"/>
        <w:spacing w:after="0" w:line="284" w:lineRule="auto"/>
        <w:tabs>
          <w:tab w:leader="none" w:pos="61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Times New Roman" w:cs="Times New Roman" w:eastAsia="Times New Roman" w:hAnsi="Times New Roman"/>
          <w:sz w:val="17"/>
          <w:szCs w:val="17"/>
          <w:color w:val="auto"/>
        </w:rPr>
      </w:pPr>
    </w:p>
    <w:p>
      <w:pPr>
        <w:ind w:left="600" w:hanging="290"/>
        <w:spacing w:after="0"/>
        <w:tabs>
          <w:tab w:leader="none" w:pos="6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15" w:lineRule="exact"/>
        <w:rPr>
          <w:sz w:val="20"/>
          <w:szCs w:val="20"/>
          <w:color w:val="auto"/>
        </w:rPr>
      </w:pPr>
    </w:p>
    <w:p>
      <w:pPr>
        <w:jc w:val="both"/>
        <w:ind w:firstLine="308"/>
        <w:spacing w:after="0" w:line="257" w:lineRule="auto"/>
        <w:rPr>
          <w:sz w:val="20"/>
          <w:szCs w:val="20"/>
          <w:color w:val="auto"/>
        </w:rPr>
      </w:pPr>
      <w:r>
        <w:rPr>
          <w:rFonts w:ascii="Times New Roman" w:cs="Times New Roman" w:eastAsia="Times New Roman" w:hAnsi="Times New Roman"/>
          <w:sz w:val="17"/>
          <w:szCs w:val="17"/>
          <w:color w:val="auto"/>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jc w:val="both"/>
        <w:ind w:firstLine="308"/>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January 28,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Edmund Nabrotzky</w:t>
            </w:r>
          </w:p>
        </w:tc>
      </w:tr>
      <w:tr>
        <w:trPr>
          <w:trHeight w:val="189"/>
        </w:trPr>
        <w:tc>
          <w:tcPr>
            <w:tcW w:w="68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Edmund Nabrotzky</w:t>
            </w:r>
          </w:p>
        </w:tc>
      </w:tr>
      <w:tr>
        <w:trPr>
          <w:trHeight w:val="222"/>
        </w:trPr>
        <w:tc>
          <w:tcPr>
            <w:tcW w:w="6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jc w:val="both"/>
        <w:ind w:firstLine="308"/>
        <w:spacing w:after="0" w:line="257" w:lineRule="auto"/>
        <w:rPr>
          <w:sz w:val="20"/>
          <w:szCs w:val="20"/>
          <w:color w:val="auto"/>
        </w:rPr>
      </w:pPr>
      <w:r>
        <w:rPr>
          <w:rFonts w:ascii="Times New Roman" w:cs="Times New Roman" w:eastAsia="Times New Roman" w:hAnsi="Times New Roman"/>
          <w:sz w:val="17"/>
          <w:szCs w:val="17"/>
          <w:color w:val="auto"/>
        </w:rPr>
        <w:t>KNOW ALL MEN BY THESE PRESENTS, that of the undersigned constitutes and appoints Edmund Nabrotzky and Charles Maddox, and each of them, his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6" w:lineRule="exact"/>
        <w:rPr>
          <w:sz w:val="20"/>
          <w:szCs w:val="20"/>
          <w:color w:val="auto"/>
        </w:rPr>
      </w:pPr>
    </w:p>
    <w:p>
      <w:pPr>
        <w:jc w:val="both"/>
        <w:ind w:firstLine="308"/>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below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120" w:type="dxa"/>
            <w:vAlign w:val="bottom"/>
          </w:tcPr>
          <w:p>
            <w:pPr>
              <w:spacing w:after="0"/>
              <w:rPr>
                <w:sz w:val="20"/>
                <w:szCs w:val="20"/>
                <w:color w:val="auto"/>
              </w:rPr>
            </w:pP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394"/>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 Edmund Nabrotzky</w:t>
            </w:r>
          </w:p>
        </w:tc>
        <w:tc>
          <w:tcPr>
            <w:tcW w:w="120" w:type="dxa"/>
            <w:vAlign w:val="bottom"/>
          </w:tcPr>
          <w:p>
            <w:pPr>
              <w:spacing w:after="0"/>
              <w:rPr>
                <w:sz w:val="24"/>
                <w:szCs w:val="24"/>
                <w:color w:val="auto"/>
              </w:rPr>
            </w:pPr>
          </w:p>
        </w:tc>
        <w:tc>
          <w:tcPr>
            <w:tcW w:w="6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Edmund Nabrotzky</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Charles Maddox</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 (principal financial 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Charles Maddox</w:t>
            </w:r>
          </w:p>
        </w:tc>
        <w:tc>
          <w:tcPr>
            <w:tcW w:w="120" w:type="dxa"/>
            <w:vAlign w:val="bottom"/>
          </w:tcPr>
          <w:p>
            <w:pPr>
              <w:spacing w:after="0"/>
              <w:rPr>
                <w:sz w:val="19"/>
                <w:szCs w:val="19"/>
                <w:color w:val="auto"/>
              </w:rPr>
            </w:pPr>
          </w:p>
        </w:tc>
        <w:tc>
          <w:tcPr>
            <w:tcW w:w="6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accounting officer)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Sheldon Paul</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Sheldon Paul</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Janice Bryant Howroyd</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Janice Bryant Howroyd</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Walter Skowronski</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Walter Skowronski</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Carlson</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Dr. David Carlson</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Phyllis Newhouse</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Phyllis Newhouse</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Jeff Saling</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28, 2026</w:t>
            </w:r>
          </w:p>
        </w:tc>
        <w:tc>
          <w:tcPr>
            <w:tcW w:w="0" w:type="dxa"/>
            <w:vAlign w:val="bottom"/>
          </w:tcPr>
          <w:p>
            <w:pPr>
              <w:spacing w:after="0"/>
              <w:rPr>
                <w:sz w:val="1"/>
                <w:szCs w:val="1"/>
                <w:color w:val="auto"/>
              </w:rPr>
            </w:pPr>
          </w:p>
        </w:tc>
      </w:tr>
      <w:tr>
        <w:trPr>
          <w:trHeight w:val="222"/>
        </w:trPr>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Jeff Saling</w:t>
            </w:r>
          </w:p>
        </w:tc>
        <w:tc>
          <w:tcPr>
            <w:tcW w:w="1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2"/>
          </w:tcPr>
          <w:p>
            <w:pPr>
              <w:ind w:left="2560"/>
              <w:spacing w:after="0"/>
              <w:rPr>
                <w:sz w:val="20"/>
                <w:szCs w:val="20"/>
                <w:color w:val="auto"/>
              </w:rPr>
            </w:pPr>
            <w:r>
              <w:rPr>
                <w:rFonts w:ascii="Times New Roman" w:cs="Times New Roman" w:eastAsia="Times New Roman" w:hAnsi="Times New Roman"/>
                <w:sz w:val="17"/>
                <w:szCs w:val="17"/>
                <w:color w:val="auto"/>
              </w:rPr>
              <w:t>II-5</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1440" w:gutter="0" w:footer="0" w:header="0"/>
        </w:sectPr>
      </w:pPr>
    </w:p>
    <w:bookmarkStart w:id="176" w:name="page177"/>
    <w:bookmarkEnd w:id="176"/>
    <w:p>
      <w:pPr>
        <w:ind w:left="10280"/>
        <w:spacing w:after="0"/>
        <w:rPr>
          <w:sz w:val="20"/>
          <w:szCs w:val="20"/>
          <w:color w:val="auto"/>
        </w:rPr>
      </w:pPr>
      <w:r>
        <w:rPr>
          <w:rFonts w:ascii="Times New Roman" w:cs="Times New Roman" w:eastAsia="Times New Roman" w:hAnsi="Times New Roman"/>
          <w:sz w:val="19"/>
          <w:szCs w:val="19"/>
          <w:b w:val="1"/>
          <w:bCs w:val="1"/>
          <w:color w:val="auto"/>
        </w:rPr>
        <w:t>Exhibit 4.6</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SERIES A-1 COMMON STOCK PURCHASE WARRANT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CID HOLDCO, INC.</w:t>
      </w:r>
    </w:p>
    <w:p>
      <w:pPr>
        <w:sectPr>
          <w:pgSz w:w="11900" w:h="16838" w:orient="portrait"/>
          <w:cols w:equalWidth="0" w:num="1">
            <w:col w:w="11240"/>
          </w:cols>
          <w:pgMar w:left="320" w:top="110"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Exercise Date: ______, 2026</w:t>
      </w:r>
    </w:p>
    <w:p>
      <w:pPr>
        <w:spacing w:after="0" w:line="211" w:lineRule="exact"/>
        <w:rPr>
          <w:sz w:val="20"/>
          <w:szCs w:val="20"/>
          <w:color w:val="auto"/>
        </w:rPr>
      </w:pPr>
    </w:p>
    <w:p>
      <w:pPr>
        <w:sectPr>
          <w:pgSz w:w="11900" w:h="16838" w:orient="portrait"/>
          <w:cols w:equalWidth="0" w:num="2">
            <w:col w:w="8100" w:space="720"/>
            <w:col w:w="2420"/>
          </w:cols>
          <w:pgMar w:left="320" w:top="110" w:right="339" w:bottom="1440" w:gutter="0" w:footer="0" w:header="0"/>
          <w:type w:val="continuous"/>
        </w:sectPr>
      </w:pP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THIS SERIES A-1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 its assigns</w:t>
      </w:r>
    </w:p>
    <w:p>
      <w:pPr>
        <w:spacing w:after="0" w:line="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[Stockholder Approval Date]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the date that is the five (5) year anniversary of the Initial Exercise Date, provided that, if such date is not a Trading Day, the date that is the immediately following Trading Day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CID Holdco,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In addition to the terms defined elsewhere in this Warrant, the following terms have the meanings indicated in this Section 1:</w:t>
      </w:r>
    </w:p>
    <w:p>
      <w:pPr>
        <w:spacing w:after="0" w:line="21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78308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0" w:lineRule="exact"/>
        <w:rPr>
          <w:sz w:val="20"/>
          <w:szCs w:val="20"/>
          <w:color w:val="auto"/>
        </w:rPr>
      </w:pPr>
    </w:p>
    <w:p>
      <w:pPr>
        <w:jc w:val="both"/>
        <w:ind w:left="320" w:hanging="317"/>
        <w:spacing w:after="0" w:line="212" w:lineRule="auto"/>
        <w:tabs>
          <w:tab w:leader="none" w:pos="320" w:val="left"/>
        </w:tabs>
        <w:numPr>
          <w:ilvl w:val="0"/>
          <w:numId w:val="7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Replace bracketed language with “date hereof” if (i) the Per Share Purchase Price (as defined in the Purchase Agreement) equals or exceeds the sum of (a) the applicable “Minimum Price” per share under Nasdaq rule 5635(d) and (b) $0.125 per whole Warrant Share or (ii) the offering is a discounted offering where the pricing and discount (including attributing a value of $0.125 per whole Warrant Share) meet the pricing requirements under Nasdaq’s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13930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177" w:name="page178"/>
    <w:bookmarkEnd w:id="17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15"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$0.0001 per share, and any other class of securities into which such securities may hereafter be reclassified or changed.</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securities purchase agreement, dated as of _____, 2026, by and between the Company and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signatory thereto.</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333-_____).</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means such approval as may be required by the applicable rules and regulations of The Nasdaq Stock Market LLC (or any successor entity) from the stockholders of the Company with respect to the issuance of all the Warrants and the Warrant Shares upon the exercise thereof.</w:t>
      </w:r>
    </w:p>
    <w:p>
      <w:pPr>
        <w:spacing w:after="0" w:line="3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78" w:name="page179"/>
    <w:bookmarkEnd w:id="178"/>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 Date</w:t>
      </w:r>
      <w:r>
        <w:rPr>
          <w:rFonts w:ascii="Times New Roman" w:cs="Times New Roman" w:eastAsia="Times New Roman" w:hAnsi="Times New Roman"/>
          <w:sz w:val="17"/>
          <w:szCs w:val="17"/>
          <w:color w:val="auto"/>
        </w:rPr>
        <w:t>” means the date on which Stockholder Approval is received and deemed effective under Delaware law.]</w:t>
      </w:r>
      <w:r>
        <w:rPr>
          <w:rFonts w:ascii="Times New Roman" w:cs="Times New Roman" w:eastAsia="Times New Roman" w:hAnsi="Times New Roman"/>
          <w:sz w:val="28"/>
          <w:szCs w:val="28"/>
          <w:color w:val="auto"/>
          <w:vertAlign w:val="superscript"/>
        </w:rPr>
        <w:t>2</w:t>
      </w:r>
    </w:p>
    <w:p>
      <w:pPr>
        <w:spacing w:after="0" w:line="12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Company and shall, where applicable, also include any direct or indirect subsidiary of the Company formed or acquired after the date hereof.</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15" w:lineRule="exact"/>
        <w:rPr>
          <w:sz w:val="20"/>
          <w:szCs w:val="20"/>
          <w:color w:val="auto"/>
        </w:rPr>
      </w:pPr>
    </w:p>
    <w:p>
      <w:pPr>
        <w:jc w:val="both"/>
        <w:ind w:left="620"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66"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Continental Stock Transfer &amp; Trust Company, the current transfer agent of the Company, with a mailing address of 1 State Street, 30th Floor, New York, NY 10004, and any successor transfer agent of the Company.</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this Warrant and other Common Stock purchase warrants issued by the Company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178308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33" w:lineRule="exact"/>
        <w:rPr>
          <w:sz w:val="20"/>
          <w:szCs w:val="20"/>
          <w:color w:val="auto"/>
        </w:rPr>
      </w:pPr>
    </w:p>
    <w:p>
      <w:pPr>
        <w:jc w:val="both"/>
        <w:ind w:left="320" w:hanging="317"/>
        <w:spacing w:after="0" w:line="212" w:lineRule="auto"/>
        <w:tabs>
          <w:tab w:leader="none" w:pos="320" w:val="left"/>
        </w:tabs>
        <w:numPr>
          <w:ilvl w:val="0"/>
          <w:numId w:val="7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Delete bracketed language if (i) the Per Share Purchase Price equals or exceeds the sum of (a) the applicable “Minimum Price” per share under Nasdaq rule 5635(d) and (b) $0.125 per whole Warrant Share or (ii) the offering is a discounted offering where the pricing and discount (including attributing a value of $0.125 per whole Warrant Share) meet the pricing requirements under Nasdaq’s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3" w:lineRule="auto"/>
        <w:tabs>
          <w:tab w:leader="none" w:pos="79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7"/>
          <w:szCs w:val="17"/>
          <w:b w:val="1"/>
          <w:bCs w:val="1"/>
          <w:color w:val="auto"/>
        </w:rPr>
        <w:t>The Holder and any assignee,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4" w:lineRule="exact"/>
        <w:rPr>
          <w:rFonts w:ascii="Times New Roman" w:cs="Times New Roman" w:eastAsia="Times New Roman" w:hAnsi="Times New Roman"/>
          <w:sz w:val="17"/>
          <w:szCs w:val="17"/>
          <w:color w:val="auto"/>
        </w:rPr>
      </w:pPr>
    </w:p>
    <w:p>
      <w:pPr>
        <w:ind w:firstLine="613"/>
        <w:spacing w:after="0" w:line="289" w:lineRule="auto"/>
        <w:tabs>
          <w:tab w:leader="none" w:pos="82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per share of Common Stock under this Warrant shall be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_____,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jc w:val="both"/>
        <w:ind w:firstLine="613"/>
        <w:spacing w:after="0" w:line="262" w:lineRule="auto"/>
        <w:tabs>
          <w:tab w:leader="none" w:pos="79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2" w:lineRule="exact"/>
        <w:rPr>
          <w:sz w:val="20"/>
          <w:szCs w:val="20"/>
          <w:color w:val="auto"/>
        </w:rPr>
      </w:pPr>
    </w:p>
    <w:p>
      <w:pPr>
        <w:ind w:left="1160" w:hanging="547"/>
        <w:spacing w:after="0" w:line="255" w:lineRule="auto"/>
        <w:tabs>
          <w:tab w:leader="none" w:pos="88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81" w:lineRule="exact"/>
        <w:rPr>
          <w:rFonts w:ascii="Times New Roman" w:cs="Times New Roman" w:eastAsia="Times New Roman" w:hAnsi="Times New Roman"/>
          <w:sz w:val="17"/>
          <w:szCs w:val="17"/>
          <w:color w:val="auto"/>
        </w:rPr>
      </w:pPr>
    </w:p>
    <w:p>
      <w:pPr>
        <w:ind w:left="880" w:hanging="267"/>
        <w:spacing w:after="0"/>
        <w:tabs>
          <w:tab w:leader="none" w:pos="8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215" w:lineRule="exact"/>
        <w:rPr>
          <w:sz w:val="20"/>
          <w:szCs w:val="20"/>
          <w:color w:val="auto"/>
        </w:rPr>
      </w:pPr>
    </w:p>
    <w:p>
      <w:pPr>
        <w:ind w:left="1160" w:hanging="547"/>
        <w:spacing w:after="0" w:line="284" w:lineRule="auto"/>
        <w:tabs>
          <w:tab w:leader="none" w:pos="88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3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80" w:name="page181"/>
    <w:bookmarkEnd w:id="180"/>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66" w:lineRule="exact"/>
        <w:rPr>
          <w:sz w:val="20"/>
          <w:szCs w:val="20"/>
          <w:color w:val="auto"/>
        </w:rPr>
      </w:pPr>
    </w:p>
    <w:p>
      <w:pPr>
        <w:ind w:left="800" w:hanging="187"/>
        <w:spacing w:after="0"/>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1220" w:firstLine="624"/>
        <w:spacing w:after="0" w:line="253" w:lineRule="auto"/>
        <w:tabs>
          <w:tab w:leader="none" w:pos="200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3" w:lineRule="exact"/>
        <w:rPr>
          <w:sz w:val="20"/>
          <w:szCs w:val="20"/>
          <w:color w:val="auto"/>
        </w:rPr>
      </w:pPr>
    </w:p>
    <w:p>
      <w:pPr>
        <w:jc w:val="both"/>
        <w:ind w:left="1220"/>
        <w:spacing w:after="0" w:line="241" w:lineRule="auto"/>
        <w:rPr>
          <w:sz w:val="20"/>
          <w:szCs w:val="20"/>
          <w:color w:val="auto"/>
        </w:rPr>
      </w:pPr>
      <w:r>
        <w:rPr>
          <w:rFonts w:ascii="Times New Roman" w:cs="Times New Roman" w:eastAsia="Times New Roman" w:hAnsi="Times New Roman"/>
          <w:sz w:val="17"/>
          <w:szCs w:val="17"/>
          <w:color w:val="auto"/>
        </w:rPr>
        <w:t>Notice of Exercise), $10 per Trading Day (increasing to $20 per Trading Day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8" w:lineRule="exact"/>
        <w:rPr>
          <w:sz w:val="20"/>
          <w:szCs w:val="20"/>
          <w:color w:val="auto"/>
        </w:rPr>
      </w:pPr>
    </w:p>
    <w:p>
      <w:pPr>
        <w:jc w:val="both"/>
        <w:ind w:left="1220" w:firstLine="624"/>
        <w:spacing w:after="0" w:line="262" w:lineRule="auto"/>
        <w:tabs>
          <w:tab w:leader="none" w:pos="201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Times New Roman" w:cs="Times New Roman" w:eastAsia="Times New Roman" w:hAnsi="Times New Roman"/>
          <w:sz w:val="17"/>
          <w:szCs w:val="17"/>
          <w:color w:val="auto"/>
        </w:rPr>
      </w:pPr>
    </w:p>
    <w:p>
      <w:pPr>
        <w:ind w:left="1220" w:firstLine="624"/>
        <w:spacing w:after="0" w:line="284" w:lineRule="auto"/>
        <w:tabs>
          <w:tab w:leader="none" w:pos="206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3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81" w:name="page182"/>
    <w:bookmarkEnd w:id="181"/>
    <w:p>
      <w:pPr>
        <w:jc w:val="both"/>
        <w:ind w:left="720" w:firstLine="624"/>
        <w:spacing w:after="0" w:line="253" w:lineRule="auto"/>
        <w:tabs>
          <w:tab w:leader="none" w:pos="156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49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Times New Roman" w:cs="Times New Roman" w:eastAsia="Times New Roman" w:hAnsi="Times New Roman"/>
          <w:sz w:val="17"/>
          <w:szCs w:val="17"/>
          <w:color w:val="auto"/>
        </w:rPr>
      </w:pPr>
    </w:p>
    <w:p>
      <w:pPr>
        <w:jc w:val="both"/>
        <w:ind w:left="720" w:firstLine="624"/>
        <w:spacing w:after="0" w:line="255" w:lineRule="auto"/>
        <w:tabs>
          <w:tab w:leader="none" w:pos="157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9" w:right="339" w:bottom="1440" w:gutter="0" w:footer="0" w:header="0"/>
        </w:sectPr>
      </w:pPr>
    </w:p>
    <w:bookmarkStart w:id="182" w:name="page183"/>
    <w:bookmarkEnd w:id="182"/>
    <w:p>
      <w:pPr>
        <w:ind w:left="1220" w:firstLine="624"/>
        <w:spacing w:after="0" w:line="284" w:lineRule="auto"/>
        <w:tabs>
          <w:tab w:leader="none" w:pos="2101"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52" w:lineRule="exact"/>
        <w:rPr>
          <w:rFonts w:ascii="Times New Roman" w:cs="Times New Roman" w:eastAsia="Times New Roman" w:hAnsi="Times New Roman"/>
          <w:sz w:val="17"/>
          <w:szCs w:val="17"/>
          <w:color w:val="auto"/>
        </w:rPr>
      </w:pPr>
    </w:p>
    <w:p>
      <w:pPr>
        <w:jc w:val="both"/>
        <w:ind w:firstLine="613"/>
        <w:spacing w:after="0" w:line="252" w:lineRule="auto"/>
        <w:tabs>
          <w:tab w:leader="none" w:pos="79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w:t>
      </w:r>
    </w:p>
    <w:p>
      <w:pPr>
        <w:spacing w:after="0" w:line="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and the provisions of this Section 2(e) shall continue to 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80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5"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4" w:lineRule="auto"/>
        <w:tabs>
          <w:tab w:leader="none" w:pos="8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9" w:right="339" w:bottom="1440" w:gutter="0" w:footer="0" w:header="0"/>
        </w:sectPr>
      </w:pPr>
    </w:p>
    <w:bookmarkStart w:id="184" w:name="page185"/>
    <w:bookmarkEnd w:id="184"/>
    <w:p>
      <w:pPr>
        <w:jc w:val="both"/>
        <w:ind w:left="2" w:firstLine="613"/>
        <w:spacing w:after="0" w:line="254" w:lineRule="auto"/>
        <w:tabs>
          <w:tab w:leader="none" w:pos="815"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2" w:lineRule="exact"/>
        <w:rPr>
          <w:rFonts w:ascii="Times New Roman" w:cs="Times New Roman" w:eastAsia="Times New Roman" w:hAnsi="Times New Roman"/>
          <w:sz w:val="17"/>
          <w:szCs w:val="17"/>
          <w:color w:val="auto"/>
        </w:rPr>
      </w:pPr>
    </w:p>
    <w:p>
      <w:pPr>
        <w:jc w:val="both"/>
        <w:ind w:left="2" w:hanging="2"/>
        <w:spacing w:after="0" w:line="252" w:lineRule="auto"/>
        <w:tabs>
          <w:tab w:leader="none" w:pos="28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386" w:lineRule="exact"/>
        <w:rPr>
          <w:sz w:val="20"/>
          <w:szCs w:val="20"/>
          <w:color w:val="auto"/>
        </w:rPr>
      </w:pPr>
    </w:p>
    <w:p>
      <w:pPr>
        <w:ind w:left="4962"/>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16510</wp:posOffset>
            </wp:positionV>
            <wp:extent cx="713930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2"/>
          </w:cols>
          <w:pgMar w:left="938" w:top="328" w:right="339" w:bottom="1440" w:gutter="0" w:footer="0" w:header="0"/>
        </w:sectPr>
      </w:pPr>
    </w:p>
    <w:bookmarkStart w:id="185" w:name="page186"/>
    <w:bookmarkEnd w:id="185"/>
    <w:p>
      <w:pPr>
        <w:jc w:val="both"/>
        <w:ind w:left="-500" w:firstLine="613"/>
        <w:spacing w:after="0" w:line="268" w:lineRule="auto"/>
        <w:tabs>
          <w:tab w:leader="none" w:pos="29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Times New Roman" w:cs="Times New Roman" w:eastAsia="Times New Roman" w:hAnsi="Times New Roman"/>
          <w:sz w:val="17"/>
          <w:szCs w:val="17"/>
          <w:color w:val="auto"/>
        </w:rPr>
      </w:pPr>
    </w:p>
    <w:p>
      <w:pPr>
        <w:ind w:left="260" w:hanging="147"/>
        <w:spacing w:after="0"/>
        <w:tabs>
          <w:tab w:leader="none" w:pos="2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720" w:firstLine="624"/>
        <w:spacing w:after="0" w:line="268" w:lineRule="auto"/>
        <w:tabs>
          <w:tab w:leader="none" w:pos="1494"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65"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516"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w:t>
      </w:r>
    </w:p>
    <w:p>
      <w:pPr>
        <w:jc w:val="both"/>
        <w:ind w:left="720" w:firstLine="9"/>
        <w:spacing w:after="0" w:line="252" w:lineRule="auto"/>
        <w:tabs>
          <w:tab w:leader="none" w:pos="100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5" w:lineRule="exact"/>
        <w:rPr>
          <w:rFonts w:ascii="Times New Roman" w:cs="Times New Roman" w:eastAsia="Times New Roman" w:hAnsi="Times New Roman"/>
          <w:sz w:val="17"/>
          <w:szCs w:val="17"/>
          <w:color w:val="auto"/>
        </w:rPr>
      </w:pPr>
    </w:p>
    <w:p>
      <w:pPr>
        <w:jc w:val="both"/>
        <w:ind w:left="-500" w:firstLine="613"/>
        <w:spacing w:after="0" w:line="268" w:lineRule="auto"/>
        <w:tabs>
          <w:tab w:leader="none" w:pos="3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79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9" w:lineRule="exact"/>
        <w:rPr>
          <w:rFonts w:ascii="Times New Roman" w:cs="Times New Roman" w:eastAsia="Times New Roman" w:hAnsi="Times New Roman"/>
          <w:sz w:val="17"/>
          <w:szCs w:val="17"/>
          <w:color w:val="auto"/>
        </w:rPr>
      </w:pPr>
    </w:p>
    <w:p>
      <w:pPr>
        <w:jc w:val="both"/>
        <w:ind w:firstLine="613"/>
        <w:spacing w:after="0" w:line="258" w:lineRule="auto"/>
        <w:tabs>
          <w:tab w:leader="none" w:pos="8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4" w:lineRule="exact"/>
        <w:rPr>
          <w:rFonts w:ascii="Times New Roman" w:cs="Times New Roman" w:eastAsia="Times New Roman" w:hAnsi="Times New Roman"/>
          <w:sz w:val="17"/>
          <w:szCs w:val="17"/>
          <w:color w:val="auto"/>
        </w:rPr>
      </w:pPr>
    </w:p>
    <w:p>
      <w:pPr>
        <w:jc w:val="both"/>
        <w:ind w:firstLine="613"/>
        <w:spacing w:after="0" w:line="262" w:lineRule="auto"/>
        <w:tabs>
          <w:tab w:leader="none" w:pos="80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62" w:lineRule="auto"/>
        <w:tabs>
          <w:tab w:leader="none" w:pos="79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1" w:lineRule="exact"/>
        <w:rPr>
          <w:rFonts w:ascii="Times New Roman" w:cs="Times New Roman" w:eastAsia="Times New Roman" w:hAnsi="Times New Roman"/>
          <w:sz w:val="17"/>
          <w:szCs w:val="17"/>
          <w:color w:val="auto"/>
        </w:rPr>
      </w:pPr>
    </w:p>
    <w:p>
      <w:pPr>
        <w:jc w:val="both"/>
        <w:ind w:firstLine="613"/>
        <w:spacing w:after="0" w:line="260" w:lineRule="auto"/>
        <w:tabs>
          <w:tab w:leader="none" w:pos="82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3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87" w:name="page188"/>
    <w:bookmarkEnd w:id="187"/>
    <w:p>
      <w:pPr>
        <w:ind w:left="-500" w:firstLine="613"/>
        <w:spacing w:after="0" w:line="284" w:lineRule="auto"/>
        <w:tabs>
          <w:tab w:leader="none" w:pos="30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2" w:lineRule="exact"/>
        <w:rPr>
          <w:rFonts w:ascii="Times New Roman" w:cs="Times New Roman" w:eastAsia="Times New Roman" w:hAnsi="Times New Roman"/>
          <w:sz w:val="17"/>
          <w:szCs w:val="17"/>
          <w:color w:val="auto"/>
        </w:rPr>
      </w:pPr>
    </w:p>
    <w:p>
      <w:pPr>
        <w:ind w:left="300" w:hanging="187"/>
        <w:spacing w:after="0"/>
        <w:tabs>
          <w:tab w:leader="none" w:pos="3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left="120" w:firstLine="615"/>
        <w:spacing w:after="0" w:line="255"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9" w:lineRule="exact"/>
        <w:rPr>
          <w:sz w:val="20"/>
          <w:szCs w:val="20"/>
          <w:color w:val="auto"/>
        </w:rPr>
      </w:pPr>
    </w:p>
    <w:p>
      <w:pPr>
        <w:jc w:val="both"/>
        <w:ind w:left="120" w:firstLine="615"/>
        <w:spacing w:after="0" w:line="255"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9" w:lineRule="exact"/>
        <w:rPr>
          <w:sz w:val="20"/>
          <w:szCs w:val="20"/>
          <w:color w:val="auto"/>
        </w:rPr>
      </w:pPr>
    </w:p>
    <w:p>
      <w:pPr>
        <w:jc w:val="both"/>
        <w:ind w:left="120" w:firstLine="615"/>
        <w:spacing w:after="0" w:line="268"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188" w:name="page189"/>
    <w:bookmarkEnd w:id="188"/>
    <w:p>
      <w:pPr>
        <w:jc w:val="both"/>
        <w:ind w:left="-500" w:firstLine="613"/>
        <w:spacing w:after="0" w:line="254" w:lineRule="auto"/>
        <w:tabs>
          <w:tab w:leader="none" w:pos="29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0" w:lineRule="exact"/>
        <w:rPr>
          <w:rFonts w:ascii="Times New Roman" w:cs="Times New Roman" w:eastAsia="Times New Roman" w:hAnsi="Times New Roman"/>
          <w:sz w:val="17"/>
          <w:szCs w:val="17"/>
          <w:color w:val="auto"/>
        </w:rPr>
      </w:pPr>
    </w:p>
    <w:p>
      <w:pPr>
        <w:ind w:left="-500" w:firstLine="613"/>
        <w:spacing w:after="0" w:line="284" w:lineRule="auto"/>
        <w:tabs>
          <w:tab w:leader="none" w:pos="28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2" w:lineRule="exact"/>
        <w:rPr>
          <w:rFonts w:ascii="Times New Roman" w:cs="Times New Roman" w:eastAsia="Times New Roman" w:hAnsi="Times New Roman"/>
          <w:sz w:val="17"/>
          <w:szCs w:val="17"/>
          <w:color w:val="auto"/>
        </w:rPr>
      </w:pPr>
    </w:p>
    <w:p>
      <w:pPr>
        <w:jc w:val="both"/>
        <w:ind w:left="-500" w:firstLine="613"/>
        <w:spacing w:after="0" w:line="258" w:lineRule="auto"/>
        <w:tabs>
          <w:tab w:leader="none" w:pos="3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4" w:lineRule="exact"/>
        <w:rPr>
          <w:rFonts w:ascii="Times New Roman" w:cs="Times New Roman" w:eastAsia="Times New Roman" w:hAnsi="Times New Roman"/>
          <w:sz w:val="17"/>
          <w:szCs w:val="17"/>
          <w:color w:val="auto"/>
        </w:rPr>
      </w:pPr>
    </w:p>
    <w:p>
      <w:pPr>
        <w:jc w:val="both"/>
        <w:ind w:left="-500" w:firstLine="613"/>
        <w:spacing w:after="0" w:line="254" w:lineRule="auto"/>
        <w:tabs>
          <w:tab w:leader="none" w:pos="3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 Attention: </w:t>
      </w:r>
      <w:r>
        <w:rPr>
          <w:rFonts w:ascii="Times New Roman" w:cs="Times New Roman" w:eastAsia="Times New Roman" w:hAnsi="Times New Roman"/>
          <w:sz w:val="17"/>
          <w:szCs w:val="17"/>
          <w:b w:val="1"/>
          <w:bCs w:val="1"/>
          <w:color w:val="auto"/>
        </w:rPr>
        <w:t>________</w:t>
      </w:r>
      <w:r>
        <w:rPr>
          <w:rFonts w:ascii="Times New Roman" w:cs="Times New Roman" w:eastAsia="Times New Roman" w:hAnsi="Times New Roman"/>
          <w:sz w:val="17"/>
          <w:szCs w:val="17"/>
          <w:color w:val="auto"/>
        </w:rPr>
        <w:t>, email address: 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189" w:name="page190"/>
    <w:bookmarkEnd w:id="189"/>
    <w:p>
      <w:pPr>
        <w:jc w:val="both"/>
        <w:ind w:firstLine="613"/>
        <w:spacing w:after="0" w:line="268" w:lineRule="auto"/>
        <w:tabs>
          <w:tab w:leader="none" w:pos="76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5" w:lineRule="exact"/>
        <w:rPr>
          <w:rFonts w:ascii="Times New Roman" w:cs="Times New Roman" w:eastAsia="Times New Roman" w:hAnsi="Times New Roman"/>
          <w:sz w:val="17"/>
          <w:szCs w:val="17"/>
          <w:color w:val="auto"/>
        </w:rPr>
      </w:pPr>
    </w:p>
    <w:p>
      <w:pPr>
        <w:jc w:val="both"/>
        <w:ind w:firstLine="613"/>
        <w:spacing w:after="0" w:line="262" w:lineRule="auto"/>
        <w:tabs>
          <w:tab w:leader="none" w:pos="77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1" w:lineRule="exact"/>
        <w:rPr>
          <w:rFonts w:ascii="Times New Roman" w:cs="Times New Roman" w:eastAsia="Times New Roman" w:hAnsi="Times New Roman"/>
          <w:sz w:val="17"/>
          <w:szCs w:val="17"/>
          <w:color w:val="auto"/>
        </w:rPr>
      </w:pPr>
    </w:p>
    <w:p>
      <w:pPr>
        <w:jc w:val="both"/>
        <w:ind w:firstLine="613"/>
        <w:spacing w:after="0" w:line="262" w:lineRule="auto"/>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78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52" w:lineRule="exact"/>
        <w:rPr>
          <w:rFonts w:ascii="Times New Roman" w:cs="Times New Roman" w:eastAsia="Times New Roman" w:hAnsi="Times New Roman"/>
          <w:sz w:val="17"/>
          <w:szCs w:val="17"/>
          <w:color w:val="auto"/>
        </w:rPr>
      </w:pPr>
    </w:p>
    <w:p>
      <w:pPr>
        <w:jc w:val="both"/>
        <w:ind w:firstLine="613"/>
        <w:spacing w:after="0" w:line="268" w:lineRule="auto"/>
        <w:tabs>
          <w:tab w:leader="none" w:pos="873"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5" w:lineRule="exact"/>
        <w:rPr>
          <w:rFonts w:ascii="Times New Roman" w:cs="Times New Roman" w:eastAsia="Times New Roman" w:hAnsi="Times New Roman"/>
          <w:sz w:val="17"/>
          <w:szCs w:val="17"/>
          <w:color w:val="auto"/>
        </w:rPr>
      </w:pPr>
    </w:p>
    <w:p>
      <w:pPr>
        <w:ind w:left="800" w:hanging="187"/>
        <w:spacing w:after="0"/>
        <w:tabs>
          <w:tab w:leader="none" w:pos="8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w:t>
      </w:r>
    </w:p>
    <w:p>
      <w:pPr>
        <w:spacing w:after="0" w:line="1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16510</wp:posOffset>
            </wp:positionV>
            <wp:extent cx="249110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2491105" cy="16510"/>
                    </a:xfrm>
                    <a:prstGeom prst="rect">
                      <a:avLst/>
                    </a:prstGeom>
                    <a:noFill/>
                  </pic:spPr>
                </pic:pic>
              </a:graphicData>
            </a:graphic>
          </wp:anchor>
        </w:drawing>
      </w:r>
    </w:p>
    <w:p>
      <w:pPr>
        <w:spacing w:after="0" w:line="1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firstLine="1233"/>
        <w:spacing w:after="0" w:line="284" w:lineRule="auto"/>
        <w:tabs>
          <w:tab w:leader="none" w:pos="148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Times New Roman" w:cs="Times New Roman" w:eastAsia="Times New Roman" w:hAnsi="Times New Roman"/>
          <w:sz w:val="17"/>
          <w:szCs w:val="17"/>
          <w:color w:val="auto"/>
        </w:rPr>
      </w:pPr>
    </w:p>
    <w:p>
      <w:pPr>
        <w:ind w:left="1480" w:hanging="247"/>
        <w:spacing w:after="0"/>
        <w:tabs>
          <w:tab w:leader="none" w:pos="14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4" w:lineRule="exact"/>
        <w:rPr>
          <w:rFonts w:ascii="Times New Roman" w:cs="Times New Roman" w:eastAsia="Times New Roman" w:hAnsi="Times New Roman"/>
          <w:sz w:val="17"/>
          <w:szCs w:val="17"/>
          <w:color w:val="auto"/>
        </w:rPr>
      </w:pPr>
    </w:p>
    <w:p>
      <w:pPr>
        <w:ind w:left="2040" w:hanging="191"/>
        <w:spacing w:after="0"/>
        <w:tabs>
          <w:tab w:leader="none" w:pos="2040" w:val="left"/>
        </w:tabs>
        <w:numPr>
          <w:ilvl w:val="1"/>
          <w:numId w:val="9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214" w:lineRule="exact"/>
        <w:rPr>
          <w:rFonts w:ascii="MS PGothic" w:cs="MS PGothic" w:eastAsia="MS PGothic" w:hAnsi="MS PGothic"/>
          <w:sz w:val="17"/>
          <w:szCs w:val="17"/>
          <w:color w:val="auto"/>
        </w:rPr>
      </w:pPr>
    </w:p>
    <w:p>
      <w:pPr>
        <w:jc w:val="both"/>
        <w:ind w:left="1840" w:firstLine="9"/>
        <w:spacing w:after="0" w:line="268" w:lineRule="auto"/>
        <w:tabs>
          <w:tab w:leader="none" w:pos="2039" w:val="left"/>
        </w:tabs>
        <w:numPr>
          <w:ilvl w:val="1"/>
          <w:numId w:val="9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5" w:lineRule="exact"/>
        <w:rPr>
          <w:rFonts w:ascii="MS PGothic" w:cs="MS PGothic" w:eastAsia="MS PGothic" w:hAnsi="MS PGothic"/>
          <w:sz w:val="17"/>
          <w:szCs w:val="17"/>
          <w:color w:val="auto"/>
        </w:rPr>
      </w:pPr>
    </w:p>
    <w:p>
      <w:pPr>
        <w:ind w:left="1480" w:hanging="247"/>
        <w:spacing w:after="0"/>
        <w:tabs>
          <w:tab w:leader="none" w:pos="14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4" w:lineRule="exact"/>
        <w:rPr>
          <w:rFonts w:ascii="Times New Roman" w:cs="Times New Roman" w:eastAsia="Times New Roman" w:hAnsi="Times New Roman"/>
          <w:sz w:val="17"/>
          <w:szCs w:val="17"/>
          <w:color w:val="auto"/>
        </w:rPr>
      </w:pPr>
    </w:p>
    <w:p>
      <w:pPr>
        <w:ind w:left="1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_______________________________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 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 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 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3930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2" w:name="page193"/>
    <w:bookmarkEnd w:id="192"/>
    <w:p>
      <w:pPr>
        <w:ind w:left="4820"/>
        <w:spacing w:after="0"/>
        <w:rPr>
          <w:sz w:val="20"/>
          <w:szCs w:val="20"/>
          <w:color w:val="auto"/>
        </w:rPr>
      </w:pPr>
      <w:r>
        <w:rPr>
          <w:rFonts w:ascii="Times New Roman" w:cs="Times New Roman" w:eastAsia="Times New Roman" w:hAnsi="Times New Roman"/>
          <w:sz w:val="17"/>
          <w:szCs w:val="17"/>
          <w:color w:val="auto"/>
        </w:rPr>
        <w:t>ASSIGNMENT FORM</w:t>
      </w:r>
    </w:p>
    <w:p>
      <w:pPr>
        <w:spacing w:after="0" w:line="211" w:lineRule="exact"/>
        <w:rPr>
          <w:sz w:val="20"/>
          <w:szCs w:val="20"/>
          <w:color w:val="auto"/>
        </w:rPr>
      </w:pPr>
    </w:p>
    <w:p>
      <w:pPr>
        <w:ind w:left="180"/>
        <w:spacing w:after="0" w:line="506" w:lineRule="auto"/>
        <w:rPr>
          <w:sz w:val="20"/>
          <w:szCs w:val="20"/>
          <w:color w:val="auto"/>
        </w:rPr>
      </w:pPr>
      <w:r>
        <w:rPr>
          <w:rFonts w:ascii="Times New Roman" w:cs="Times New Roman" w:eastAsia="Times New Roman" w:hAnsi="Times New Roman"/>
          <w:sz w:val="17"/>
          <w:szCs w:val="17"/>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6552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(Please Print)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146685</wp:posOffset>
            </wp:positionV>
            <wp:extent cx="356552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(Please Print)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-121285</wp:posOffset>
            </wp:positionV>
            <wp:extent cx="356552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6552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_______________ __, 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Signature:______________________________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Address: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407035</wp:posOffset>
            </wp:positionV>
            <wp:extent cx="713930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480"/>
          </w:cols>
          <w:pgMar w:left="320" w:top="328" w:right="1099" w:bottom="1440" w:gutter="0" w:footer="0" w:header="0"/>
        </w:sectPr>
      </w:pPr>
    </w:p>
    <w:bookmarkStart w:id="193" w:name="page194"/>
    <w:bookmarkEnd w:id="193"/>
    <w:p>
      <w:pPr>
        <w:ind w:left="10280"/>
        <w:spacing w:after="0"/>
        <w:rPr>
          <w:sz w:val="20"/>
          <w:szCs w:val="20"/>
          <w:color w:val="auto"/>
        </w:rPr>
      </w:pPr>
      <w:r>
        <w:rPr>
          <w:rFonts w:ascii="Times New Roman" w:cs="Times New Roman" w:eastAsia="Times New Roman" w:hAnsi="Times New Roman"/>
          <w:sz w:val="19"/>
          <w:szCs w:val="19"/>
          <w:b w:val="1"/>
          <w:bCs w:val="1"/>
          <w:color w:val="auto"/>
        </w:rPr>
        <w:t>Exhibit 4.7</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SERIES A-2 COMMON STOCK PURCHASE WARRANT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CID HOLDCO, INC.</w:t>
      </w:r>
    </w:p>
    <w:p>
      <w:pPr>
        <w:sectPr>
          <w:pgSz w:w="11900" w:h="16838" w:orient="portrait"/>
          <w:cols w:equalWidth="0" w:num="1">
            <w:col w:w="11240"/>
          </w:cols>
          <w:pgMar w:left="320" w:top="110"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Exercise Date: ______, 2026</w:t>
      </w:r>
    </w:p>
    <w:p>
      <w:pPr>
        <w:spacing w:after="0" w:line="211" w:lineRule="exact"/>
        <w:rPr>
          <w:sz w:val="20"/>
          <w:szCs w:val="20"/>
          <w:color w:val="auto"/>
        </w:rPr>
      </w:pPr>
    </w:p>
    <w:p>
      <w:pPr>
        <w:sectPr>
          <w:pgSz w:w="11900" w:h="16838" w:orient="portrait"/>
          <w:cols w:equalWidth="0" w:num="2">
            <w:col w:w="8100" w:space="720"/>
            <w:col w:w="2420"/>
          </w:cols>
          <w:pgMar w:left="320" w:top="110" w:right="339" w:bottom="1440" w:gutter="0" w:footer="0" w:header="0"/>
          <w:type w:val="continuous"/>
        </w:sectPr>
      </w:pP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THIS SERIES A-2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 its assigns</w:t>
      </w:r>
    </w:p>
    <w:p>
      <w:pPr>
        <w:spacing w:after="0" w:line="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[Stockholder Approval Date]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the date that is the eighteen (18) month anniversary of the Initial Exercise Date, provided that, if such date is not a Trading Day, the date that is the immediately following Trading Day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CID Holdco,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In addition to the terms defined elsewhere in this Warrant, the following terms have the meanings indicated in this Section 1:</w:t>
      </w:r>
    </w:p>
    <w:p>
      <w:pPr>
        <w:spacing w:after="0" w:line="21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78308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0" w:lineRule="exact"/>
        <w:rPr>
          <w:sz w:val="20"/>
          <w:szCs w:val="20"/>
          <w:color w:val="auto"/>
        </w:rPr>
      </w:pPr>
    </w:p>
    <w:p>
      <w:pPr>
        <w:jc w:val="both"/>
        <w:ind w:left="320" w:hanging="317"/>
        <w:spacing w:after="0" w:line="212" w:lineRule="auto"/>
        <w:tabs>
          <w:tab w:leader="none" w:pos="320" w:val="left"/>
        </w:tabs>
        <w:numPr>
          <w:ilvl w:val="0"/>
          <w:numId w:val="9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Replace bracketed language with “date hereof” if (i) the Per Share Purchase Price (as defined in the Purchase Agreement) equals or exceeds the sum of (a) the applicable “Minimum Price” per share under Nasdaq rule 5635(d) and (b) $0.125 per whole Warrant Share or (ii) the offering is a discounted offering where the pricing and discount (including attributing a value of $0.125 per whole Warrant Share) meet the pricing requirements under Nasdaq’s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13930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194" w:name="page195"/>
    <w:bookmarkEnd w:id="194"/>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15"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$0.0001 per share, and any other class of securities into which such securities may hereafter be reclassified or changed.</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securities purchase agreement, dated as of _____, 2026, by and between the Company and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signatory thereto.</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333-_____).</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means such approval as may be required by the applicable rules and regulations of The Nasdaq Stock Market LLC (or any successor entity) from the stockholders of the Company with respect to the issuance of all the Warrants and the Warrant Shares upon the exercise thereof.</w:t>
      </w:r>
    </w:p>
    <w:p>
      <w:pPr>
        <w:spacing w:after="0" w:line="3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95" w:name="page196"/>
    <w:bookmarkEnd w:id="195"/>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 Date</w:t>
      </w:r>
      <w:r>
        <w:rPr>
          <w:rFonts w:ascii="Times New Roman" w:cs="Times New Roman" w:eastAsia="Times New Roman" w:hAnsi="Times New Roman"/>
          <w:sz w:val="17"/>
          <w:szCs w:val="17"/>
          <w:color w:val="auto"/>
        </w:rPr>
        <w:t>” means the date on which Stockholder Approval is received and deemed effective under Delaware law.]</w:t>
      </w:r>
      <w:r>
        <w:rPr>
          <w:rFonts w:ascii="Times New Roman" w:cs="Times New Roman" w:eastAsia="Times New Roman" w:hAnsi="Times New Roman"/>
          <w:sz w:val="28"/>
          <w:szCs w:val="28"/>
          <w:color w:val="auto"/>
          <w:vertAlign w:val="superscript"/>
        </w:rPr>
        <w:t>2</w:t>
      </w:r>
    </w:p>
    <w:p>
      <w:pPr>
        <w:spacing w:after="0" w:line="12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Company and shall, where applicable, also include any direct or indirect subsidiary of the Company formed or acquired after the date hereof.</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15" w:lineRule="exact"/>
        <w:rPr>
          <w:sz w:val="20"/>
          <w:szCs w:val="20"/>
          <w:color w:val="auto"/>
        </w:rPr>
      </w:pPr>
    </w:p>
    <w:p>
      <w:pPr>
        <w:jc w:val="both"/>
        <w:ind w:left="620"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66"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Continental Stock Transfer &amp; Trust Company, the current transfer agent of the Company, with a mailing address of 1 State Street, 30th Floor, New York, NY 10004, and any successor transfer agent of the Company.</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this Warrant and other Common Stock purchase warrants issued by the Company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178308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33" w:lineRule="exact"/>
        <w:rPr>
          <w:sz w:val="20"/>
          <w:szCs w:val="20"/>
          <w:color w:val="auto"/>
        </w:rPr>
      </w:pPr>
    </w:p>
    <w:p>
      <w:pPr>
        <w:jc w:val="both"/>
        <w:ind w:left="320" w:hanging="317"/>
        <w:spacing w:after="0" w:line="212" w:lineRule="auto"/>
        <w:tabs>
          <w:tab w:leader="none" w:pos="320" w:val="left"/>
        </w:tabs>
        <w:numPr>
          <w:ilvl w:val="0"/>
          <w:numId w:val="9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Delete bracketed language if (i) the Per Share Purchase Price equals or exceeds the sum of (a) the applicable “Minimum Price” per share under Nasdaq rule 5635(d) and (b) $0.125 per whole Warrant Share or (ii) the offering is a discounted offering where the pricing and discount (including attributing a value of $0.125 per whole Warrant Share) meet the pricing requirements under Nasdaq’s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3" w:lineRule="auto"/>
        <w:tabs>
          <w:tab w:leader="none" w:pos="79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7"/>
          <w:szCs w:val="17"/>
          <w:b w:val="1"/>
          <w:bCs w:val="1"/>
          <w:color w:val="auto"/>
        </w:rPr>
        <w:t>The Holder and any assignee,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4" w:lineRule="exact"/>
        <w:rPr>
          <w:rFonts w:ascii="Times New Roman" w:cs="Times New Roman" w:eastAsia="Times New Roman" w:hAnsi="Times New Roman"/>
          <w:sz w:val="17"/>
          <w:szCs w:val="17"/>
          <w:color w:val="auto"/>
        </w:rPr>
      </w:pPr>
    </w:p>
    <w:p>
      <w:pPr>
        <w:ind w:firstLine="613"/>
        <w:spacing w:after="0" w:line="289" w:lineRule="auto"/>
        <w:tabs>
          <w:tab w:leader="none" w:pos="82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per share of Common Stock under this Warrant shall be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_____,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jc w:val="both"/>
        <w:ind w:firstLine="613"/>
        <w:spacing w:after="0" w:line="262" w:lineRule="auto"/>
        <w:tabs>
          <w:tab w:leader="none" w:pos="79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2" w:lineRule="exact"/>
        <w:rPr>
          <w:sz w:val="20"/>
          <w:szCs w:val="20"/>
          <w:color w:val="auto"/>
        </w:rPr>
      </w:pPr>
    </w:p>
    <w:p>
      <w:pPr>
        <w:ind w:left="1160" w:hanging="547"/>
        <w:spacing w:after="0" w:line="255" w:lineRule="auto"/>
        <w:tabs>
          <w:tab w:leader="none" w:pos="88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81" w:lineRule="exact"/>
        <w:rPr>
          <w:rFonts w:ascii="Times New Roman" w:cs="Times New Roman" w:eastAsia="Times New Roman" w:hAnsi="Times New Roman"/>
          <w:sz w:val="17"/>
          <w:szCs w:val="17"/>
          <w:color w:val="auto"/>
        </w:rPr>
      </w:pPr>
    </w:p>
    <w:p>
      <w:pPr>
        <w:ind w:left="880" w:hanging="267"/>
        <w:spacing w:after="0"/>
        <w:tabs>
          <w:tab w:leader="none" w:pos="8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215" w:lineRule="exact"/>
        <w:rPr>
          <w:sz w:val="20"/>
          <w:szCs w:val="20"/>
          <w:color w:val="auto"/>
        </w:rPr>
      </w:pPr>
    </w:p>
    <w:p>
      <w:pPr>
        <w:ind w:left="1160" w:hanging="547"/>
        <w:spacing w:after="0" w:line="284" w:lineRule="auto"/>
        <w:tabs>
          <w:tab w:leader="none" w:pos="88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3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9" w:right="339" w:bottom="1440" w:gutter="0" w:footer="0" w:header="0"/>
        </w:sectPr>
      </w:pPr>
    </w:p>
    <w:bookmarkStart w:id="197" w:name="page198"/>
    <w:bookmarkEnd w:id="197"/>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66" w:lineRule="exact"/>
        <w:rPr>
          <w:sz w:val="20"/>
          <w:szCs w:val="20"/>
          <w:color w:val="auto"/>
        </w:rPr>
      </w:pPr>
    </w:p>
    <w:p>
      <w:pPr>
        <w:ind w:left="800" w:hanging="187"/>
        <w:spacing w:after="0"/>
        <w:tabs>
          <w:tab w:leader="none" w:pos="8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1220" w:firstLine="624"/>
        <w:spacing w:after="0" w:line="253" w:lineRule="auto"/>
        <w:tabs>
          <w:tab w:leader="none" w:pos="200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3" w:lineRule="exact"/>
        <w:rPr>
          <w:sz w:val="20"/>
          <w:szCs w:val="20"/>
          <w:color w:val="auto"/>
        </w:rPr>
      </w:pPr>
    </w:p>
    <w:p>
      <w:pPr>
        <w:jc w:val="both"/>
        <w:ind w:left="1220"/>
        <w:spacing w:after="0" w:line="241" w:lineRule="auto"/>
        <w:rPr>
          <w:sz w:val="20"/>
          <w:szCs w:val="20"/>
          <w:color w:val="auto"/>
        </w:rPr>
      </w:pPr>
      <w:r>
        <w:rPr>
          <w:rFonts w:ascii="Times New Roman" w:cs="Times New Roman" w:eastAsia="Times New Roman" w:hAnsi="Times New Roman"/>
          <w:sz w:val="17"/>
          <w:szCs w:val="17"/>
          <w:color w:val="auto"/>
        </w:rPr>
        <w:t>Notice of Exercise), $10 per Trading Day (increasing to $20 per Trading Day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8" w:lineRule="exact"/>
        <w:rPr>
          <w:sz w:val="20"/>
          <w:szCs w:val="20"/>
          <w:color w:val="auto"/>
        </w:rPr>
      </w:pPr>
    </w:p>
    <w:p>
      <w:pPr>
        <w:jc w:val="both"/>
        <w:ind w:left="1220" w:firstLine="624"/>
        <w:spacing w:after="0" w:line="262" w:lineRule="auto"/>
        <w:tabs>
          <w:tab w:leader="none" w:pos="201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Times New Roman" w:cs="Times New Roman" w:eastAsia="Times New Roman" w:hAnsi="Times New Roman"/>
          <w:sz w:val="17"/>
          <w:szCs w:val="17"/>
          <w:color w:val="auto"/>
        </w:rPr>
      </w:pPr>
    </w:p>
    <w:p>
      <w:pPr>
        <w:ind w:left="1220" w:firstLine="624"/>
        <w:spacing w:after="0" w:line="284" w:lineRule="auto"/>
        <w:tabs>
          <w:tab w:leader="none" w:pos="2063"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3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198" w:name="page199"/>
    <w:bookmarkEnd w:id="198"/>
    <w:p>
      <w:pPr>
        <w:jc w:val="both"/>
        <w:ind w:left="720" w:firstLine="624"/>
        <w:spacing w:after="0" w:line="253" w:lineRule="auto"/>
        <w:tabs>
          <w:tab w:leader="none" w:pos="156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49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Times New Roman" w:cs="Times New Roman" w:eastAsia="Times New Roman" w:hAnsi="Times New Roman"/>
          <w:sz w:val="17"/>
          <w:szCs w:val="17"/>
          <w:color w:val="auto"/>
        </w:rPr>
      </w:pPr>
    </w:p>
    <w:p>
      <w:pPr>
        <w:jc w:val="both"/>
        <w:ind w:left="720" w:firstLine="624"/>
        <w:spacing w:after="0" w:line="255" w:lineRule="auto"/>
        <w:tabs>
          <w:tab w:leader="none" w:pos="157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9" w:right="339" w:bottom="1440" w:gutter="0" w:footer="0" w:header="0"/>
        </w:sectPr>
      </w:pPr>
    </w:p>
    <w:bookmarkStart w:id="199" w:name="page200"/>
    <w:bookmarkEnd w:id="199"/>
    <w:p>
      <w:pPr>
        <w:ind w:left="1220" w:firstLine="624"/>
        <w:spacing w:after="0" w:line="284" w:lineRule="auto"/>
        <w:tabs>
          <w:tab w:leader="none" w:pos="2101"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52" w:lineRule="exact"/>
        <w:rPr>
          <w:rFonts w:ascii="Times New Roman" w:cs="Times New Roman" w:eastAsia="Times New Roman" w:hAnsi="Times New Roman"/>
          <w:sz w:val="17"/>
          <w:szCs w:val="17"/>
          <w:color w:val="auto"/>
        </w:rPr>
      </w:pPr>
    </w:p>
    <w:p>
      <w:pPr>
        <w:jc w:val="both"/>
        <w:ind w:firstLine="613"/>
        <w:spacing w:after="0" w:line="252" w:lineRule="auto"/>
        <w:tabs>
          <w:tab w:leader="none" w:pos="79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w:t>
      </w:r>
    </w:p>
    <w:p>
      <w:pPr>
        <w:spacing w:after="0" w:line="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and the provisions of this Section 2(e) shall continue to 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80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5" w:lineRule="auto"/>
        <w:tabs>
          <w:tab w:leader="none" w:pos="8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4" w:lineRule="auto"/>
        <w:tabs>
          <w:tab w:leader="none" w:pos="81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9" w:right="339" w:bottom="1440" w:gutter="0" w:footer="0" w:header="0"/>
        </w:sectPr>
      </w:pPr>
    </w:p>
    <w:bookmarkStart w:id="201" w:name="page202"/>
    <w:bookmarkEnd w:id="201"/>
    <w:p>
      <w:pPr>
        <w:jc w:val="both"/>
        <w:ind w:left="2" w:firstLine="613"/>
        <w:spacing w:after="0" w:line="254" w:lineRule="auto"/>
        <w:tabs>
          <w:tab w:leader="none" w:pos="81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2" w:lineRule="exact"/>
        <w:rPr>
          <w:rFonts w:ascii="Times New Roman" w:cs="Times New Roman" w:eastAsia="Times New Roman" w:hAnsi="Times New Roman"/>
          <w:sz w:val="17"/>
          <w:szCs w:val="17"/>
          <w:color w:val="auto"/>
        </w:rPr>
      </w:pPr>
    </w:p>
    <w:p>
      <w:pPr>
        <w:jc w:val="both"/>
        <w:ind w:left="2" w:hanging="2"/>
        <w:spacing w:after="0" w:line="252" w:lineRule="auto"/>
        <w:tabs>
          <w:tab w:leader="none" w:pos="2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386" w:lineRule="exact"/>
        <w:rPr>
          <w:sz w:val="20"/>
          <w:szCs w:val="20"/>
          <w:color w:val="auto"/>
        </w:rPr>
      </w:pPr>
    </w:p>
    <w:p>
      <w:pPr>
        <w:ind w:left="4962"/>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16510</wp:posOffset>
            </wp:positionV>
            <wp:extent cx="713930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2"/>
          </w:cols>
          <w:pgMar w:left="938" w:top="328" w:right="339" w:bottom="1440" w:gutter="0" w:footer="0" w:header="0"/>
        </w:sectPr>
      </w:pPr>
    </w:p>
    <w:bookmarkStart w:id="202" w:name="page203"/>
    <w:bookmarkEnd w:id="202"/>
    <w:p>
      <w:pPr>
        <w:jc w:val="both"/>
        <w:ind w:left="-500" w:firstLine="613"/>
        <w:spacing w:after="0" w:line="268" w:lineRule="auto"/>
        <w:tabs>
          <w:tab w:leader="none" w:pos="29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Times New Roman" w:cs="Times New Roman" w:eastAsia="Times New Roman" w:hAnsi="Times New Roman"/>
          <w:sz w:val="17"/>
          <w:szCs w:val="17"/>
          <w:color w:val="auto"/>
        </w:rPr>
      </w:pPr>
    </w:p>
    <w:p>
      <w:pPr>
        <w:ind w:left="260" w:hanging="147"/>
        <w:spacing w:after="0"/>
        <w:tabs>
          <w:tab w:leader="none" w:pos="2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720" w:firstLine="624"/>
        <w:spacing w:after="0" w:line="268" w:lineRule="auto"/>
        <w:tabs>
          <w:tab w:leader="none" w:pos="1494"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65"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516"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w:t>
      </w:r>
    </w:p>
    <w:p>
      <w:pPr>
        <w:jc w:val="both"/>
        <w:ind w:left="720" w:firstLine="9"/>
        <w:spacing w:after="0" w:line="252" w:lineRule="auto"/>
        <w:tabs>
          <w:tab w:leader="none" w:pos="1006"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5" w:lineRule="exact"/>
        <w:rPr>
          <w:rFonts w:ascii="Times New Roman" w:cs="Times New Roman" w:eastAsia="Times New Roman" w:hAnsi="Times New Roman"/>
          <w:sz w:val="17"/>
          <w:szCs w:val="17"/>
          <w:color w:val="auto"/>
        </w:rPr>
      </w:pPr>
    </w:p>
    <w:p>
      <w:pPr>
        <w:jc w:val="both"/>
        <w:ind w:left="-500" w:firstLine="613"/>
        <w:spacing w:after="0" w:line="268" w:lineRule="auto"/>
        <w:tabs>
          <w:tab w:leader="none" w:pos="3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79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9" w:lineRule="exact"/>
        <w:rPr>
          <w:rFonts w:ascii="Times New Roman" w:cs="Times New Roman" w:eastAsia="Times New Roman" w:hAnsi="Times New Roman"/>
          <w:sz w:val="17"/>
          <w:szCs w:val="17"/>
          <w:color w:val="auto"/>
        </w:rPr>
      </w:pPr>
    </w:p>
    <w:p>
      <w:pPr>
        <w:jc w:val="both"/>
        <w:ind w:firstLine="613"/>
        <w:spacing w:after="0" w:line="258" w:lineRule="auto"/>
        <w:tabs>
          <w:tab w:leader="none" w:pos="8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4" w:lineRule="exact"/>
        <w:rPr>
          <w:rFonts w:ascii="Times New Roman" w:cs="Times New Roman" w:eastAsia="Times New Roman" w:hAnsi="Times New Roman"/>
          <w:sz w:val="17"/>
          <w:szCs w:val="17"/>
          <w:color w:val="auto"/>
        </w:rPr>
      </w:pPr>
    </w:p>
    <w:p>
      <w:pPr>
        <w:jc w:val="both"/>
        <w:ind w:firstLine="613"/>
        <w:spacing w:after="0" w:line="262" w:lineRule="auto"/>
        <w:tabs>
          <w:tab w:leader="none" w:pos="80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62" w:lineRule="auto"/>
        <w:tabs>
          <w:tab w:leader="none" w:pos="79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1" w:lineRule="exact"/>
        <w:rPr>
          <w:rFonts w:ascii="Times New Roman" w:cs="Times New Roman" w:eastAsia="Times New Roman" w:hAnsi="Times New Roman"/>
          <w:sz w:val="17"/>
          <w:szCs w:val="17"/>
          <w:color w:val="auto"/>
        </w:rPr>
      </w:pPr>
    </w:p>
    <w:p>
      <w:pPr>
        <w:jc w:val="both"/>
        <w:ind w:firstLine="613"/>
        <w:spacing w:after="0" w:line="260" w:lineRule="auto"/>
        <w:tabs>
          <w:tab w:leader="none" w:pos="82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3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04" w:name="page205"/>
    <w:bookmarkEnd w:id="204"/>
    <w:p>
      <w:pPr>
        <w:ind w:left="-500" w:firstLine="613"/>
        <w:spacing w:after="0" w:line="284" w:lineRule="auto"/>
        <w:tabs>
          <w:tab w:leader="none" w:pos="30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2" w:lineRule="exact"/>
        <w:rPr>
          <w:rFonts w:ascii="Times New Roman" w:cs="Times New Roman" w:eastAsia="Times New Roman" w:hAnsi="Times New Roman"/>
          <w:sz w:val="17"/>
          <w:szCs w:val="17"/>
          <w:color w:val="auto"/>
        </w:rPr>
      </w:pPr>
    </w:p>
    <w:p>
      <w:pPr>
        <w:ind w:left="300" w:hanging="187"/>
        <w:spacing w:after="0"/>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left="120" w:firstLine="615"/>
        <w:spacing w:after="0" w:line="255"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9" w:lineRule="exact"/>
        <w:rPr>
          <w:sz w:val="20"/>
          <w:szCs w:val="20"/>
          <w:color w:val="auto"/>
        </w:rPr>
      </w:pPr>
    </w:p>
    <w:p>
      <w:pPr>
        <w:jc w:val="both"/>
        <w:ind w:left="120" w:firstLine="615"/>
        <w:spacing w:after="0" w:line="255"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9" w:lineRule="exact"/>
        <w:rPr>
          <w:sz w:val="20"/>
          <w:szCs w:val="20"/>
          <w:color w:val="auto"/>
        </w:rPr>
      </w:pPr>
    </w:p>
    <w:p>
      <w:pPr>
        <w:jc w:val="both"/>
        <w:ind w:left="120" w:firstLine="615"/>
        <w:spacing w:after="0" w:line="268"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05" w:name="page206"/>
    <w:bookmarkEnd w:id="205"/>
    <w:p>
      <w:pPr>
        <w:jc w:val="both"/>
        <w:ind w:left="-500" w:firstLine="613"/>
        <w:spacing w:after="0" w:line="254" w:lineRule="auto"/>
        <w:tabs>
          <w:tab w:leader="none" w:pos="29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0" w:lineRule="exact"/>
        <w:rPr>
          <w:rFonts w:ascii="Times New Roman" w:cs="Times New Roman" w:eastAsia="Times New Roman" w:hAnsi="Times New Roman"/>
          <w:sz w:val="17"/>
          <w:szCs w:val="17"/>
          <w:color w:val="auto"/>
        </w:rPr>
      </w:pPr>
    </w:p>
    <w:p>
      <w:pPr>
        <w:ind w:left="-500" w:firstLine="613"/>
        <w:spacing w:after="0" w:line="284" w:lineRule="auto"/>
        <w:tabs>
          <w:tab w:leader="none" w:pos="28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2" w:lineRule="exact"/>
        <w:rPr>
          <w:rFonts w:ascii="Times New Roman" w:cs="Times New Roman" w:eastAsia="Times New Roman" w:hAnsi="Times New Roman"/>
          <w:sz w:val="17"/>
          <w:szCs w:val="17"/>
          <w:color w:val="auto"/>
        </w:rPr>
      </w:pPr>
    </w:p>
    <w:p>
      <w:pPr>
        <w:jc w:val="both"/>
        <w:ind w:left="-500" w:firstLine="613"/>
        <w:spacing w:after="0" w:line="258" w:lineRule="auto"/>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4" w:lineRule="exact"/>
        <w:rPr>
          <w:rFonts w:ascii="Times New Roman" w:cs="Times New Roman" w:eastAsia="Times New Roman" w:hAnsi="Times New Roman"/>
          <w:sz w:val="17"/>
          <w:szCs w:val="17"/>
          <w:color w:val="auto"/>
        </w:rPr>
      </w:pPr>
    </w:p>
    <w:p>
      <w:pPr>
        <w:jc w:val="both"/>
        <w:ind w:left="-500" w:firstLine="613"/>
        <w:spacing w:after="0" w:line="254" w:lineRule="auto"/>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 Attention: </w:t>
      </w:r>
      <w:r>
        <w:rPr>
          <w:rFonts w:ascii="Times New Roman" w:cs="Times New Roman" w:eastAsia="Times New Roman" w:hAnsi="Times New Roman"/>
          <w:sz w:val="17"/>
          <w:szCs w:val="17"/>
          <w:b w:val="1"/>
          <w:bCs w:val="1"/>
          <w:color w:val="auto"/>
        </w:rPr>
        <w:t>________</w:t>
      </w:r>
      <w:r>
        <w:rPr>
          <w:rFonts w:ascii="Times New Roman" w:cs="Times New Roman" w:eastAsia="Times New Roman" w:hAnsi="Times New Roman"/>
          <w:sz w:val="17"/>
          <w:szCs w:val="17"/>
          <w:color w:val="auto"/>
        </w:rPr>
        <w:t>, email address: 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06" w:name="page207"/>
    <w:bookmarkEnd w:id="206"/>
    <w:p>
      <w:pPr>
        <w:jc w:val="both"/>
        <w:ind w:firstLine="613"/>
        <w:spacing w:after="0" w:line="268" w:lineRule="auto"/>
        <w:tabs>
          <w:tab w:leader="none" w:pos="762"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5" w:lineRule="exact"/>
        <w:rPr>
          <w:rFonts w:ascii="Times New Roman" w:cs="Times New Roman" w:eastAsia="Times New Roman" w:hAnsi="Times New Roman"/>
          <w:sz w:val="17"/>
          <w:szCs w:val="17"/>
          <w:color w:val="auto"/>
        </w:rPr>
      </w:pPr>
    </w:p>
    <w:p>
      <w:pPr>
        <w:jc w:val="both"/>
        <w:ind w:firstLine="613"/>
        <w:spacing w:after="0" w:line="262" w:lineRule="auto"/>
        <w:tabs>
          <w:tab w:leader="none" w:pos="77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1" w:lineRule="exact"/>
        <w:rPr>
          <w:rFonts w:ascii="Times New Roman" w:cs="Times New Roman" w:eastAsia="Times New Roman" w:hAnsi="Times New Roman"/>
          <w:sz w:val="17"/>
          <w:szCs w:val="17"/>
          <w:color w:val="auto"/>
        </w:rPr>
      </w:pPr>
    </w:p>
    <w:p>
      <w:pPr>
        <w:jc w:val="both"/>
        <w:ind w:firstLine="613"/>
        <w:spacing w:after="0" w:line="262" w:lineRule="auto"/>
        <w:tabs>
          <w:tab w:leader="none" w:pos="8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78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52" w:lineRule="exact"/>
        <w:rPr>
          <w:rFonts w:ascii="Times New Roman" w:cs="Times New Roman" w:eastAsia="Times New Roman" w:hAnsi="Times New Roman"/>
          <w:sz w:val="17"/>
          <w:szCs w:val="17"/>
          <w:color w:val="auto"/>
        </w:rPr>
      </w:pPr>
    </w:p>
    <w:p>
      <w:pPr>
        <w:jc w:val="both"/>
        <w:ind w:firstLine="613"/>
        <w:spacing w:after="0" w:line="268" w:lineRule="auto"/>
        <w:tabs>
          <w:tab w:leader="none" w:pos="873"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5" w:lineRule="exact"/>
        <w:rPr>
          <w:rFonts w:ascii="Times New Roman" w:cs="Times New Roman" w:eastAsia="Times New Roman" w:hAnsi="Times New Roman"/>
          <w:sz w:val="17"/>
          <w:szCs w:val="17"/>
          <w:color w:val="auto"/>
        </w:rPr>
      </w:pPr>
    </w:p>
    <w:p>
      <w:pPr>
        <w:ind w:left="800" w:hanging="187"/>
        <w:spacing w:after="0"/>
        <w:tabs>
          <w:tab w:leader="none" w:pos="8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w:t>
      </w:r>
    </w:p>
    <w:p>
      <w:pPr>
        <w:spacing w:after="0" w:line="1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16510</wp:posOffset>
            </wp:positionV>
            <wp:extent cx="249110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2491105" cy="16510"/>
                    </a:xfrm>
                    <a:prstGeom prst="rect">
                      <a:avLst/>
                    </a:prstGeom>
                    <a:noFill/>
                  </pic:spPr>
                </pic:pic>
              </a:graphicData>
            </a:graphic>
          </wp:anchor>
        </w:drawing>
      </w:r>
    </w:p>
    <w:p>
      <w:pPr>
        <w:spacing w:after="0" w:line="1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firstLine="1233"/>
        <w:spacing w:after="0" w:line="284" w:lineRule="auto"/>
        <w:tabs>
          <w:tab w:leader="none" w:pos="1483"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Times New Roman" w:cs="Times New Roman" w:eastAsia="Times New Roman" w:hAnsi="Times New Roman"/>
          <w:sz w:val="17"/>
          <w:szCs w:val="17"/>
          <w:color w:val="auto"/>
        </w:rPr>
      </w:pPr>
    </w:p>
    <w:p>
      <w:pPr>
        <w:ind w:left="1480" w:hanging="247"/>
        <w:spacing w:after="0"/>
        <w:tabs>
          <w:tab w:leader="none" w:pos="14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4" w:lineRule="exact"/>
        <w:rPr>
          <w:rFonts w:ascii="Times New Roman" w:cs="Times New Roman" w:eastAsia="Times New Roman" w:hAnsi="Times New Roman"/>
          <w:sz w:val="17"/>
          <w:szCs w:val="17"/>
          <w:color w:val="auto"/>
        </w:rPr>
      </w:pPr>
    </w:p>
    <w:p>
      <w:pPr>
        <w:ind w:left="2040" w:hanging="191"/>
        <w:spacing w:after="0"/>
        <w:tabs>
          <w:tab w:leader="none" w:pos="2040" w:val="left"/>
        </w:tabs>
        <w:numPr>
          <w:ilvl w:val="1"/>
          <w:numId w:val="11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214" w:lineRule="exact"/>
        <w:rPr>
          <w:rFonts w:ascii="MS PGothic" w:cs="MS PGothic" w:eastAsia="MS PGothic" w:hAnsi="MS PGothic"/>
          <w:sz w:val="17"/>
          <w:szCs w:val="17"/>
          <w:color w:val="auto"/>
        </w:rPr>
      </w:pPr>
    </w:p>
    <w:p>
      <w:pPr>
        <w:jc w:val="both"/>
        <w:ind w:left="1840" w:firstLine="9"/>
        <w:spacing w:after="0" w:line="268" w:lineRule="auto"/>
        <w:tabs>
          <w:tab w:leader="none" w:pos="2039" w:val="left"/>
        </w:tabs>
        <w:numPr>
          <w:ilvl w:val="1"/>
          <w:numId w:val="11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5" w:lineRule="exact"/>
        <w:rPr>
          <w:rFonts w:ascii="MS PGothic" w:cs="MS PGothic" w:eastAsia="MS PGothic" w:hAnsi="MS PGothic"/>
          <w:sz w:val="17"/>
          <w:szCs w:val="17"/>
          <w:color w:val="auto"/>
        </w:rPr>
      </w:pPr>
    </w:p>
    <w:p>
      <w:pPr>
        <w:ind w:left="1480" w:hanging="247"/>
        <w:spacing w:after="0"/>
        <w:tabs>
          <w:tab w:leader="none" w:pos="14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4" w:lineRule="exact"/>
        <w:rPr>
          <w:rFonts w:ascii="Times New Roman" w:cs="Times New Roman" w:eastAsia="Times New Roman" w:hAnsi="Times New Roman"/>
          <w:sz w:val="17"/>
          <w:szCs w:val="17"/>
          <w:color w:val="auto"/>
        </w:rPr>
      </w:pPr>
    </w:p>
    <w:p>
      <w:pPr>
        <w:ind w:left="1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_______________________________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 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 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 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3930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9" w:name="page210"/>
    <w:bookmarkEnd w:id="209"/>
    <w:p>
      <w:pPr>
        <w:ind w:left="4820"/>
        <w:spacing w:after="0"/>
        <w:rPr>
          <w:sz w:val="20"/>
          <w:szCs w:val="20"/>
          <w:color w:val="auto"/>
        </w:rPr>
      </w:pPr>
      <w:r>
        <w:rPr>
          <w:rFonts w:ascii="Times New Roman" w:cs="Times New Roman" w:eastAsia="Times New Roman" w:hAnsi="Times New Roman"/>
          <w:sz w:val="17"/>
          <w:szCs w:val="17"/>
          <w:color w:val="auto"/>
        </w:rPr>
        <w:t>ASSIGNMENT FORM</w:t>
      </w:r>
    </w:p>
    <w:p>
      <w:pPr>
        <w:spacing w:after="0" w:line="211" w:lineRule="exact"/>
        <w:rPr>
          <w:sz w:val="20"/>
          <w:szCs w:val="20"/>
          <w:color w:val="auto"/>
        </w:rPr>
      </w:pPr>
    </w:p>
    <w:p>
      <w:pPr>
        <w:ind w:left="180"/>
        <w:spacing w:after="0" w:line="506" w:lineRule="auto"/>
        <w:rPr>
          <w:sz w:val="20"/>
          <w:szCs w:val="20"/>
          <w:color w:val="auto"/>
        </w:rPr>
      </w:pPr>
      <w:r>
        <w:rPr>
          <w:rFonts w:ascii="Times New Roman" w:cs="Times New Roman" w:eastAsia="Times New Roman" w:hAnsi="Times New Roman"/>
          <w:sz w:val="17"/>
          <w:szCs w:val="17"/>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6552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(Please Print)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146685</wp:posOffset>
            </wp:positionV>
            <wp:extent cx="356552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(Please Print)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-121285</wp:posOffset>
            </wp:positionV>
            <wp:extent cx="356552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6552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_______________ __, 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Signature:______________________________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Address: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407035</wp:posOffset>
            </wp:positionV>
            <wp:extent cx="713930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480"/>
          </w:cols>
          <w:pgMar w:left="320" w:top="328" w:right="1099" w:bottom="1440" w:gutter="0" w:footer="0" w:header="0"/>
        </w:sectPr>
      </w:pPr>
    </w:p>
    <w:bookmarkStart w:id="210" w:name="page211"/>
    <w:bookmarkEnd w:id="210"/>
    <w:p>
      <w:pPr>
        <w:ind w:left="10440"/>
        <w:spacing w:after="0"/>
        <w:rPr>
          <w:sz w:val="20"/>
          <w:szCs w:val="20"/>
          <w:color w:val="auto"/>
        </w:rPr>
      </w:pPr>
      <w:r>
        <w:rPr>
          <w:rFonts w:ascii="Times New Roman" w:cs="Times New Roman" w:eastAsia="Times New Roman" w:hAnsi="Times New Roman"/>
          <w:sz w:val="17"/>
          <w:szCs w:val="17"/>
          <w:b w:val="1"/>
          <w:bCs w:val="1"/>
          <w:color w:val="auto"/>
        </w:rPr>
        <w:t>Exhibit 4.8</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CID HOLDCO, INC.</w:t>
      </w:r>
    </w:p>
    <w:p>
      <w:pPr>
        <w:sectPr>
          <w:pgSz w:w="11900" w:h="16838" w:orient="portrait"/>
          <w:cols w:equalWidth="0" w:num="1">
            <w:col w:w="11240"/>
          </w:cols>
          <w:pgMar w:left="320" w:top="119"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Exercise Date: ______, 2026</w:t>
      </w:r>
    </w:p>
    <w:p>
      <w:pPr>
        <w:spacing w:after="0" w:line="211" w:lineRule="exact"/>
        <w:rPr>
          <w:sz w:val="20"/>
          <w:szCs w:val="20"/>
          <w:color w:val="auto"/>
        </w:rPr>
      </w:pPr>
    </w:p>
    <w:p>
      <w:pPr>
        <w:sectPr>
          <w:pgSz w:w="11900" w:h="16838" w:orient="portrait"/>
          <w:cols w:equalWidth="0" w:num="2">
            <w:col w:w="8100" w:space="720"/>
            <w:col w:w="2420"/>
          </w:cols>
          <w:pgMar w:left="320" w:top="119" w:right="339" w:bottom="1440" w:gutter="0" w:footer="0" w:header="0"/>
          <w:type w:val="continuous"/>
        </w:sectPr>
      </w:pP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THIS PRE-FUNDED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 its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CID Holdco,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In addition to the terms defined elsewhere in this Warrant, the following terms have the meanings indicated in this Section 1:</w:t>
      </w:r>
    </w:p>
    <w:p>
      <w:pPr>
        <w:spacing w:after="0" w:line="21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2" w:lineRule="exact"/>
        <w:rPr>
          <w:sz w:val="20"/>
          <w:szCs w:val="20"/>
          <w:color w:val="auto"/>
        </w:rPr>
      </w:pPr>
    </w:p>
    <w:p>
      <w:pPr>
        <w:jc w:val="both"/>
        <w:ind w:left="620" w:firstLine="6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1" w:name="page212"/>
    <w:bookmarkEnd w:id="211"/>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$0.0001 per share, and any other class of securities into which such securities may hereafter be reclassified or changed.</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securities purchase agreement, dated as of _____, 2026, by and between the Company and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signatory thereto.</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333-_____).</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Company and shall, where applicable, also include any direct or indirect subsidiary of the Company formed or acquired after the date hereof.</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3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12" w:name="page213"/>
    <w:bookmarkEnd w:id="212"/>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Continental Stock Transfer &amp; Trust Company, the current transfer agent of the Company, with a mailing address of 1 State Street, 30th Floor, New York, NY 10004, and any successor transfer agent of the Company.</w:t>
      </w:r>
    </w:p>
    <w:p>
      <w:pPr>
        <w:spacing w:after="0" w:line="153"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2"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this Warrant and other pre-funded Common Stock purchase warrants issued by the Company pursuant to the Registration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3" w:lineRule="auto"/>
        <w:tabs>
          <w:tab w:leader="none" w:pos="79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7"/>
          <w:szCs w:val="17"/>
          <w:b w:val="1"/>
          <w:bCs w:val="1"/>
          <w:color w:val="auto"/>
        </w:rPr>
        <w:t>The Holder and any assignee,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9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13" w:name="page214"/>
    <w:bookmarkEnd w:id="213"/>
    <w:p>
      <w:pPr>
        <w:jc w:val="both"/>
        <w:ind w:firstLine="613"/>
        <w:spacing w:after="0" w:line="260" w:lineRule="auto"/>
        <w:tabs>
          <w:tab w:leader="none" w:pos="8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79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52" w:lineRule="exact"/>
        <w:rPr>
          <w:rFonts w:ascii="Times New Roman" w:cs="Times New Roman" w:eastAsia="Times New Roman" w:hAnsi="Times New Roman"/>
          <w:sz w:val="17"/>
          <w:szCs w:val="17"/>
          <w:color w:val="auto"/>
        </w:rPr>
      </w:pPr>
    </w:p>
    <w:p>
      <w:pPr>
        <w:ind w:left="1220" w:hanging="530"/>
        <w:spacing w:after="0" w:line="255" w:lineRule="auto"/>
        <w:tabs>
          <w:tab w:leader="none" w:pos="972"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82"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7"/>
          <w:szCs w:val="17"/>
          <w:color w:val="auto"/>
        </w:rPr>
        <w:t>(B) =</w:t>
        <w:tab/>
        <w:t>the Exercise Price of this Warrant, as adjusted hereunder; and</w:t>
      </w:r>
    </w:p>
    <w:p>
      <w:pPr>
        <w:spacing w:after="0" w:line="215" w:lineRule="exact"/>
        <w:rPr>
          <w:sz w:val="20"/>
          <w:szCs w:val="20"/>
          <w:color w:val="auto"/>
        </w:rPr>
      </w:pPr>
    </w:p>
    <w:p>
      <w:pPr>
        <w:ind w:left="1160" w:hanging="547"/>
        <w:spacing w:after="0" w:line="284" w:lineRule="auto"/>
        <w:tabs>
          <w:tab w:leader="none" w:pos="909"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3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14" w:name="page215"/>
    <w:bookmarkEnd w:id="214"/>
    <w:p>
      <w:pPr>
        <w:ind w:left="300" w:hanging="187"/>
        <w:spacing w:after="0"/>
        <w:tabs>
          <w:tab w:leader="none" w:pos="3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720" w:firstLine="624"/>
        <w:spacing w:after="0" w:line="253" w:lineRule="auto"/>
        <w:tabs>
          <w:tab w:leader="none" w:pos="1507"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3" w:lineRule="exact"/>
        <w:rPr>
          <w:sz w:val="20"/>
          <w:szCs w:val="20"/>
          <w:color w:val="auto"/>
        </w:rPr>
      </w:pPr>
    </w:p>
    <w:p>
      <w:pPr>
        <w:jc w:val="both"/>
        <w:ind w:left="720"/>
        <w:spacing w:after="0" w:line="241" w:lineRule="auto"/>
        <w:rPr>
          <w:sz w:val="20"/>
          <w:szCs w:val="20"/>
          <w:color w:val="auto"/>
        </w:rPr>
      </w:pPr>
      <w:r>
        <w:rPr>
          <w:rFonts w:ascii="Times New Roman" w:cs="Times New Roman" w:eastAsia="Times New Roman" w:hAnsi="Times New Roman"/>
          <w:sz w:val="17"/>
          <w:szCs w:val="17"/>
          <w:color w:val="auto"/>
        </w:rPr>
        <w:t>Notice of Exercise), $10 per Trading Day (increasing to $20 per Trading Day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8" w:lineRule="exact"/>
        <w:rPr>
          <w:sz w:val="20"/>
          <w:szCs w:val="20"/>
          <w:color w:val="auto"/>
        </w:rPr>
      </w:pPr>
    </w:p>
    <w:p>
      <w:pPr>
        <w:jc w:val="both"/>
        <w:ind w:left="720" w:firstLine="624"/>
        <w:spacing w:after="0" w:line="262" w:lineRule="auto"/>
        <w:tabs>
          <w:tab w:leader="none" w:pos="151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Times New Roman" w:cs="Times New Roman" w:eastAsia="Times New Roman" w:hAnsi="Times New Roman"/>
          <w:sz w:val="17"/>
          <w:szCs w:val="17"/>
          <w:color w:val="auto"/>
        </w:rPr>
      </w:pPr>
    </w:p>
    <w:p>
      <w:pPr>
        <w:ind w:left="720" w:firstLine="624"/>
        <w:spacing w:after="0" w:line="284" w:lineRule="auto"/>
        <w:tabs>
          <w:tab w:leader="none" w:pos="1563"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867" w:right="339" w:bottom="1440" w:gutter="0" w:footer="0" w:header="0"/>
        </w:sectPr>
      </w:pPr>
    </w:p>
    <w:bookmarkStart w:id="215" w:name="page216"/>
    <w:bookmarkEnd w:id="215"/>
    <w:p>
      <w:pPr>
        <w:jc w:val="both"/>
        <w:ind w:left="720" w:firstLine="624"/>
        <w:spacing w:after="0" w:line="253" w:lineRule="auto"/>
        <w:tabs>
          <w:tab w:leader="none" w:pos="156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49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Times New Roman" w:cs="Times New Roman" w:eastAsia="Times New Roman" w:hAnsi="Times New Roman"/>
          <w:sz w:val="17"/>
          <w:szCs w:val="17"/>
          <w:color w:val="auto"/>
        </w:rPr>
      </w:pPr>
    </w:p>
    <w:p>
      <w:pPr>
        <w:jc w:val="both"/>
        <w:ind w:left="720" w:firstLine="624"/>
        <w:spacing w:after="0" w:line="255" w:lineRule="auto"/>
        <w:tabs>
          <w:tab w:leader="none" w:pos="157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Times New Roman" w:cs="Times New Roman" w:eastAsia="Times New Roman" w:hAnsi="Times New Roman"/>
          <w:sz w:val="17"/>
          <w:szCs w:val="17"/>
          <w:color w:val="auto"/>
        </w:rPr>
      </w:pPr>
    </w:p>
    <w:p>
      <w:pPr>
        <w:ind w:left="720" w:firstLine="624"/>
        <w:spacing w:after="0" w:line="284" w:lineRule="auto"/>
        <w:tabs>
          <w:tab w:leader="none" w:pos="160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867" w:right="339" w:bottom="1440" w:gutter="0" w:footer="0" w:header="0"/>
        </w:sectPr>
      </w:pPr>
    </w:p>
    <w:bookmarkStart w:id="216" w:name="page217"/>
    <w:bookmarkEnd w:id="216"/>
    <w:p>
      <w:pPr>
        <w:jc w:val="both"/>
        <w:ind w:firstLine="613"/>
        <w:spacing w:after="0" w:line="252" w:lineRule="auto"/>
        <w:tabs>
          <w:tab w:leader="none" w:pos="79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w:t>
      </w:r>
    </w:p>
    <w:p>
      <w:pPr>
        <w:spacing w:after="0" w:line="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803"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5" w:lineRule="auto"/>
        <w:tabs>
          <w:tab w:leader="none" w:pos="8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4" w:lineRule="auto"/>
        <w:tabs>
          <w:tab w:leader="none" w:pos="81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18" w:name="page219"/>
    <w:bookmarkEnd w:id="218"/>
    <w:p>
      <w:pPr>
        <w:jc w:val="both"/>
        <w:ind w:left="2" w:firstLine="613"/>
        <w:spacing w:after="0" w:line="254" w:lineRule="auto"/>
        <w:tabs>
          <w:tab w:leader="none" w:pos="815"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2" w:lineRule="exact"/>
        <w:rPr>
          <w:rFonts w:ascii="Times New Roman" w:cs="Times New Roman" w:eastAsia="Times New Roman" w:hAnsi="Times New Roman"/>
          <w:sz w:val="17"/>
          <w:szCs w:val="17"/>
          <w:color w:val="auto"/>
        </w:rPr>
      </w:pPr>
    </w:p>
    <w:p>
      <w:pPr>
        <w:jc w:val="both"/>
        <w:ind w:left="2" w:hanging="2"/>
        <w:spacing w:after="0" w:line="252" w:lineRule="auto"/>
        <w:tabs>
          <w:tab w:leader="none" w:pos="28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388" w:lineRule="exact"/>
        <w:rPr>
          <w:sz w:val="20"/>
          <w:szCs w:val="20"/>
          <w:color w:val="auto"/>
        </w:rPr>
      </w:pPr>
    </w:p>
    <w:p>
      <w:pPr>
        <w:ind w:left="4962"/>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16510</wp:posOffset>
            </wp:positionV>
            <wp:extent cx="713930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2"/>
          </w:cols>
          <w:pgMar w:left="938" w:top="867" w:right="339" w:bottom="1440" w:gutter="0" w:footer="0" w:header="0"/>
        </w:sectPr>
      </w:pPr>
    </w:p>
    <w:bookmarkStart w:id="219" w:name="page220"/>
    <w:bookmarkEnd w:id="219"/>
    <w:p>
      <w:pPr>
        <w:jc w:val="both"/>
        <w:ind w:left="-500" w:firstLine="613"/>
        <w:spacing w:after="0" w:line="268" w:lineRule="auto"/>
        <w:tabs>
          <w:tab w:leader="none" w:pos="29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Times New Roman" w:cs="Times New Roman" w:eastAsia="Times New Roman" w:hAnsi="Times New Roman"/>
          <w:sz w:val="17"/>
          <w:szCs w:val="17"/>
          <w:color w:val="auto"/>
        </w:rPr>
      </w:pPr>
    </w:p>
    <w:p>
      <w:pPr>
        <w:ind w:left="260" w:hanging="147"/>
        <w:spacing w:after="0"/>
        <w:tabs>
          <w:tab w:leader="none" w:pos="2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720" w:firstLine="624"/>
        <w:spacing w:after="0" w:line="268" w:lineRule="auto"/>
        <w:tabs>
          <w:tab w:leader="none" w:pos="1494" w:val="left"/>
        </w:tabs>
        <w:numPr>
          <w:ilvl w:val="2"/>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65"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516" w:val="left"/>
        </w:tabs>
        <w:numPr>
          <w:ilvl w:val="2"/>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w:t>
      </w:r>
    </w:p>
    <w:p>
      <w:pPr>
        <w:jc w:val="both"/>
        <w:ind w:left="720" w:firstLine="9"/>
        <w:spacing w:after="0" w:line="252" w:lineRule="auto"/>
        <w:tabs>
          <w:tab w:leader="none" w:pos="1006"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867"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79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9" w:lineRule="exact"/>
        <w:rPr>
          <w:rFonts w:ascii="Times New Roman" w:cs="Times New Roman" w:eastAsia="Times New Roman" w:hAnsi="Times New Roman"/>
          <w:sz w:val="17"/>
          <w:szCs w:val="17"/>
          <w:color w:val="auto"/>
        </w:rPr>
      </w:pPr>
    </w:p>
    <w:p>
      <w:pPr>
        <w:jc w:val="both"/>
        <w:ind w:firstLine="613"/>
        <w:spacing w:after="0" w:line="258" w:lineRule="auto"/>
        <w:tabs>
          <w:tab w:leader="none" w:pos="8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4" w:lineRule="exact"/>
        <w:rPr>
          <w:rFonts w:ascii="Times New Roman" w:cs="Times New Roman" w:eastAsia="Times New Roman" w:hAnsi="Times New Roman"/>
          <w:sz w:val="17"/>
          <w:szCs w:val="17"/>
          <w:color w:val="auto"/>
        </w:rPr>
      </w:pPr>
    </w:p>
    <w:p>
      <w:pPr>
        <w:jc w:val="both"/>
        <w:ind w:firstLine="613"/>
        <w:spacing w:after="0" w:line="262" w:lineRule="auto"/>
        <w:tabs>
          <w:tab w:leader="none" w:pos="803"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3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62" w:lineRule="auto"/>
        <w:tabs>
          <w:tab w:leader="none" w:pos="79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1" w:lineRule="exact"/>
        <w:rPr>
          <w:rFonts w:ascii="Times New Roman" w:cs="Times New Roman" w:eastAsia="Times New Roman" w:hAnsi="Times New Roman"/>
          <w:sz w:val="17"/>
          <w:szCs w:val="17"/>
          <w:color w:val="auto"/>
        </w:rPr>
      </w:pPr>
    </w:p>
    <w:p>
      <w:pPr>
        <w:jc w:val="both"/>
        <w:ind w:firstLine="613"/>
        <w:spacing w:after="0" w:line="260" w:lineRule="auto"/>
        <w:tabs>
          <w:tab w:leader="none" w:pos="82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803"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2" w:lineRule="exact"/>
        <w:rPr>
          <w:rFonts w:ascii="Times New Roman" w:cs="Times New Roman" w:eastAsia="Times New Roman" w:hAnsi="Times New Roman"/>
          <w:sz w:val="17"/>
          <w:szCs w:val="17"/>
          <w:color w:val="auto"/>
        </w:rPr>
      </w:pPr>
    </w:p>
    <w:p>
      <w:pPr>
        <w:ind w:left="800" w:hanging="187"/>
        <w:spacing w:after="0"/>
        <w:tabs>
          <w:tab w:leader="none" w:pos="8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22" w:name="page223"/>
    <w:bookmarkEnd w:id="222"/>
    <w:p>
      <w:pPr>
        <w:jc w:val="both"/>
        <w:ind w:left="120" w:firstLine="615"/>
        <w:spacing w:after="0" w:line="255"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9" w:lineRule="exact"/>
        <w:rPr>
          <w:sz w:val="20"/>
          <w:szCs w:val="20"/>
          <w:color w:val="auto"/>
        </w:rPr>
      </w:pPr>
    </w:p>
    <w:p>
      <w:pPr>
        <w:jc w:val="both"/>
        <w:ind w:left="120" w:firstLine="615"/>
        <w:spacing w:after="0" w:line="268"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6" w:lineRule="exact"/>
        <w:rPr>
          <w:sz w:val="20"/>
          <w:szCs w:val="20"/>
          <w:color w:val="auto"/>
        </w:rPr>
      </w:pPr>
    </w:p>
    <w:p>
      <w:pPr>
        <w:jc w:val="both"/>
        <w:ind w:left="-500" w:firstLine="613"/>
        <w:spacing w:after="0" w:line="254" w:lineRule="auto"/>
        <w:tabs>
          <w:tab w:leader="none" w:pos="291"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3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867" w:right="339" w:bottom="1440" w:gutter="0" w:footer="0" w:header="0"/>
        </w:sectPr>
      </w:pPr>
    </w:p>
    <w:bookmarkStart w:id="223" w:name="page224"/>
    <w:bookmarkEnd w:id="223"/>
    <w:p>
      <w:pPr>
        <w:ind w:left="-500" w:firstLine="613"/>
        <w:spacing w:after="0" w:line="284" w:lineRule="auto"/>
        <w:tabs>
          <w:tab w:leader="none" w:pos="28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2" w:lineRule="exact"/>
        <w:rPr>
          <w:rFonts w:ascii="Times New Roman" w:cs="Times New Roman" w:eastAsia="Times New Roman" w:hAnsi="Times New Roman"/>
          <w:sz w:val="17"/>
          <w:szCs w:val="17"/>
          <w:color w:val="auto"/>
        </w:rPr>
      </w:pPr>
    </w:p>
    <w:p>
      <w:pPr>
        <w:jc w:val="both"/>
        <w:ind w:left="-500" w:firstLine="613"/>
        <w:spacing w:after="0" w:line="258" w:lineRule="auto"/>
        <w:tabs>
          <w:tab w:leader="none" w:pos="3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4" w:lineRule="exact"/>
        <w:rPr>
          <w:rFonts w:ascii="Times New Roman" w:cs="Times New Roman" w:eastAsia="Times New Roman" w:hAnsi="Times New Roman"/>
          <w:sz w:val="17"/>
          <w:szCs w:val="17"/>
          <w:color w:val="auto"/>
        </w:rPr>
      </w:pPr>
    </w:p>
    <w:p>
      <w:pPr>
        <w:jc w:val="both"/>
        <w:ind w:left="-500" w:firstLine="613"/>
        <w:spacing w:after="0" w:line="254" w:lineRule="auto"/>
        <w:tabs>
          <w:tab w:leader="none" w:pos="3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 Attention: </w:t>
      </w:r>
      <w:r>
        <w:rPr>
          <w:rFonts w:ascii="Times New Roman" w:cs="Times New Roman" w:eastAsia="Times New Roman" w:hAnsi="Times New Roman"/>
          <w:sz w:val="17"/>
          <w:szCs w:val="17"/>
          <w:b w:val="1"/>
          <w:bCs w:val="1"/>
          <w:color w:val="auto"/>
        </w:rPr>
        <w:t>________</w:t>
      </w:r>
      <w:r>
        <w:rPr>
          <w:rFonts w:ascii="Times New Roman" w:cs="Times New Roman" w:eastAsia="Times New Roman" w:hAnsi="Times New Roman"/>
          <w:sz w:val="17"/>
          <w:szCs w:val="17"/>
          <w:color w:val="auto"/>
        </w:rPr>
        <w:t>, email address: 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2" w:lineRule="exact"/>
        <w:rPr>
          <w:rFonts w:ascii="Times New Roman" w:cs="Times New Roman" w:eastAsia="Times New Roman" w:hAnsi="Times New Roman"/>
          <w:sz w:val="17"/>
          <w:szCs w:val="17"/>
          <w:color w:val="auto"/>
        </w:rPr>
      </w:pPr>
    </w:p>
    <w:p>
      <w:pPr>
        <w:jc w:val="both"/>
        <w:ind w:left="-500" w:firstLine="613"/>
        <w:spacing w:after="0" w:line="268" w:lineRule="auto"/>
        <w:tabs>
          <w:tab w:leader="none" w:pos="262"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867" w:right="339" w:bottom="1440" w:gutter="0" w:footer="0" w:header="0"/>
        </w:sectPr>
      </w:pPr>
    </w:p>
    <w:bookmarkStart w:id="224" w:name="page225"/>
    <w:bookmarkEnd w:id="224"/>
    <w:p>
      <w:pPr>
        <w:jc w:val="both"/>
        <w:ind w:firstLine="613"/>
        <w:spacing w:after="0" w:line="262" w:lineRule="auto"/>
        <w:tabs>
          <w:tab w:leader="none" w:pos="77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1" w:lineRule="exact"/>
        <w:rPr>
          <w:rFonts w:ascii="Times New Roman" w:cs="Times New Roman" w:eastAsia="Times New Roman" w:hAnsi="Times New Roman"/>
          <w:sz w:val="17"/>
          <w:szCs w:val="17"/>
          <w:color w:val="auto"/>
        </w:rPr>
      </w:pPr>
    </w:p>
    <w:p>
      <w:pPr>
        <w:jc w:val="both"/>
        <w:ind w:firstLine="613"/>
        <w:spacing w:after="0" w:line="262" w:lineRule="auto"/>
        <w:tabs>
          <w:tab w:leader="none" w:pos="8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78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52" w:lineRule="exact"/>
        <w:rPr>
          <w:rFonts w:ascii="Times New Roman" w:cs="Times New Roman" w:eastAsia="Times New Roman" w:hAnsi="Times New Roman"/>
          <w:sz w:val="17"/>
          <w:szCs w:val="17"/>
          <w:color w:val="auto"/>
        </w:rPr>
      </w:pPr>
    </w:p>
    <w:p>
      <w:pPr>
        <w:jc w:val="both"/>
        <w:ind w:firstLine="613"/>
        <w:spacing w:after="0" w:line="268" w:lineRule="auto"/>
        <w:tabs>
          <w:tab w:leader="none" w:pos="87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5" w:lineRule="exact"/>
        <w:rPr>
          <w:rFonts w:ascii="Times New Roman" w:cs="Times New Roman" w:eastAsia="Times New Roman" w:hAnsi="Times New Roman"/>
          <w:sz w:val="17"/>
          <w:szCs w:val="17"/>
          <w:color w:val="auto"/>
        </w:rPr>
      </w:pPr>
    </w:p>
    <w:p>
      <w:pPr>
        <w:ind w:left="800" w:hanging="187"/>
        <w:spacing w:after="0"/>
        <w:tabs>
          <w:tab w:leader="none" w:pos="8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w:t>
      </w:r>
    </w:p>
    <w:p>
      <w:pPr>
        <w:spacing w:after="0" w:line="1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25" w:name="page226"/>
    <w:bookmarkEnd w:id="225"/>
    <w:p>
      <w:pPr>
        <w:ind w:firstLine="615"/>
        <w:spacing w:after="0" w:line="262" w:lineRule="auto"/>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3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16510</wp:posOffset>
            </wp:positionV>
            <wp:extent cx="2555875"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2555875" cy="16510"/>
                    </a:xfrm>
                    <a:prstGeom prst="rect">
                      <a:avLst/>
                    </a:prstGeom>
                    <a:noFill/>
                  </pic:spPr>
                </pic:pic>
              </a:graphicData>
            </a:graphic>
          </wp:anchor>
        </w:drawing>
      </w:r>
    </w:p>
    <w:p>
      <w:pPr>
        <w:spacing w:after="0" w:line="1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firstLine="1233"/>
        <w:spacing w:after="0" w:line="284" w:lineRule="auto"/>
        <w:tabs>
          <w:tab w:leader="none" w:pos="14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Times New Roman" w:cs="Times New Roman" w:eastAsia="Times New Roman" w:hAnsi="Times New Roman"/>
          <w:sz w:val="17"/>
          <w:szCs w:val="17"/>
          <w:color w:val="auto"/>
        </w:rPr>
      </w:pPr>
    </w:p>
    <w:p>
      <w:pPr>
        <w:ind w:left="1480" w:hanging="247"/>
        <w:spacing w:after="0"/>
        <w:tabs>
          <w:tab w:leader="none" w:pos="14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4" w:lineRule="exact"/>
        <w:rPr>
          <w:rFonts w:ascii="Times New Roman" w:cs="Times New Roman" w:eastAsia="Times New Roman" w:hAnsi="Times New Roman"/>
          <w:sz w:val="17"/>
          <w:szCs w:val="17"/>
          <w:color w:val="auto"/>
        </w:rPr>
      </w:pPr>
    </w:p>
    <w:p>
      <w:pPr>
        <w:ind w:left="2040" w:hanging="191"/>
        <w:spacing w:after="0"/>
        <w:tabs>
          <w:tab w:leader="none" w:pos="2040"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214" w:lineRule="exact"/>
        <w:rPr>
          <w:rFonts w:ascii="MS PGothic" w:cs="MS PGothic" w:eastAsia="MS PGothic" w:hAnsi="MS PGothic"/>
          <w:sz w:val="17"/>
          <w:szCs w:val="17"/>
          <w:color w:val="auto"/>
        </w:rPr>
      </w:pPr>
    </w:p>
    <w:p>
      <w:pPr>
        <w:jc w:val="both"/>
        <w:ind w:left="1840" w:firstLine="9"/>
        <w:spacing w:after="0" w:line="268" w:lineRule="auto"/>
        <w:tabs>
          <w:tab w:leader="none" w:pos="2055" w:val="left"/>
        </w:tabs>
        <w:numPr>
          <w:ilvl w:val="1"/>
          <w:numId w:val="1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5" w:lineRule="exact"/>
        <w:rPr>
          <w:rFonts w:ascii="MS PGothic" w:cs="MS PGothic" w:eastAsia="MS PGothic" w:hAnsi="MS PGothic"/>
          <w:sz w:val="17"/>
          <w:szCs w:val="17"/>
          <w:color w:val="auto"/>
        </w:rPr>
      </w:pPr>
    </w:p>
    <w:p>
      <w:pPr>
        <w:ind w:left="1480" w:hanging="247"/>
        <w:spacing w:after="0"/>
        <w:tabs>
          <w:tab w:leader="none" w:pos="14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4" w:lineRule="exact"/>
        <w:rPr>
          <w:rFonts w:ascii="Times New Roman" w:cs="Times New Roman" w:eastAsia="Times New Roman" w:hAnsi="Times New Roman"/>
          <w:sz w:val="17"/>
          <w:szCs w:val="17"/>
          <w:color w:val="auto"/>
        </w:rPr>
      </w:pPr>
    </w:p>
    <w:p>
      <w:pPr>
        <w:ind w:left="1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 ________________________________________________________________________</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 _________________________________________________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 ___________________________________________________________________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 ____________________________________________________________________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930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27" w:name="page228"/>
    <w:bookmarkEnd w:id="227"/>
    <w:p>
      <w:pPr>
        <w:jc w:val="center"/>
        <w:ind w:right="-639"/>
        <w:spacing w:after="0"/>
        <w:rPr>
          <w:sz w:val="20"/>
          <w:szCs w:val="20"/>
          <w:color w:val="auto"/>
        </w:rPr>
      </w:pPr>
      <w:r>
        <w:rPr>
          <w:rFonts w:ascii="Times New Roman" w:cs="Times New Roman" w:eastAsia="Times New Roman" w:hAnsi="Times New Roman"/>
          <w:sz w:val="17"/>
          <w:szCs w:val="17"/>
          <w:color w:val="auto"/>
        </w:rPr>
        <w:t>ASSIGNMENT FORM</w:t>
      </w:r>
    </w:p>
    <w:p>
      <w:pPr>
        <w:spacing w:after="0" w:line="211" w:lineRule="exact"/>
        <w:rPr>
          <w:sz w:val="20"/>
          <w:szCs w:val="20"/>
          <w:color w:val="auto"/>
        </w:rPr>
      </w:pPr>
    </w:p>
    <w:p>
      <w:pPr>
        <w:ind w:left="180" w:firstLine="128"/>
        <w:spacing w:after="0" w:line="506" w:lineRule="auto"/>
        <w:rPr>
          <w:sz w:val="20"/>
          <w:szCs w:val="20"/>
          <w:color w:val="auto"/>
        </w:rPr>
      </w:pPr>
      <w:r>
        <w:rPr>
          <w:rFonts w:ascii="Times New Roman" w:cs="Times New Roman" w:eastAsia="Times New Roman" w:hAnsi="Times New Roman"/>
          <w:sz w:val="17"/>
          <w:szCs w:val="17"/>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16510</wp:posOffset>
            </wp:positionV>
            <wp:extent cx="2849245"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152400</wp:posOffset>
            </wp:positionV>
            <wp:extent cx="2849245"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(Please Print)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284924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16510</wp:posOffset>
            </wp:positionV>
            <wp:extent cx="284924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_______________ __, 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Signature: 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Address: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9305"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00"/>
          </w:cols>
          <w:pgMar w:left="320" w:top="867" w:right="979" w:bottom="1440" w:gutter="0" w:footer="0" w:header="0"/>
        </w:sectPr>
      </w:pPr>
    </w:p>
    <w:bookmarkStart w:id="228" w:name="page229"/>
    <w:bookmarkEnd w:id="228"/>
    <w:p>
      <w:pPr>
        <w:ind w:left="10440"/>
        <w:spacing w:after="0"/>
        <w:rPr>
          <w:sz w:val="20"/>
          <w:szCs w:val="20"/>
          <w:color w:val="auto"/>
        </w:rPr>
      </w:pPr>
      <w:r>
        <w:rPr>
          <w:rFonts w:ascii="Times New Roman" w:cs="Times New Roman" w:eastAsia="Times New Roman" w:hAnsi="Times New Roman"/>
          <w:sz w:val="17"/>
          <w:szCs w:val="17"/>
          <w:b w:val="1"/>
          <w:bCs w:val="1"/>
          <w:color w:val="auto"/>
        </w:rPr>
        <w:t>Exhibit 4.9</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PLACEMENT AGENT COMMON STOCK PURCHASE WARRANT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ectPr>
          <w:pgSz w:w="11900" w:h="16838" w:orient="portrait"/>
          <w:cols w:equalWidth="0" w:num="1">
            <w:col w:w="11240"/>
          </w:cols>
          <w:pgMar w:left="320" w:top="119"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Exercise Date: ______, 2026</w:t>
      </w:r>
    </w:p>
    <w:p>
      <w:pPr>
        <w:spacing w:after="0" w:line="211" w:lineRule="exact"/>
        <w:rPr>
          <w:sz w:val="20"/>
          <w:szCs w:val="20"/>
          <w:color w:val="auto"/>
        </w:rPr>
      </w:pPr>
    </w:p>
    <w:p>
      <w:pPr>
        <w:sectPr>
          <w:pgSz w:w="11900" w:h="16838" w:orient="portrait"/>
          <w:cols w:equalWidth="0" w:num="2">
            <w:col w:w="8100" w:space="720"/>
            <w:col w:w="2420"/>
          </w:cols>
          <w:pgMar w:left="320" w:top="119" w:right="339" w:bottom="1440" w:gutter="0" w:footer="0" w:header="0"/>
          <w:type w:val="continuous"/>
        </w:sectPr>
      </w:pP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THIS PLACEMENT AGENT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w:t>
      </w:r>
    </w:p>
    <w:p>
      <w:pPr>
        <w:spacing w:after="0" w:line="189" w:lineRule="auto"/>
        <w:rPr>
          <w:sz w:val="20"/>
          <w:szCs w:val="20"/>
          <w:color w:val="auto"/>
        </w:rPr>
      </w:pPr>
      <w:r>
        <w:rPr>
          <w:rFonts w:ascii="Times New Roman" w:cs="Times New Roman" w:eastAsia="Times New Roman" w:hAnsi="Times New Roman"/>
          <w:sz w:val="17"/>
          <w:szCs w:val="17"/>
          <w:color w:val="auto"/>
        </w:rPr>
        <w:t>[Stockholder Approval Date]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_____</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thereafter, to subscribe for and purchase from CID Holdco,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w:t>
      </w:r>
    </w:p>
    <w:p>
      <w:pPr>
        <w:spacing w:after="0" w:line="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 This Warrant is issued pursuant to that certain Engagement Agreement, by and between the Company and [____], dated as of [____].</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In addition to the terms defined elsewhere in this Warrant, the following terms have the meanings indicated in this Section 1:</w:t>
      </w:r>
    </w:p>
    <w:p>
      <w:pPr>
        <w:spacing w:after="0" w:line="21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78308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0" w:lineRule="exact"/>
        <w:rPr>
          <w:sz w:val="20"/>
          <w:szCs w:val="20"/>
          <w:color w:val="auto"/>
        </w:rPr>
      </w:pPr>
    </w:p>
    <w:p>
      <w:pPr>
        <w:jc w:val="both"/>
        <w:ind w:left="320" w:hanging="317"/>
        <w:spacing w:after="0" w:line="212" w:lineRule="auto"/>
        <w:tabs>
          <w:tab w:leader="none" w:pos="320" w:val="left"/>
        </w:tabs>
        <w:numPr>
          <w:ilvl w:val="0"/>
          <w:numId w:val="1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Replace bracketed language with “date hereof” if (i) the Per Share Purchase Price (as defined in the Purchase Agreement) equals or exceeds the sum of (a) the applicable “Minimum Price” per share under Nasdaq rule 5635(d) and (b) $0.125 per whole Warrant Share or (ii) the offering is a discounted offering where the pricing and discount (including attributing a value of $0.125 per whole Warrant Share) meet the pricing requirements under Nasdaq’s rules.</w:t>
      </w:r>
    </w:p>
    <w:p>
      <w:pPr>
        <w:spacing w:after="0" w:line="3" w:lineRule="exact"/>
        <w:rPr>
          <w:sz w:val="20"/>
          <w:szCs w:val="20"/>
          <w:color w:val="auto"/>
        </w:rPr>
      </w:pPr>
    </w:p>
    <w:p>
      <w:pPr>
        <w:ind w:left="5580" w:right="1680" w:hanging="5577"/>
        <w:spacing w:after="0" w:line="612" w:lineRule="auto"/>
        <w:tabs>
          <w:tab w:leader="none" w:pos="309" w:val="left"/>
        </w:tabs>
        <w:numPr>
          <w:ilvl w:val="0"/>
          <w:numId w:val="13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the date that is the five (5) year anniversary of the commencement of sales in the offering pursuant to the Registration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713930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9" w:name="page230"/>
    <w:bookmarkEnd w:id="229"/>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15"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$0.0001 per share, and any other class of securities into which such securities may hereafter be reclassified or changed.</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securities purchase agreement, dated as of _____, 2026, by and between the Company and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signatory thereto.</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333-_____).</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means such approval as may be required by the applicable rules and regulations of The Nasdaq Stock Market LLC (or any successor entity) from the stockholders of the Company with respect to the issuance of all the Warrants and the Warrant Shares upon the exercise thereof.</w:t>
      </w:r>
    </w:p>
    <w:p>
      <w:pPr>
        <w:spacing w:after="0" w:line="3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30" w:name="page231"/>
    <w:bookmarkEnd w:id="230"/>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 Date</w:t>
      </w:r>
      <w:r>
        <w:rPr>
          <w:rFonts w:ascii="Times New Roman" w:cs="Times New Roman" w:eastAsia="Times New Roman" w:hAnsi="Times New Roman"/>
          <w:sz w:val="17"/>
          <w:szCs w:val="17"/>
          <w:color w:val="auto"/>
        </w:rPr>
        <w:t>” means the date on which Stockholder Approval is received and deemed effective under Delaware law.]</w:t>
      </w:r>
      <w:r>
        <w:rPr>
          <w:rFonts w:ascii="Times New Roman" w:cs="Times New Roman" w:eastAsia="Times New Roman" w:hAnsi="Times New Roman"/>
          <w:sz w:val="28"/>
          <w:szCs w:val="28"/>
          <w:color w:val="auto"/>
          <w:vertAlign w:val="superscript"/>
        </w:rPr>
        <w:t>3</w:t>
      </w:r>
    </w:p>
    <w:p>
      <w:pPr>
        <w:spacing w:after="0" w:line="12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Company and shall, where applicable, also include any direct or indirect subsidiary of the Company formed or acquired after the date hereof.</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15" w:lineRule="exact"/>
        <w:rPr>
          <w:sz w:val="20"/>
          <w:szCs w:val="20"/>
          <w:color w:val="auto"/>
        </w:rPr>
      </w:pPr>
    </w:p>
    <w:p>
      <w:pPr>
        <w:jc w:val="both"/>
        <w:ind w:left="620"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66"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Continental Stock Transfer &amp; Trust Company, the current transfer agent of the Company, with a mailing address of 1 State Street, 30th Floor, New York, NY 10004, and any successor transfer agent of the Company.</w:t>
      </w:r>
    </w:p>
    <w:p>
      <w:pPr>
        <w:spacing w:after="0" w:line="153"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this Warrant and other Common Stock purchase warrants issued by the Company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1783080"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33" w:lineRule="exact"/>
        <w:rPr>
          <w:sz w:val="20"/>
          <w:szCs w:val="20"/>
          <w:color w:val="auto"/>
        </w:rPr>
      </w:pPr>
    </w:p>
    <w:p>
      <w:pPr>
        <w:jc w:val="both"/>
        <w:ind w:left="320" w:hanging="317"/>
        <w:spacing w:after="0" w:line="212" w:lineRule="auto"/>
        <w:tabs>
          <w:tab w:leader="none" w:pos="320" w:val="left"/>
        </w:tabs>
        <w:numPr>
          <w:ilvl w:val="0"/>
          <w:numId w:val="13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Delete bracketed language if (i) the Per Share Purchase Price equals or exceeds the sum of (a) the applicable “Minimum Price” per share under Nasdaq rule 5635(d) and (b) $0.125 per whole Warrant Share or (ii) the offering is a discounted offering where the pricing and discount (including attributing a value of $0.125 per whole Warrant Share) meet the pricing requirements under Nasdaq’s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3" w:lineRule="auto"/>
        <w:tabs>
          <w:tab w:leader="none" w:pos="791"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7"/>
          <w:szCs w:val="17"/>
          <w:b w:val="1"/>
          <w:bCs w:val="1"/>
          <w:color w:val="auto"/>
        </w:rPr>
        <w:t>The Holder and any assignee,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4" w:lineRule="exact"/>
        <w:rPr>
          <w:rFonts w:ascii="Times New Roman" w:cs="Times New Roman" w:eastAsia="Times New Roman" w:hAnsi="Times New Roman"/>
          <w:sz w:val="17"/>
          <w:szCs w:val="17"/>
          <w:color w:val="auto"/>
        </w:rPr>
      </w:pPr>
    </w:p>
    <w:p>
      <w:pPr>
        <w:ind w:firstLine="613"/>
        <w:spacing w:after="0" w:line="289" w:lineRule="auto"/>
        <w:tabs>
          <w:tab w:leader="none" w:pos="82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per share of Common Stock under this Warrant shall be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_____,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jc w:val="both"/>
        <w:ind w:firstLine="613"/>
        <w:spacing w:after="0" w:line="262" w:lineRule="auto"/>
        <w:tabs>
          <w:tab w:leader="none" w:pos="791"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2" w:lineRule="exact"/>
        <w:rPr>
          <w:sz w:val="20"/>
          <w:szCs w:val="20"/>
          <w:color w:val="auto"/>
        </w:rPr>
      </w:pPr>
    </w:p>
    <w:p>
      <w:pPr>
        <w:ind w:left="1160" w:hanging="547"/>
        <w:spacing w:after="0" w:line="255" w:lineRule="auto"/>
        <w:tabs>
          <w:tab w:leader="none" w:pos="91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3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32" w:name="page233"/>
    <w:bookmarkEnd w:id="232"/>
    <w:p>
      <w:pPr>
        <w:ind w:left="620"/>
        <w:spacing w:after="0"/>
        <w:tabs>
          <w:tab w:leader="none" w:pos="1140" w:val="left"/>
        </w:tabs>
        <w:rPr>
          <w:sz w:val="20"/>
          <w:szCs w:val="20"/>
          <w:color w:val="auto"/>
        </w:rPr>
      </w:pPr>
      <w:r>
        <w:rPr>
          <w:rFonts w:ascii="Times New Roman" w:cs="Times New Roman" w:eastAsia="Times New Roman" w:hAnsi="Times New Roman"/>
          <w:sz w:val="17"/>
          <w:szCs w:val="17"/>
          <w:color w:val="auto"/>
        </w:rPr>
        <w:t>(B) =</w:t>
        <w:tab/>
        <w:t>the Exercise Price of this Warrant, as adjusted hereunder; and</w:t>
      </w:r>
    </w:p>
    <w:p>
      <w:pPr>
        <w:spacing w:after="0" w:line="215" w:lineRule="exact"/>
        <w:rPr>
          <w:sz w:val="20"/>
          <w:szCs w:val="20"/>
          <w:color w:val="auto"/>
        </w:rPr>
      </w:pPr>
    </w:p>
    <w:p>
      <w:pPr>
        <w:ind w:left="1160" w:hanging="547"/>
        <w:spacing w:after="0" w:line="284" w:lineRule="auto"/>
        <w:tabs>
          <w:tab w:leader="none" w:pos="90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66" w:lineRule="exact"/>
        <w:rPr>
          <w:sz w:val="20"/>
          <w:szCs w:val="20"/>
          <w:color w:val="auto"/>
        </w:rPr>
      </w:pPr>
    </w:p>
    <w:p>
      <w:pPr>
        <w:ind w:left="800" w:hanging="187"/>
        <w:spacing w:after="0"/>
        <w:tabs>
          <w:tab w:leader="none" w:pos="8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1220" w:firstLine="624"/>
        <w:spacing w:after="0" w:line="253" w:lineRule="auto"/>
        <w:tabs>
          <w:tab w:leader="none" w:pos="2007"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3" w:lineRule="exact"/>
        <w:rPr>
          <w:sz w:val="20"/>
          <w:szCs w:val="20"/>
          <w:color w:val="auto"/>
        </w:rPr>
      </w:pPr>
    </w:p>
    <w:p>
      <w:pPr>
        <w:jc w:val="both"/>
        <w:ind w:left="1220"/>
        <w:spacing w:after="0" w:line="241" w:lineRule="auto"/>
        <w:rPr>
          <w:sz w:val="20"/>
          <w:szCs w:val="20"/>
          <w:color w:val="auto"/>
        </w:rPr>
      </w:pPr>
      <w:r>
        <w:rPr>
          <w:rFonts w:ascii="Times New Roman" w:cs="Times New Roman" w:eastAsia="Times New Roman" w:hAnsi="Times New Roman"/>
          <w:sz w:val="17"/>
          <w:szCs w:val="17"/>
          <w:color w:val="auto"/>
        </w:rPr>
        <w:t>Notice of Exercise), $10 per Trading Day (increasing to $20 per Trading Day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8" w:lineRule="exact"/>
        <w:rPr>
          <w:sz w:val="20"/>
          <w:szCs w:val="20"/>
          <w:color w:val="auto"/>
        </w:rPr>
      </w:pPr>
    </w:p>
    <w:p>
      <w:pPr>
        <w:jc w:val="both"/>
        <w:ind w:left="1220" w:firstLine="624"/>
        <w:spacing w:after="0" w:line="262" w:lineRule="auto"/>
        <w:tabs>
          <w:tab w:leader="none" w:pos="2016"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33" w:name="page234"/>
    <w:bookmarkEnd w:id="233"/>
    <w:p>
      <w:pPr>
        <w:ind w:left="720" w:firstLine="624"/>
        <w:spacing w:after="0" w:line="284" w:lineRule="auto"/>
        <w:tabs>
          <w:tab w:leader="none" w:pos="156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52" w:lineRule="exact"/>
        <w:rPr>
          <w:rFonts w:ascii="Times New Roman" w:cs="Times New Roman" w:eastAsia="Times New Roman" w:hAnsi="Times New Roman"/>
          <w:sz w:val="17"/>
          <w:szCs w:val="17"/>
          <w:color w:val="auto"/>
        </w:rPr>
      </w:pPr>
    </w:p>
    <w:p>
      <w:pPr>
        <w:jc w:val="both"/>
        <w:ind w:left="720" w:firstLine="624"/>
        <w:spacing w:after="0" w:line="253" w:lineRule="auto"/>
        <w:tabs>
          <w:tab w:leader="none" w:pos="156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49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Times New Roman" w:cs="Times New Roman" w:eastAsia="Times New Roman" w:hAnsi="Times New Roman"/>
          <w:sz w:val="17"/>
          <w:szCs w:val="17"/>
          <w:color w:val="auto"/>
        </w:rPr>
      </w:pPr>
    </w:p>
    <w:p>
      <w:pPr>
        <w:jc w:val="both"/>
        <w:ind w:left="720" w:firstLine="624"/>
        <w:spacing w:after="0" w:line="255" w:lineRule="auto"/>
        <w:tabs>
          <w:tab w:leader="none" w:pos="1579"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34" w:name="page235"/>
    <w:bookmarkEnd w:id="234"/>
    <w:p>
      <w:pPr>
        <w:ind w:left="1220" w:firstLine="624"/>
        <w:spacing w:after="0" w:line="284" w:lineRule="auto"/>
        <w:tabs>
          <w:tab w:leader="none" w:pos="2101"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52" w:lineRule="exact"/>
        <w:rPr>
          <w:rFonts w:ascii="Times New Roman" w:cs="Times New Roman" w:eastAsia="Times New Roman" w:hAnsi="Times New Roman"/>
          <w:sz w:val="17"/>
          <w:szCs w:val="17"/>
          <w:color w:val="auto"/>
        </w:rPr>
      </w:pPr>
    </w:p>
    <w:p>
      <w:pPr>
        <w:jc w:val="both"/>
        <w:ind w:firstLine="613"/>
        <w:spacing w:after="0" w:line="252" w:lineRule="auto"/>
        <w:tabs>
          <w:tab w:leader="none" w:pos="79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w:t>
      </w:r>
    </w:p>
    <w:p>
      <w:pPr>
        <w:spacing w:after="0" w:line="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9"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55" w:lineRule="auto"/>
        <w:tabs>
          <w:tab w:leader="none" w:pos="803"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5" w:lineRule="auto"/>
        <w:tabs>
          <w:tab w:leader="none" w:pos="80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6" w:lineRule="exact"/>
        <w:rPr>
          <w:rFonts w:ascii="Times New Roman" w:cs="Times New Roman" w:eastAsia="Times New Roman" w:hAnsi="Times New Roman"/>
          <w:sz w:val="17"/>
          <w:szCs w:val="17"/>
          <w:color w:val="auto"/>
        </w:rPr>
      </w:pPr>
    </w:p>
    <w:p>
      <w:pPr>
        <w:jc w:val="both"/>
        <w:ind w:firstLine="613"/>
        <w:spacing w:after="0" w:line="254" w:lineRule="auto"/>
        <w:tabs>
          <w:tab w:leader="none" w:pos="816"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36" w:name="page237"/>
    <w:bookmarkEnd w:id="236"/>
    <w:p>
      <w:pPr>
        <w:jc w:val="both"/>
        <w:ind w:left="2" w:firstLine="613"/>
        <w:spacing w:after="0" w:line="254" w:lineRule="auto"/>
        <w:tabs>
          <w:tab w:leader="none" w:pos="815"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2" w:lineRule="exact"/>
        <w:rPr>
          <w:rFonts w:ascii="Times New Roman" w:cs="Times New Roman" w:eastAsia="Times New Roman" w:hAnsi="Times New Roman"/>
          <w:sz w:val="17"/>
          <w:szCs w:val="17"/>
          <w:color w:val="auto"/>
        </w:rPr>
      </w:pPr>
    </w:p>
    <w:p>
      <w:pPr>
        <w:jc w:val="both"/>
        <w:ind w:left="2" w:hanging="2"/>
        <w:spacing w:after="0" w:line="252" w:lineRule="auto"/>
        <w:tabs>
          <w:tab w:leader="none" w:pos="28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386" w:lineRule="exact"/>
        <w:rPr>
          <w:sz w:val="20"/>
          <w:szCs w:val="20"/>
          <w:color w:val="auto"/>
        </w:rPr>
      </w:pPr>
    </w:p>
    <w:p>
      <w:pPr>
        <w:ind w:left="4962"/>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16510</wp:posOffset>
            </wp:positionV>
            <wp:extent cx="7139305"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2"/>
          </w:cols>
          <w:pgMar w:left="938" w:top="328" w:right="339" w:bottom="1440" w:gutter="0" w:footer="0" w:header="0"/>
        </w:sectPr>
      </w:pPr>
    </w:p>
    <w:bookmarkStart w:id="237" w:name="page238"/>
    <w:bookmarkEnd w:id="237"/>
    <w:p>
      <w:pPr>
        <w:jc w:val="both"/>
        <w:ind w:left="-500" w:firstLine="613"/>
        <w:spacing w:after="0" w:line="268" w:lineRule="auto"/>
        <w:tabs>
          <w:tab w:leader="none" w:pos="29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Times New Roman" w:cs="Times New Roman" w:eastAsia="Times New Roman" w:hAnsi="Times New Roman"/>
          <w:sz w:val="17"/>
          <w:szCs w:val="17"/>
          <w:color w:val="auto"/>
        </w:rPr>
      </w:pPr>
    </w:p>
    <w:p>
      <w:pPr>
        <w:ind w:left="260" w:hanging="147"/>
        <w:spacing w:after="0"/>
        <w:tabs>
          <w:tab w:leader="none" w:pos="26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4" w:lineRule="exact"/>
        <w:rPr>
          <w:rFonts w:ascii="Times New Roman" w:cs="Times New Roman" w:eastAsia="Times New Roman" w:hAnsi="Times New Roman"/>
          <w:sz w:val="17"/>
          <w:szCs w:val="17"/>
          <w:color w:val="auto"/>
        </w:rPr>
      </w:pPr>
    </w:p>
    <w:p>
      <w:pPr>
        <w:jc w:val="both"/>
        <w:ind w:left="720" w:firstLine="624"/>
        <w:spacing w:after="0" w:line="268" w:lineRule="auto"/>
        <w:tabs>
          <w:tab w:leader="none" w:pos="1494"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65" w:lineRule="exact"/>
        <w:rPr>
          <w:rFonts w:ascii="Times New Roman" w:cs="Times New Roman" w:eastAsia="Times New Roman" w:hAnsi="Times New Roman"/>
          <w:sz w:val="17"/>
          <w:szCs w:val="17"/>
          <w:color w:val="auto"/>
        </w:rPr>
      </w:pPr>
    </w:p>
    <w:p>
      <w:pPr>
        <w:jc w:val="both"/>
        <w:ind w:left="720" w:firstLine="624"/>
        <w:spacing w:after="0" w:line="262" w:lineRule="auto"/>
        <w:tabs>
          <w:tab w:leader="none" w:pos="1516"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w:t>
      </w:r>
    </w:p>
    <w:p>
      <w:pPr>
        <w:jc w:val="both"/>
        <w:ind w:left="720" w:firstLine="9"/>
        <w:spacing w:after="0" w:line="252" w:lineRule="auto"/>
        <w:tabs>
          <w:tab w:leader="none" w:pos="1006"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38" w:name="page239"/>
    <w:bookmarkEnd w:id="238"/>
    <w:p>
      <w:pPr>
        <w:jc w:val="both"/>
        <w:ind w:firstLine="613"/>
        <w:spacing w:after="0" w:line="268" w:lineRule="auto"/>
        <w:tabs>
          <w:tab w:leader="none" w:pos="8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62" w:lineRule="auto"/>
        <w:tabs>
          <w:tab w:leader="none" w:pos="803"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Pursuant to FINRA Rule 5110(e),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commencement of sales of the offering pursuant to which this Warrant is being issued, except the transfer of any security:</w:t>
      </w:r>
    </w:p>
    <w:p>
      <w:pPr>
        <w:spacing w:after="0" w:line="172" w:lineRule="exact"/>
        <w:rPr>
          <w:sz w:val="20"/>
          <w:szCs w:val="20"/>
          <w:color w:val="auto"/>
        </w:rPr>
      </w:pPr>
    </w:p>
    <w:p>
      <w:pPr>
        <w:ind w:left="1220" w:hanging="607"/>
        <w:spacing w:after="0"/>
        <w:tabs>
          <w:tab w:leader="none" w:pos="12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operation of law or by reason of reorganization of the Company;</w:t>
      </w:r>
    </w:p>
    <w:p>
      <w:pPr>
        <w:spacing w:after="0" w:line="214" w:lineRule="exact"/>
        <w:rPr>
          <w:rFonts w:ascii="Times New Roman" w:cs="Times New Roman" w:eastAsia="Times New Roman" w:hAnsi="Times New Roman"/>
          <w:sz w:val="17"/>
          <w:szCs w:val="17"/>
          <w:color w:val="auto"/>
        </w:rPr>
      </w:pPr>
    </w:p>
    <w:p>
      <w:pPr>
        <w:ind w:left="1220" w:hanging="607"/>
        <w:spacing w:after="0" w:line="284" w:lineRule="auto"/>
        <w:tabs>
          <w:tab w:leader="none" w:pos="12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FINRA member firm participating in the offering and the officers, partners, registered persons or affiliates thereof, if all securities so transferred remain subject to the lock-up restriction in this Section 4(a) for the remainder of the time period;</w:t>
      </w:r>
    </w:p>
    <w:p>
      <w:pPr>
        <w:spacing w:after="0" w:line="152" w:lineRule="exact"/>
        <w:rPr>
          <w:rFonts w:ascii="Times New Roman" w:cs="Times New Roman" w:eastAsia="Times New Roman" w:hAnsi="Times New Roman"/>
          <w:sz w:val="17"/>
          <w:szCs w:val="17"/>
          <w:color w:val="auto"/>
        </w:rPr>
      </w:pPr>
    </w:p>
    <w:p>
      <w:pPr>
        <w:ind w:left="1220" w:hanging="607"/>
        <w:spacing w:after="0" w:line="284" w:lineRule="auto"/>
        <w:tabs>
          <w:tab w:leader="none" w:pos="12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aggregate amount of securities of the Company held by the Holder or related person does not exceed 1% of the securities being offered;</w:t>
      </w:r>
    </w:p>
    <w:p>
      <w:pPr>
        <w:spacing w:after="0" w:line="152" w:lineRule="exact"/>
        <w:rPr>
          <w:rFonts w:ascii="Times New Roman" w:cs="Times New Roman" w:eastAsia="Times New Roman" w:hAnsi="Times New Roman"/>
          <w:sz w:val="17"/>
          <w:szCs w:val="17"/>
          <w:color w:val="auto"/>
        </w:rPr>
      </w:pPr>
    </w:p>
    <w:p>
      <w:pPr>
        <w:jc w:val="both"/>
        <w:ind w:left="1220" w:hanging="607"/>
        <w:spacing w:after="0" w:line="268" w:lineRule="auto"/>
        <w:tabs>
          <w:tab w:leader="none" w:pos="12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65" w:lineRule="exact"/>
        <w:rPr>
          <w:rFonts w:ascii="Times New Roman" w:cs="Times New Roman" w:eastAsia="Times New Roman" w:hAnsi="Times New Roman"/>
          <w:sz w:val="17"/>
          <w:szCs w:val="17"/>
          <w:color w:val="auto"/>
        </w:rPr>
      </w:pPr>
    </w:p>
    <w:p>
      <w:pPr>
        <w:ind w:left="1220" w:hanging="607"/>
        <w:spacing w:after="0" w:line="284" w:lineRule="auto"/>
        <w:tabs>
          <w:tab w:leader="none" w:pos="12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or conversion of any security, if all securities received remain subject to the lock-up restriction in this Section 4(a) for the remainder of the time period;</w:t>
      </w:r>
    </w:p>
    <w:p>
      <w:pPr>
        <w:spacing w:after="0" w:line="3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39" w:name="page240"/>
    <w:bookmarkEnd w:id="239"/>
    <w:p>
      <w:pPr>
        <w:ind w:left="720" w:hanging="607"/>
        <w:spacing w:after="0"/>
        <w:tabs>
          <w:tab w:leader="none" w:pos="7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meets the registration requirements of Forms S-3, F-3 or F-10; or</w:t>
      </w:r>
    </w:p>
    <w:p>
      <w:pPr>
        <w:spacing w:after="0" w:line="214" w:lineRule="exact"/>
        <w:rPr>
          <w:rFonts w:ascii="Times New Roman" w:cs="Times New Roman" w:eastAsia="Times New Roman" w:hAnsi="Times New Roman"/>
          <w:sz w:val="17"/>
          <w:szCs w:val="17"/>
          <w:color w:val="auto"/>
        </w:rPr>
      </w:pPr>
    </w:p>
    <w:p>
      <w:pPr>
        <w:ind w:left="720" w:hanging="607"/>
        <w:spacing w:after="0"/>
        <w:tabs>
          <w:tab w:leader="none" w:pos="7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 to the Company in a transaction exempt from registration with the Commission.</w:t>
      </w:r>
    </w:p>
    <w:p>
      <w:pPr>
        <w:spacing w:after="0" w:line="21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7"/>
          <w:szCs w:val="17"/>
          <w:color w:val="auto"/>
        </w:rPr>
        <w:t>Subject to the foregoing restriction,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7" w:lineRule="exact"/>
        <w:rPr>
          <w:sz w:val="20"/>
          <w:szCs w:val="20"/>
          <w:color w:val="auto"/>
        </w:rPr>
      </w:pPr>
    </w:p>
    <w:p>
      <w:pPr>
        <w:jc w:val="both"/>
        <w:ind w:left="-500" w:firstLine="613"/>
        <w:spacing w:after="0" w:line="258" w:lineRule="auto"/>
        <w:tabs>
          <w:tab w:leader="none" w:pos="3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4" w:lineRule="exact"/>
        <w:rPr>
          <w:rFonts w:ascii="Times New Roman" w:cs="Times New Roman" w:eastAsia="Times New Roman" w:hAnsi="Times New Roman"/>
          <w:sz w:val="17"/>
          <w:szCs w:val="17"/>
          <w:color w:val="auto"/>
        </w:rPr>
      </w:pPr>
    </w:p>
    <w:p>
      <w:pPr>
        <w:jc w:val="both"/>
        <w:ind w:left="-500" w:firstLine="613"/>
        <w:spacing w:after="0" w:line="262" w:lineRule="auto"/>
        <w:tabs>
          <w:tab w:leader="none" w:pos="30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3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13"/>
        <w:spacing w:after="0" w:line="262" w:lineRule="auto"/>
        <w:tabs>
          <w:tab w:leader="none" w:pos="791"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1" w:lineRule="exact"/>
        <w:rPr>
          <w:rFonts w:ascii="Times New Roman" w:cs="Times New Roman" w:eastAsia="Times New Roman" w:hAnsi="Times New Roman"/>
          <w:sz w:val="17"/>
          <w:szCs w:val="17"/>
          <w:color w:val="auto"/>
        </w:rPr>
      </w:pPr>
    </w:p>
    <w:p>
      <w:pPr>
        <w:jc w:val="both"/>
        <w:ind w:firstLine="613"/>
        <w:spacing w:after="0" w:line="260" w:lineRule="auto"/>
        <w:tabs>
          <w:tab w:leader="none" w:pos="82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80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2" w:lineRule="exact"/>
        <w:rPr>
          <w:rFonts w:ascii="Times New Roman" w:cs="Times New Roman" w:eastAsia="Times New Roman" w:hAnsi="Times New Roman"/>
          <w:sz w:val="17"/>
          <w:szCs w:val="17"/>
          <w:color w:val="auto"/>
        </w:rPr>
      </w:pPr>
    </w:p>
    <w:p>
      <w:pPr>
        <w:ind w:left="800" w:hanging="187"/>
        <w:spacing w:after="0"/>
        <w:tabs>
          <w:tab w:leader="none" w:pos="8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left="620" w:firstLine="615"/>
        <w:spacing w:after="0" w:line="255"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41" w:name="page242"/>
    <w:bookmarkEnd w:id="241"/>
    <w:p>
      <w:pPr>
        <w:jc w:val="both"/>
        <w:ind w:left="120" w:firstLine="615"/>
        <w:spacing w:after="0" w:line="255"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9" w:lineRule="exact"/>
        <w:rPr>
          <w:sz w:val="20"/>
          <w:szCs w:val="20"/>
          <w:color w:val="auto"/>
        </w:rPr>
      </w:pPr>
    </w:p>
    <w:p>
      <w:pPr>
        <w:jc w:val="both"/>
        <w:ind w:left="120" w:firstLine="615"/>
        <w:spacing w:after="0" w:line="268"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6" w:lineRule="exact"/>
        <w:rPr>
          <w:sz w:val="20"/>
          <w:szCs w:val="20"/>
          <w:color w:val="auto"/>
        </w:rPr>
      </w:pPr>
    </w:p>
    <w:p>
      <w:pPr>
        <w:jc w:val="both"/>
        <w:ind w:left="-500" w:firstLine="613"/>
        <w:spacing w:after="0" w:line="254" w:lineRule="auto"/>
        <w:tabs>
          <w:tab w:leader="none" w:pos="29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3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42" w:name="page243"/>
    <w:bookmarkEnd w:id="242"/>
    <w:p>
      <w:pPr>
        <w:ind w:left="-500" w:firstLine="613"/>
        <w:spacing w:after="0" w:line="284" w:lineRule="auto"/>
        <w:tabs>
          <w:tab w:leader="none" w:pos="28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2" w:lineRule="exact"/>
        <w:rPr>
          <w:rFonts w:ascii="Times New Roman" w:cs="Times New Roman" w:eastAsia="Times New Roman" w:hAnsi="Times New Roman"/>
          <w:sz w:val="17"/>
          <w:szCs w:val="17"/>
          <w:color w:val="auto"/>
        </w:rPr>
      </w:pPr>
    </w:p>
    <w:p>
      <w:pPr>
        <w:jc w:val="both"/>
        <w:ind w:left="-500" w:firstLine="613"/>
        <w:spacing w:after="0" w:line="258" w:lineRule="auto"/>
        <w:tabs>
          <w:tab w:leader="none" w:pos="3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4" w:lineRule="exact"/>
        <w:rPr>
          <w:rFonts w:ascii="Times New Roman" w:cs="Times New Roman" w:eastAsia="Times New Roman" w:hAnsi="Times New Roman"/>
          <w:sz w:val="17"/>
          <w:szCs w:val="17"/>
          <w:color w:val="auto"/>
        </w:rPr>
      </w:pPr>
    </w:p>
    <w:p>
      <w:pPr>
        <w:jc w:val="both"/>
        <w:ind w:left="-500" w:firstLine="613"/>
        <w:spacing w:after="0" w:line="254" w:lineRule="auto"/>
        <w:tabs>
          <w:tab w:leader="none" w:pos="3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_______, Attention: </w:t>
      </w:r>
      <w:r>
        <w:rPr>
          <w:rFonts w:ascii="Times New Roman" w:cs="Times New Roman" w:eastAsia="Times New Roman" w:hAnsi="Times New Roman"/>
          <w:sz w:val="17"/>
          <w:szCs w:val="17"/>
          <w:b w:val="1"/>
          <w:bCs w:val="1"/>
          <w:color w:val="auto"/>
        </w:rPr>
        <w:t>________</w:t>
      </w:r>
      <w:r>
        <w:rPr>
          <w:rFonts w:ascii="Times New Roman" w:cs="Times New Roman" w:eastAsia="Times New Roman" w:hAnsi="Times New Roman"/>
          <w:sz w:val="17"/>
          <w:szCs w:val="17"/>
          <w:color w:val="auto"/>
        </w:rPr>
        <w:t>, email address: 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2" w:lineRule="exact"/>
        <w:rPr>
          <w:rFonts w:ascii="Times New Roman" w:cs="Times New Roman" w:eastAsia="Times New Roman" w:hAnsi="Times New Roman"/>
          <w:sz w:val="17"/>
          <w:szCs w:val="17"/>
          <w:color w:val="auto"/>
        </w:rPr>
      </w:pPr>
    </w:p>
    <w:p>
      <w:pPr>
        <w:jc w:val="both"/>
        <w:ind w:left="-500" w:firstLine="613"/>
        <w:spacing w:after="0" w:line="268" w:lineRule="auto"/>
        <w:tabs>
          <w:tab w:leader="none" w:pos="262"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16510</wp:posOffset>
            </wp:positionV>
            <wp:extent cx="713930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43" w:name="page244"/>
    <w:bookmarkEnd w:id="243"/>
    <w:p>
      <w:pPr>
        <w:jc w:val="both"/>
        <w:ind w:firstLine="613"/>
        <w:spacing w:after="0" w:line="262" w:lineRule="auto"/>
        <w:tabs>
          <w:tab w:leader="none" w:pos="77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1" w:lineRule="exact"/>
        <w:rPr>
          <w:rFonts w:ascii="Times New Roman" w:cs="Times New Roman" w:eastAsia="Times New Roman" w:hAnsi="Times New Roman"/>
          <w:sz w:val="17"/>
          <w:szCs w:val="17"/>
          <w:color w:val="auto"/>
        </w:rPr>
      </w:pPr>
    </w:p>
    <w:p>
      <w:pPr>
        <w:jc w:val="both"/>
        <w:ind w:firstLine="613"/>
        <w:spacing w:after="0" w:line="262" w:lineRule="auto"/>
        <w:tabs>
          <w:tab w:leader="none" w:pos="80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1" w:lineRule="exact"/>
        <w:rPr>
          <w:rFonts w:ascii="Times New Roman" w:cs="Times New Roman" w:eastAsia="Times New Roman" w:hAnsi="Times New Roman"/>
          <w:sz w:val="17"/>
          <w:szCs w:val="17"/>
          <w:color w:val="auto"/>
        </w:rPr>
      </w:pPr>
    </w:p>
    <w:p>
      <w:pPr>
        <w:ind w:firstLine="613"/>
        <w:spacing w:after="0" w:line="284" w:lineRule="auto"/>
        <w:tabs>
          <w:tab w:leader="none" w:pos="78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52" w:lineRule="exact"/>
        <w:rPr>
          <w:rFonts w:ascii="Times New Roman" w:cs="Times New Roman" w:eastAsia="Times New Roman" w:hAnsi="Times New Roman"/>
          <w:sz w:val="17"/>
          <w:szCs w:val="17"/>
          <w:color w:val="auto"/>
        </w:rPr>
      </w:pPr>
    </w:p>
    <w:p>
      <w:pPr>
        <w:jc w:val="both"/>
        <w:ind w:firstLine="613"/>
        <w:spacing w:after="0" w:line="268" w:lineRule="auto"/>
        <w:tabs>
          <w:tab w:leader="none" w:pos="873"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5" w:lineRule="exact"/>
        <w:rPr>
          <w:rFonts w:ascii="Times New Roman" w:cs="Times New Roman" w:eastAsia="Times New Roman" w:hAnsi="Times New Roman"/>
          <w:sz w:val="17"/>
          <w:szCs w:val="17"/>
          <w:color w:val="auto"/>
        </w:rPr>
      </w:pPr>
    </w:p>
    <w:p>
      <w:pPr>
        <w:ind w:left="800" w:hanging="187"/>
        <w:spacing w:after="0"/>
        <w:tabs>
          <w:tab w:leader="none" w:pos="80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w:t>
      </w:r>
    </w:p>
    <w:p>
      <w:pPr>
        <w:spacing w:after="0" w:line="1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328"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16510</wp:posOffset>
            </wp:positionV>
            <wp:extent cx="255587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2555875" cy="16510"/>
                    </a:xfrm>
                    <a:prstGeom prst="rect">
                      <a:avLst/>
                    </a:prstGeom>
                    <a:noFill/>
                  </pic:spPr>
                </pic:pic>
              </a:graphicData>
            </a:graphic>
          </wp:anchor>
        </w:drawing>
      </w:r>
    </w:p>
    <w:p>
      <w:pPr>
        <w:spacing w:after="0" w:line="1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CID HOLDCO, INC.</w:t>
      </w:r>
    </w:p>
    <w:p>
      <w:pPr>
        <w:spacing w:after="0" w:line="219" w:lineRule="exact"/>
        <w:rPr>
          <w:sz w:val="20"/>
          <w:szCs w:val="20"/>
          <w:color w:val="auto"/>
        </w:rPr>
      </w:pPr>
    </w:p>
    <w:p>
      <w:pPr>
        <w:ind w:firstLine="1233"/>
        <w:spacing w:after="0" w:line="284" w:lineRule="auto"/>
        <w:tabs>
          <w:tab w:leader="none" w:pos="14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Times New Roman" w:cs="Times New Roman" w:eastAsia="Times New Roman" w:hAnsi="Times New Roman"/>
          <w:sz w:val="17"/>
          <w:szCs w:val="17"/>
          <w:color w:val="auto"/>
        </w:rPr>
      </w:pPr>
    </w:p>
    <w:p>
      <w:pPr>
        <w:ind w:left="1480" w:hanging="247"/>
        <w:spacing w:after="0"/>
        <w:tabs>
          <w:tab w:leader="none" w:pos="14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4" w:lineRule="exact"/>
        <w:rPr>
          <w:rFonts w:ascii="Times New Roman" w:cs="Times New Roman" w:eastAsia="Times New Roman" w:hAnsi="Times New Roman"/>
          <w:sz w:val="17"/>
          <w:szCs w:val="17"/>
          <w:color w:val="auto"/>
        </w:rPr>
      </w:pPr>
    </w:p>
    <w:p>
      <w:pPr>
        <w:ind w:left="2040" w:hanging="191"/>
        <w:spacing w:after="0"/>
        <w:tabs>
          <w:tab w:leader="none" w:pos="2040" w:val="left"/>
        </w:tabs>
        <w:numPr>
          <w:ilvl w:val="1"/>
          <w:numId w:val="1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214" w:lineRule="exact"/>
        <w:rPr>
          <w:rFonts w:ascii="MS PGothic" w:cs="MS PGothic" w:eastAsia="MS PGothic" w:hAnsi="MS PGothic"/>
          <w:sz w:val="17"/>
          <w:szCs w:val="17"/>
          <w:color w:val="auto"/>
        </w:rPr>
      </w:pPr>
    </w:p>
    <w:p>
      <w:pPr>
        <w:jc w:val="both"/>
        <w:ind w:left="1840" w:firstLine="9"/>
        <w:spacing w:after="0" w:line="268" w:lineRule="auto"/>
        <w:tabs>
          <w:tab w:leader="none" w:pos="2039" w:val="left"/>
        </w:tabs>
        <w:numPr>
          <w:ilvl w:val="1"/>
          <w:numId w:val="15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5" w:lineRule="exact"/>
        <w:rPr>
          <w:rFonts w:ascii="MS PGothic" w:cs="MS PGothic" w:eastAsia="MS PGothic" w:hAnsi="MS PGothic"/>
          <w:sz w:val="17"/>
          <w:szCs w:val="17"/>
          <w:color w:val="auto"/>
        </w:rPr>
      </w:pPr>
    </w:p>
    <w:p>
      <w:pPr>
        <w:ind w:left="1480" w:hanging="247"/>
        <w:spacing w:after="0"/>
        <w:tabs>
          <w:tab w:leader="none" w:pos="14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4" w:lineRule="exact"/>
        <w:rPr>
          <w:rFonts w:ascii="Times New Roman" w:cs="Times New Roman" w:eastAsia="Times New Roman" w:hAnsi="Times New Roman"/>
          <w:sz w:val="17"/>
          <w:szCs w:val="17"/>
          <w:color w:val="auto"/>
        </w:rPr>
      </w:pPr>
    </w:p>
    <w:p>
      <w:pPr>
        <w:ind w:left="1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_______________________________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 ________________________________________________________________________</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 _________________________________________________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 ___________________________________________________________________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 ____________________________________________________________________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713930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6" w:name="page247"/>
    <w:bookmarkEnd w:id="246"/>
    <w:p>
      <w:pPr>
        <w:jc w:val="center"/>
        <w:ind w:right="-639"/>
        <w:spacing w:after="0"/>
        <w:rPr>
          <w:sz w:val="20"/>
          <w:szCs w:val="20"/>
          <w:color w:val="auto"/>
        </w:rPr>
      </w:pPr>
      <w:r>
        <w:rPr>
          <w:rFonts w:ascii="Times New Roman" w:cs="Times New Roman" w:eastAsia="Times New Roman" w:hAnsi="Times New Roman"/>
          <w:sz w:val="17"/>
          <w:szCs w:val="17"/>
          <w:color w:val="auto"/>
        </w:rPr>
        <w:t>ASSIGNMENT FORM</w:t>
      </w:r>
    </w:p>
    <w:p>
      <w:pPr>
        <w:spacing w:after="0" w:line="211" w:lineRule="exact"/>
        <w:rPr>
          <w:sz w:val="20"/>
          <w:szCs w:val="20"/>
          <w:color w:val="auto"/>
        </w:rPr>
      </w:pPr>
    </w:p>
    <w:p>
      <w:pPr>
        <w:ind w:left="180" w:firstLine="128"/>
        <w:spacing w:after="0" w:line="506" w:lineRule="auto"/>
        <w:rPr>
          <w:sz w:val="20"/>
          <w:szCs w:val="20"/>
          <w:color w:val="auto"/>
        </w:rPr>
      </w:pPr>
      <w:r>
        <w:rPr>
          <w:rFonts w:ascii="Times New Roman" w:cs="Times New Roman" w:eastAsia="Times New Roman" w:hAnsi="Times New Roman"/>
          <w:sz w:val="17"/>
          <w:szCs w:val="17"/>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16510</wp:posOffset>
            </wp:positionV>
            <wp:extent cx="284924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152400</wp:posOffset>
            </wp:positionV>
            <wp:extent cx="284924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(Please Print)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2849245"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16510</wp:posOffset>
            </wp:positionV>
            <wp:extent cx="284924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2849245" cy="1651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_______________ __, 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Signature: 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Address: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713930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00"/>
          </w:cols>
          <w:pgMar w:left="320" w:top="328" w:right="97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0" w:lineRule="exact"/>
        <w:rPr>
          <w:sz w:val="20"/>
          <w:szCs w:val="20"/>
          <w:color w:val="auto"/>
        </w:rPr>
      </w:pPr>
    </w:p>
    <w:p>
      <w:pPr>
        <w:spacing w:after="0" w:line="23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976630" cy="569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976630" cy="56959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650 S Exeter Street</w:t>
      </w:r>
    </w:p>
    <w:p>
      <w:pPr>
        <w:spacing w:after="0" w:line="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Suite 1100</w:t>
      </w:r>
    </w:p>
    <w:p>
      <w:pPr>
        <w:spacing w:after="0" w:line="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Baltimore, Maryland 21202</w:t>
      </w: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CID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5661 S Cameron St, Suite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Nevada 89118</w:t>
      </w:r>
    </w:p>
    <w:p>
      <w:pPr>
        <w:spacing w:after="0" w:line="194" w:lineRule="exact"/>
        <w:rPr>
          <w:sz w:val="20"/>
          <w:szCs w:val="20"/>
          <w:color w:val="auto"/>
        </w:rPr>
      </w:pPr>
    </w:p>
    <w:p>
      <w:pPr>
        <w:ind w:left="400"/>
        <w:spacing w:after="0"/>
        <w:tabs>
          <w:tab w:leader="none" w:pos="1000" w:val="left"/>
        </w:tabs>
        <w:rPr>
          <w:sz w:val="20"/>
          <w:szCs w:val="20"/>
          <w:color w:val="auto"/>
        </w:rPr>
      </w:pPr>
      <w:r>
        <w:rPr>
          <w:rFonts w:ascii="Times New Roman" w:cs="Times New Roman" w:eastAsia="Times New Roman" w:hAnsi="Times New Roman"/>
          <w:sz w:val="17"/>
          <w:szCs w:val="17"/>
          <w:b w:val="1"/>
          <w:bCs w:val="1"/>
          <w:u w:val="single" w:color="auto"/>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CID HoldCo,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We have acted as counsel to CID HoldCo, Inc., a Delaware corporation (the “Company”), in connection with the preparation and filing by the Company with the United States Securities and Exchange Commission (the “Commission”) of a Registration Statement on Form S-1 filed by the Company with the Commission on January 28, 2026 (File No. 333-[ ]) (the “Registration Statement”) pursuant to the Securities Act of 1933, as amended (the “Securities Act”).</w:t>
      </w:r>
    </w:p>
    <w:p>
      <w:pPr>
        <w:spacing w:after="0" w:line="166"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The Registration Statement relates to the proposed issuance and sale by the Company of (i) up to [—] shares of its Common Stock, par value $0.0001 per share (the “Shares”); (ii) up to [—] Series A-1 common stock purchase warrants (the “Series A-1 Warrants”); (iii) up to [—] Series A-2 common stock purchase warrants (the “Series A-2 Warrants” and, together with the Series A-1 Warrants, the “Warrants”); (iv) up to [—] pre-funded warrants (the “Pre-Funded Warrants”);</w:t>
      </w:r>
    </w:p>
    <w:p>
      <w:pPr>
        <w:spacing w:after="0" w:line="2" w:lineRule="exact"/>
        <w:rPr>
          <w:sz w:val="20"/>
          <w:szCs w:val="20"/>
          <w:color w:val="auto"/>
        </w:rPr>
      </w:pPr>
    </w:p>
    <w:p>
      <w:pPr>
        <w:jc w:val="both"/>
        <w:ind w:firstLine="3"/>
        <w:spacing w:after="0" w:line="255" w:lineRule="auto"/>
        <w:tabs>
          <w:tab w:leader="none" w:pos="268"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 warrants issuable to the placement agent (the “Placement Agent Warrants” and, together with the Warrants and the Pre-Funded Warrants, the “Company Warrants”); and (vi) up to [—] shares of Common Stock issuable upon exercise of the Series A-1 Warrants, Series A-2 Warrants, Pre-Funded Warrants and Placement Agent Warrants (the “Warrant Shares” and, together with the Shares and the Company Warrants, the “Securities”), in each case as described in the prospectus forming part of the Registration Statement.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Capitalized terms used herein but not otherwise defined herein have the meanings ascribed to them in the Registration Statement.</w:t>
      </w:r>
    </w:p>
    <w:p>
      <w:pPr>
        <w:spacing w:after="0" w:line="215"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This opinion letter is being furnished in accordance with the requirements of Item 601(b)(5) of Regulation S-K under the Securities Act, and no opinion is expressed herein as to any matter pertaining to the contents of the Registration Statement or any prospectus included therein.</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rendering the opinions stated herein, we have examined and relied upon the following documents:</w:t>
      </w:r>
    </w:p>
    <w:p>
      <w:pPr>
        <w:spacing w:after="0" w:line="215" w:lineRule="exact"/>
        <w:rPr>
          <w:sz w:val="20"/>
          <w:szCs w:val="20"/>
          <w:color w:val="auto"/>
        </w:rPr>
      </w:pPr>
    </w:p>
    <w:p>
      <w:pPr>
        <w:ind w:left="1240" w:hanging="622"/>
        <w:spacing w:after="0"/>
        <w:tabs>
          <w:tab w:leader="none" w:pos="1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and the prospectus included therein;</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Certificate of Incorporation of the Company, filed as Exhibit 3.1 to the Registration Statement;</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Bylaws of the Company, filed as Exhibit 3.2 to the Registration Statement;</w:t>
      </w:r>
    </w:p>
    <w:p>
      <w:pPr>
        <w:spacing w:after="0" w:line="214" w:lineRule="exact"/>
        <w:rPr>
          <w:rFonts w:ascii="Times New Roman" w:cs="Times New Roman" w:eastAsia="Times New Roman" w:hAnsi="Times New Roman"/>
          <w:sz w:val="17"/>
          <w:szCs w:val="17"/>
          <w:color w:val="auto"/>
        </w:rPr>
      </w:pPr>
    </w:p>
    <w:p>
      <w:pPr>
        <w:jc w:val="both"/>
        <w:ind w:left="1240" w:hanging="622"/>
        <w:spacing w:after="0" w:line="268" w:lineRule="auto"/>
        <w:tabs>
          <w:tab w:leader="none" w:pos="1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forms of Series A-1 Common Stock Purchase Warrant, Series A-2 Common Stock Purchase Warrant, Pre-Funded Common Stock Purchase Warrant and Placement Agent Common Stock Purchase Warrant, filed as Exhibits 4.6, 4.7, 4.8 and 4.9 to the Registration Statement (collectively, the “Warrant Forms”);</w:t>
      </w:r>
    </w:p>
    <w:p>
      <w:pPr>
        <w:spacing w:after="0" w:line="165"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Securities Purchase Agreement, filed as Exhibit 10.8 to the Registration Statement (the “Securities Purchase Agreement”);</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minutes or resolutions adopted by the Board of Directors of the Company, as certified in an officer’s certificate; and (vii) such other records, documents, and certificates as in our judgment are necessary or appropriate to enable us to render the opinions expressed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13930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8" w:name="page249"/>
    <w:bookmarkEnd w:id="248"/>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66"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 our examination, we have assumed, without independent investigation or verification, (a) the genuineness and validity of all signatures on all documents (including, without limitation, signatures via DocuSign, eSignature or similar technology); (b) that each individual executing any document, whether on behalf of such individual or an entity, is legally competent to do so; (c) the due authority of the parties signing any document on behalf of a party (other than the Company);</w:t>
      </w:r>
    </w:p>
    <w:p>
      <w:pPr>
        <w:spacing w:after="0" w:line="2" w:lineRule="exact"/>
        <w:rPr>
          <w:sz w:val="20"/>
          <w:szCs w:val="20"/>
          <w:color w:val="auto"/>
        </w:rPr>
      </w:pPr>
    </w:p>
    <w:p>
      <w:pPr>
        <w:jc w:val="both"/>
        <w:ind w:firstLine="3"/>
        <w:spacing w:after="0" w:line="253" w:lineRule="auto"/>
        <w:tabs>
          <w:tab w:leader="none" w:pos="24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authenticity and completeness of all documents submitted to us as originals; (e) the completeness and conformity to the originals of all documents submitted to us as facsimile, electronic, certified or photocopied copies, and the authenticity of the originals of such copies; (f) that all public records reviewed or relied upon by us are authentic, accurate and complete; (g) that all factual statements and information contained in any documents are true and complete; and (h) that there has been no oral or written modification or amendments to any documents by action or omission of the parties or otherwise. We have also assumed that the issuance, sale and delivery of the Securities offered pursuant to the Registration Statement will comply in all respects with the terms, conditions and restrictions set forth in the Registration Statement and the applicable definitive Transaction Documents described therein. As to questions of fact material to this opinion letter, we have, to the extent deemed appropriate, relied upon certain certificates and representations of officers and employees of the Company.</w:t>
      </w:r>
    </w:p>
    <w:p>
      <w:pPr>
        <w:spacing w:after="0" w:line="181"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We do not express any opinion with respect to the laws of any jurisdiction other than the General Corporation Law of the State of Delaware (including the statutory provisions, all applicable provisions of the Delaware Constitution and the reported judicial decisions interpreting the foregoing) and, as to the Company Warrants constituting binding obligations of the Company, the internal laws of the State of New York which, in each case, in the experience of our attorneys who are members of the bar in the State of Maryland or the State of New York, in the exercise of customary professional diligence, are normally applicable to transactions of the type provided for in the Transaction Documents (as defined below), but without our having made any special investigation concerning any other law, rule or regulation, in each case in effect on the date hereof (the “</w:t>
      </w:r>
      <w:r>
        <w:rPr>
          <w:rFonts w:ascii="Times New Roman" w:cs="Times New Roman" w:eastAsia="Times New Roman" w:hAnsi="Times New Roman"/>
          <w:sz w:val="17"/>
          <w:szCs w:val="17"/>
          <w:b w:val="1"/>
          <w:bCs w:val="1"/>
          <w:color w:val="auto"/>
        </w:rPr>
        <w:t>Opined-on Law</w:t>
      </w:r>
      <w:r>
        <w:rPr>
          <w:rFonts w:ascii="Times New Roman" w:cs="Times New Roman" w:eastAsia="Times New Roman" w:hAnsi="Times New Roman"/>
          <w:sz w:val="17"/>
          <w:szCs w:val="17"/>
          <w:color w:val="auto"/>
        </w:rPr>
        <w:t>”). We express no opinion and make no statement as to the laws, rules or regulations of any other jurisdiction or as to the municipal laws or the laws, rules or regulations of any local agencies or governmental authorities of or within the State of Delaware or the State of New York or, in each case, as to any matters arising thereunder or relating thereto.</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used herein, “</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the Warrant Forms and the Securities Purchase Agreement.</w:t>
      </w:r>
    </w:p>
    <w:p>
      <w:pPr>
        <w:spacing w:after="0" w:line="219"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Based upon the foregoing, and subject to the assumptions, qualifications and limitations set forth herein, we are of the opinion that when the Registration Statement becomes effective under the Securities Act:</w:t>
      </w:r>
    </w:p>
    <w:p>
      <w:pPr>
        <w:spacing w:after="0" w:line="153" w:lineRule="exact"/>
        <w:rPr>
          <w:sz w:val="20"/>
          <w:szCs w:val="20"/>
          <w:color w:val="auto"/>
        </w:rPr>
      </w:pPr>
    </w:p>
    <w:p>
      <w:pPr>
        <w:ind w:firstLine="618"/>
        <w:spacing w:after="0" w:line="284" w:lineRule="auto"/>
        <w:tabs>
          <w:tab w:leader="none" w:pos="801"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have been duly authorized by the Company and, when issued and delivered against payment therefor in the manner contemplated by the Registration Statement and the Securities Purchase Agreement, will be validly issued, fully paid and non-assessable.</w:t>
      </w:r>
    </w:p>
    <w:p>
      <w:pPr>
        <w:spacing w:after="0" w:line="152" w:lineRule="exact"/>
        <w:rPr>
          <w:rFonts w:ascii="Times New Roman" w:cs="Times New Roman" w:eastAsia="Times New Roman" w:hAnsi="Times New Roman"/>
          <w:sz w:val="17"/>
          <w:szCs w:val="17"/>
          <w:color w:val="auto"/>
        </w:rPr>
      </w:pPr>
    </w:p>
    <w:p>
      <w:pPr>
        <w:jc w:val="both"/>
        <w:ind w:firstLine="618"/>
        <w:spacing w:after="0" w:line="262" w:lineRule="auto"/>
        <w:tabs>
          <w:tab w:leader="none" w:pos="812"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Company Warrants have been duly authorized, executed and delivered by the Company and delivered to the purchasers thereof against payment therefor as contemplated by the Registration Statement and, as applicable, the Securities Purchase Agreement or the placement agent engagement arrangements described therein, the Company Warrants will constitute valid and binding obligations of the Company, enforceable against the Company in accordance with their term under the laws of the State of New York.</w:t>
      </w:r>
    </w:p>
    <w:p>
      <w:pPr>
        <w:spacing w:after="0" w:line="171" w:lineRule="exact"/>
        <w:rPr>
          <w:rFonts w:ascii="Times New Roman" w:cs="Times New Roman" w:eastAsia="Times New Roman" w:hAnsi="Times New Roman"/>
          <w:sz w:val="17"/>
          <w:szCs w:val="17"/>
          <w:color w:val="auto"/>
        </w:rPr>
      </w:pPr>
    </w:p>
    <w:p>
      <w:pPr>
        <w:ind w:firstLine="618"/>
        <w:spacing w:after="0" w:line="284" w:lineRule="auto"/>
        <w:tabs>
          <w:tab w:leader="none" w:pos="8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Shares are duly authorized, and when issued and delivered upon exercise of the Company Warrants in accordance with the terms of the applicable Warrant Forms,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13930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9" w:name="page250"/>
    <w:bookmarkEnd w:id="249"/>
    <w:p>
      <w:pPr>
        <w:ind w:left="2"/>
        <w:spacing w:after="0"/>
        <w:rPr>
          <w:sz w:val="20"/>
          <w:szCs w:val="20"/>
          <w:color w:val="auto"/>
        </w:rPr>
      </w:pPr>
      <w:r>
        <w:rPr>
          <w:rFonts w:ascii="Times New Roman" w:cs="Times New Roman" w:eastAsia="Times New Roman" w:hAnsi="Times New Roman"/>
          <w:sz w:val="17"/>
          <w:szCs w:val="17"/>
          <w:color w:val="auto"/>
        </w:rPr>
        <w:t>The opinions stated herein are subject to the following qualifications:</w:t>
      </w:r>
    </w:p>
    <w:p>
      <w:pPr>
        <w:spacing w:after="0" w:line="112" w:lineRule="exact"/>
        <w:rPr>
          <w:sz w:val="20"/>
          <w:szCs w:val="20"/>
          <w:color w:val="auto"/>
        </w:rPr>
      </w:pPr>
    </w:p>
    <w:p>
      <w:pPr>
        <w:ind w:left="-618" w:right="80" w:firstLine="618"/>
        <w:spacing w:after="0" w:line="258" w:lineRule="auto"/>
        <w:tabs>
          <w:tab w:leader="none" w:pos="78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including, without limitation, concepts of materiality, reasonableness, good faith and fair dealing, and the possible unavailability of specific performance or injunctive relief (regardless of whether enforcement is sought in equity or at law), by any statute, decision or rule of law prohibiting or limiting the exercise of simultaneous remedies, and by limitations or qualifications on the enforcement of certain rights, remedies, waivers and other provisions by the jurisdiction in which enforcement thereof is sought;</w:t>
      </w:r>
    </w:p>
    <w:p>
      <w:pPr>
        <w:spacing w:after="0" w:line="72" w:lineRule="exact"/>
        <w:rPr>
          <w:rFonts w:ascii="Times New Roman" w:cs="Times New Roman" w:eastAsia="Times New Roman" w:hAnsi="Times New Roman"/>
          <w:sz w:val="17"/>
          <w:szCs w:val="17"/>
          <w:color w:val="auto"/>
        </w:rPr>
      </w:pPr>
    </w:p>
    <w:p>
      <w:pPr>
        <w:jc w:val="both"/>
        <w:ind w:left="-618" w:firstLine="618"/>
        <w:spacing w:after="0" w:line="268" w:lineRule="auto"/>
        <w:tabs>
          <w:tab w:leader="none" w:pos="794"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63" w:lineRule="exact"/>
        <w:rPr>
          <w:rFonts w:ascii="Times New Roman" w:cs="Times New Roman" w:eastAsia="Times New Roman" w:hAnsi="Times New Roman"/>
          <w:sz w:val="17"/>
          <w:szCs w:val="17"/>
          <w:color w:val="auto"/>
        </w:rPr>
      </w:pPr>
    </w:p>
    <w:p>
      <w:pPr>
        <w:ind w:left="-618" w:right="160" w:firstLine="618"/>
        <w:spacing w:after="0" w:line="262" w:lineRule="auto"/>
        <w:tabs>
          <w:tab w:leader="none" w:pos="78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69" w:lineRule="exact"/>
        <w:rPr>
          <w:rFonts w:ascii="Times New Roman" w:cs="Times New Roman" w:eastAsia="Times New Roman" w:hAnsi="Times New Roman"/>
          <w:sz w:val="17"/>
          <w:szCs w:val="17"/>
          <w:color w:val="auto"/>
        </w:rPr>
      </w:pPr>
    </w:p>
    <w:p>
      <w:pPr>
        <w:ind w:left="-618" w:firstLine="618"/>
        <w:spacing w:after="0" w:line="262" w:lineRule="auto"/>
        <w:tabs>
          <w:tab w:leader="none" w:pos="794"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69" w:lineRule="exact"/>
        <w:rPr>
          <w:rFonts w:ascii="Times New Roman" w:cs="Times New Roman" w:eastAsia="Times New Roman" w:hAnsi="Times New Roman"/>
          <w:sz w:val="17"/>
          <w:szCs w:val="17"/>
          <w:color w:val="auto"/>
        </w:rPr>
      </w:pPr>
    </w:p>
    <w:p>
      <w:pPr>
        <w:ind w:left="-618" w:right="180" w:firstLine="618"/>
        <w:spacing w:after="0" w:line="262" w:lineRule="auto"/>
        <w:tabs>
          <w:tab w:leader="none" w:pos="78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assumed that the warrant agent has the power, corporate or other, to enter into and perform all obligations under the Warrant Forms and have also assumed the due authorization by all requisite action, corporate or other, and the execution and delivery by the warrant agent of the Warrant Agreement and that the Warrant Agreement constitutes the valid and binding obligation of the warrant agent, enforceable against the warrant agent in accordance with its terms; and</w:t>
      </w:r>
    </w:p>
    <w:p>
      <w:pPr>
        <w:spacing w:after="0" w:line="69" w:lineRule="exact"/>
        <w:rPr>
          <w:rFonts w:ascii="Times New Roman" w:cs="Times New Roman" w:eastAsia="Times New Roman" w:hAnsi="Times New Roman"/>
          <w:sz w:val="17"/>
          <w:szCs w:val="17"/>
          <w:color w:val="auto"/>
        </w:rPr>
      </w:pPr>
    </w:p>
    <w:p>
      <w:pPr>
        <w:ind w:left="-618" w:right="100" w:firstLine="618"/>
        <w:spacing w:after="0" w:line="268" w:lineRule="auto"/>
        <w:tabs>
          <w:tab w:leader="none" w:pos="80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opinion relates to the enforceability of the choice of New York law and choice of New York forum provisions contained in any Warrant Form,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 addition, in rendering the foregoing opinions we have assumed that:</w:t>
      </w:r>
    </w:p>
    <w:p>
      <w:pPr>
        <w:spacing w:after="0" w:line="112" w:lineRule="exact"/>
        <w:rPr>
          <w:sz w:val="20"/>
          <w:szCs w:val="20"/>
          <w:color w:val="auto"/>
        </w:rPr>
      </w:pPr>
    </w:p>
    <w:p>
      <w:pPr>
        <w:ind w:left="-618" w:firstLine="618"/>
        <w:spacing w:after="0" w:line="260" w:lineRule="auto"/>
        <w:tabs>
          <w:tab w:leader="none" w:pos="78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by the Company of the Transaction Documents nor the performance by the Company of its obligations thereunder, including the issuance and sale of the Securities, (i) constitutes or will constitute a violation of, or a default under, any lease, indenture, instrument or other agreement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spacing w:after="0" w:line="69" w:lineRule="exact"/>
        <w:rPr>
          <w:rFonts w:ascii="Times New Roman" w:cs="Times New Roman" w:eastAsia="Times New Roman" w:hAnsi="Times New Roman"/>
          <w:sz w:val="17"/>
          <w:szCs w:val="17"/>
          <w:color w:val="auto"/>
        </w:rPr>
      </w:pPr>
    </w:p>
    <w:p>
      <w:pPr>
        <w:ind w:left="-618" w:right="100" w:firstLine="618"/>
        <w:spacing w:after="0" w:line="268" w:lineRule="auto"/>
        <w:tabs>
          <w:tab w:leader="none" w:pos="794"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by the Company of the Transaction Documents nor the performance by the Company of its obligations thereunder, including the issuance and sale of the Securities, requires or will require the consent, approval, licensing or authorization of, or any filing, recording or registration with, any governmental authority under any law, rule or regulation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245745</wp:posOffset>
            </wp:positionV>
            <wp:extent cx="713930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582"/>
          </w:cols>
          <w:pgMar w:left="938" w:top="764" w:right="379" w:bottom="1440" w:gutter="0" w:footer="0" w:header="0"/>
        </w:sectPr>
      </w:pPr>
    </w:p>
    <w:bookmarkStart w:id="250" w:name="page251"/>
    <w:bookmarkEnd w:id="250"/>
    <w:p>
      <w:pPr>
        <w:ind w:left="620"/>
        <w:spacing w:after="0"/>
        <w:rPr>
          <w:sz w:val="20"/>
          <w:szCs w:val="20"/>
          <w:color w:val="auto"/>
        </w:rPr>
      </w:pPr>
      <w:r>
        <w:rPr>
          <w:rFonts w:ascii="Times New Roman" w:cs="Times New Roman" w:eastAsia="Times New Roman" w:hAnsi="Times New Roman"/>
          <w:sz w:val="17"/>
          <w:szCs w:val="17"/>
          <w:color w:val="auto"/>
        </w:rPr>
        <w:t>The opinions expressed herein are limited to the matters set forth in this letter and no other opinion should be inferred beyond the matters expressly stated.</w:t>
      </w:r>
    </w:p>
    <w:p>
      <w:pPr>
        <w:spacing w:after="0" w:line="21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We hereby consent to the filing of this opinion letter as Exhibit 5.1 to the Registration Statement, to the reference to our firm under the heading “Legal Matters” in the prospectus forming part of the Registration Statement. In giving our consent, we do not admit that we are within the category of persons whose consent is required under Section 7 of the Securities Act or under the rules and regulations of the Commission promulgated thereunder (including Item 509 of Regulation S-K).</w:t>
      </w:r>
    </w:p>
    <w:p>
      <w:pPr>
        <w:spacing w:after="0" w:line="17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2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7"/>
          <w:szCs w:val="17"/>
          <w:color w:val="auto"/>
        </w:rPr>
        <w:t>/s/ DLA Piper LLP (US)</w:t>
      </w:r>
    </w:p>
    <w:p>
      <w:pPr>
        <w:sectPr>
          <w:pgSz w:w="11900" w:h="16838" w:orient="portrait"/>
          <w:cols w:equalWidth="0" w:num="1">
            <w:col w:w="11240"/>
          </w:cols>
          <w:pgMar w:left="320" w:top="764"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PURCHASE AGREEMENT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Securities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______, 2026, between CID Holdco,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purchaser identified on the signature pages hereto (each, including its successors and assigns, a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6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w:t>
      </w:r>
    </w:p>
    <w:p>
      <w:pPr>
        <w:spacing w:after="0" w:line="198"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In addition to the terms defined elsewhere in this Agreement, for all purposes of this Agreement, the following terms have the meanings set forth in this Section 1.1:</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Acquiring Person</w:t>
      </w:r>
      <w:r>
        <w:rPr>
          <w:rFonts w:ascii="Times New Roman" w:cs="Times New Roman" w:eastAsia="Times New Roman" w:hAnsi="Times New Roman"/>
          <w:sz w:val="17"/>
          <w:szCs w:val="17"/>
          <w:color w:val="auto"/>
        </w:rPr>
        <w:t>” shall have the meaning ascribed to such term in Section 4.5.</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shall have the meaning ascribed to such term in Section 3.1(j).</w:t>
      </w:r>
    </w:p>
    <w:p>
      <w:pPr>
        <w:spacing w:after="0" w:line="21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15" w:lineRule="exact"/>
        <w:rPr>
          <w:sz w:val="20"/>
          <w:szCs w:val="20"/>
          <w:color w:val="auto"/>
        </w:rPr>
      </w:pPr>
    </w:p>
    <w:p>
      <w:pPr>
        <w:jc w:val="both"/>
        <w:ind w:left="620" w:firstLine="6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means the closing of the purchase and sale of the Securities pursuant to Section 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2" w:name="page253"/>
    <w:bookmarkEnd w:id="252"/>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Securities, in each case, have been satisfied or waived, but in no event later than the first (1st) Trading Day following the date hereof (or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Trading Day following the date hereof if this Agreement is signed on a day that is not a Trading Day or after 4:00 p.m. (New York City time) and before midnight (New York City time) on a Trading Day).</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$0.0001 per share, and any other class of securities into which such securities may hereafter be reclassified or changed.</w:t>
      </w:r>
    </w:p>
    <w:p>
      <w:pPr>
        <w:spacing w:after="0" w:line="15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Warrant Shares</w:t>
      </w:r>
      <w:r>
        <w:rPr>
          <w:rFonts w:ascii="Times New Roman" w:cs="Times New Roman" w:eastAsia="Times New Roman" w:hAnsi="Times New Roman"/>
          <w:sz w:val="17"/>
          <w:szCs w:val="17"/>
          <w:color w:val="auto"/>
        </w:rPr>
        <w:t>” means the shares of Common Stock issuable upon exercise of the Common Warrants.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Warrants</w:t>
      </w:r>
      <w:r>
        <w:rPr>
          <w:rFonts w:ascii="Times New Roman" w:cs="Times New Roman" w:eastAsia="Times New Roman" w:hAnsi="Times New Roman"/>
          <w:sz w:val="17"/>
          <w:szCs w:val="17"/>
          <w:color w:val="auto"/>
        </w:rPr>
        <w:t>” means, collectively, the Series A-1 Warrants and the Series A-2 Warrants.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means DLA Piper LLP (US), with offices located at 1201 W Peachtree St NE #2800, Atlanta, GA 30309, USA.</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Disclosure Schedules</w:t>
      </w:r>
      <w:r>
        <w:rPr>
          <w:rFonts w:ascii="Times New Roman" w:cs="Times New Roman" w:eastAsia="Times New Roman" w:hAnsi="Times New Roman"/>
          <w:sz w:val="17"/>
          <w:szCs w:val="17"/>
          <w:color w:val="auto"/>
        </w:rPr>
        <w:t>” means the Disclosure Schedules of the Company delivered concurrently herewith.</w:t>
      </w:r>
    </w:p>
    <w:p>
      <w:pPr>
        <w:spacing w:after="0" w:line="215"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Disclosure Time</w:t>
      </w:r>
      <w:r>
        <w:rPr>
          <w:rFonts w:ascii="Times New Roman" w:cs="Times New Roman" w:eastAsia="Times New Roman" w:hAnsi="Times New Roman"/>
          <w:sz w:val="17"/>
          <w:szCs w:val="17"/>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[___]</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shall have the meaning ascribed to such term in Section 3.1(s).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53" w:name="page254"/>
    <w:bookmarkEnd w:id="253"/>
    <w:p>
      <w:pPr>
        <w:jc w:val="both"/>
        <w:ind w:left="2" w:firstLine="615"/>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Issuance</w:t>
      </w:r>
      <w:r>
        <w:rPr>
          <w:rFonts w:ascii="Times New Roman" w:cs="Times New Roman" w:eastAsia="Times New Roman" w:hAnsi="Times New Roman"/>
          <w:sz w:val="17"/>
          <w:szCs w:val="17"/>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warrants to the Placement Agent in connection with the transactions pursuant to this Agreement and any shares of Common Stock upon exercise of the warrants to the Placement Agent, if applicable, and/or shares of Common Stock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w:t>
      </w:r>
    </w:p>
    <w:p>
      <w:pPr>
        <w:spacing w:after="0" w:line="3" w:lineRule="exact"/>
        <w:rPr>
          <w:sz w:val="20"/>
          <w:szCs w:val="20"/>
          <w:color w:val="auto"/>
        </w:rPr>
      </w:pPr>
    </w:p>
    <w:p>
      <w:pPr>
        <w:jc w:val="both"/>
        <w:ind w:left="2" w:hanging="2"/>
        <w:spacing w:after="0" w:line="253" w:lineRule="auto"/>
        <w:tabs>
          <w:tab w:leader="none" w:pos="244"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up to $____ of Shares and Warrants issued to other purchasers pursuant to the Prospectus concurrently with the Closing at the Per Share Purchase Price, less the aggregate Subscription Amount pursuant to this Agreement.</w:t>
      </w:r>
    </w:p>
    <w:p>
      <w:pPr>
        <w:spacing w:after="0" w:line="180"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means the Foreign Corrupt Practices Act of 1977, as amended.</w:t>
      </w:r>
    </w:p>
    <w:p>
      <w:pPr>
        <w:spacing w:after="0" w:line="21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shall have the meaning ascribed to such term in Section 3.1(hh).</w:t>
      </w:r>
    </w:p>
    <w:p>
      <w:pPr>
        <w:spacing w:after="0" w:line="21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shall have the meaning ascribed to such term in Section 3.1(hh).</w:t>
      </w:r>
    </w:p>
    <w:p>
      <w:pPr>
        <w:spacing w:after="0" w:line="21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shall have the meaning ascribed to such term in Section 3.1(h).</w:t>
      </w:r>
    </w:p>
    <w:p>
      <w:pPr>
        <w:spacing w:after="0" w:line="21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shall have the meaning ascribed to such term in Section 3.1(aa).</w:t>
      </w:r>
    </w:p>
    <w:p>
      <w:pPr>
        <w:spacing w:after="0" w:line="21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shall have the meaning ascribed to such term in Section 3.1(p).</w:t>
      </w:r>
    </w:p>
    <w:p>
      <w:pPr>
        <w:spacing w:after="0" w:line="21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means a lien, charge, pledge, security interest, encumbrance, right of first refusal, preemptive right or other restriction.</w:t>
      </w:r>
    </w:p>
    <w:p>
      <w:pPr>
        <w:spacing w:after="0" w:line="215" w:lineRule="exact"/>
        <w:rPr>
          <w:sz w:val="20"/>
          <w:szCs w:val="20"/>
          <w:color w:val="auto"/>
        </w:rPr>
      </w:pPr>
    </w:p>
    <w:p>
      <w:pPr>
        <w:jc w:val="both"/>
        <w:ind w:left="2"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xml:space="preserve">” means the Lock-Up Agreement, dated as of the date hereof, by and among the Company and the directors and officers of the Company and each holder of Common Stock and Common Stock Equivalents holding, on a fully diluted basis, 5% or more of the Company’s issued and outstanding Common Stock,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attached hereto.</w:t>
      </w:r>
    </w:p>
    <w:p>
      <w:pPr>
        <w:spacing w:after="0" w:line="371" w:lineRule="exact"/>
        <w:rPr>
          <w:sz w:val="20"/>
          <w:szCs w:val="20"/>
          <w:color w:val="auto"/>
        </w:rPr>
      </w:pPr>
    </w:p>
    <w:p>
      <w:pPr>
        <w:ind w:left="4962"/>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16510</wp:posOffset>
            </wp:positionV>
            <wp:extent cx="713930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2"/>
          </w:cols>
          <w:pgMar w:left="938" w:top="867" w:right="339" w:bottom="1440" w:gutter="0" w:footer="0" w:header="0"/>
        </w:sectPr>
      </w:pPr>
    </w:p>
    <w:bookmarkStart w:id="254" w:name="page255"/>
    <w:bookmarkEnd w:id="254"/>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shall have the meaning assigned to such term in Section 3.1(b).</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Permits</w:t>
      </w:r>
      <w:r>
        <w:rPr>
          <w:rFonts w:ascii="Times New Roman" w:cs="Times New Roman" w:eastAsia="Times New Roman" w:hAnsi="Times New Roman"/>
          <w:sz w:val="17"/>
          <w:szCs w:val="17"/>
          <w:color w:val="auto"/>
        </w:rPr>
        <w:t>” shall have the meaning ascribed to such term in Section 3.1(n).</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 Share Purchase Price</w:t>
      </w:r>
      <w:r>
        <w:rPr>
          <w:rFonts w:ascii="Times New Roman" w:cs="Times New Roman" w:eastAsia="Times New Roman" w:hAnsi="Times New Roman"/>
          <w:sz w:val="17"/>
          <w:szCs w:val="17"/>
          <w:color w:val="auto"/>
        </w:rPr>
        <w:t>” equals $___,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spacing w:after="0" w:line="16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Pharmaceutical Product</w:t>
      </w:r>
      <w:r>
        <w:rPr>
          <w:rFonts w:ascii="Times New Roman" w:cs="Times New Roman" w:eastAsia="Times New Roman" w:hAnsi="Times New Roman"/>
          <w:sz w:val="17"/>
          <w:szCs w:val="17"/>
          <w:color w:val="auto"/>
        </w:rPr>
        <w:t>” shall have the meaning ascribed to such term in Section 3.1(hh).</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Placement Agent</w:t>
      </w:r>
      <w:r>
        <w:rPr>
          <w:rFonts w:ascii="Times New Roman" w:cs="Times New Roman" w:eastAsia="Times New Roman" w:hAnsi="Times New Roman"/>
          <w:sz w:val="17"/>
          <w:szCs w:val="17"/>
          <w:color w:val="auto"/>
        </w:rPr>
        <w:t>” means [___].</w:t>
      </w:r>
    </w:p>
    <w:p>
      <w:pPr>
        <w:spacing w:after="0" w:line="215"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Pre-Funded Warrants</w:t>
      </w:r>
      <w:r>
        <w:rPr>
          <w:rFonts w:ascii="Times New Roman" w:cs="Times New Roman" w:eastAsia="Times New Roman" w:hAnsi="Times New Roman"/>
          <w:sz w:val="17"/>
          <w:szCs w:val="17"/>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 xml:space="preserve"> attached hereto.</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Pre-Funded Warrant Shares</w:t>
      </w:r>
      <w:r>
        <w:rPr>
          <w:rFonts w:ascii="Times New Roman" w:cs="Times New Roman" w:eastAsia="Times New Roman" w:hAnsi="Times New Roman"/>
          <w:sz w:val="17"/>
          <w:szCs w:val="17"/>
          <w:color w:val="auto"/>
        </w:rPr>
        <w:t>” means the shares of Common Stock issuable upon exercise of the Pre-Funded Warrants.</w:t>
      </w:r>
    </w:p>
    <w:p>
      <w:pPr>
        <w:spacing w:after="0" w:line="21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means an action, claim, suit, investigation or proceeding (including, without limitation, an informal investigation or partial proceeding, such as a deposition), whether commenced or threatened.</w:t>
      </w:r>
    </w:p>
    <w:p>
      <w:pPr>
        <w:spacing w:after="0" w:line="153"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Preliminary Prospectus</w:t>
      </w:r>
      <w:r>
        <w:rPr>
          <w:rFonts w:ascii="Times New Roman" w:cs="Times New Roman" w:eastAsia="Times New Roman" w:hAnsi="Times New Roman"/>
          <w:sz w:val="17"/>
          <w:szCs w:val="17"/>
          <w:color w:val="auto"/>
        </w:rPr>
        <w:t>” means any preliminary prospectus included in the Registration Statement, as originally filed or as part of any amendment thereto, or filed with the Commission pursuant to Rule 424(a) of the rules and regulations of the Commission under the Securities Act, including all information, documents and exhibits filed with or incorporated by reference into such preliminary prospectus, including all information, documents and exhibits filed with or incorporated by reference into such preliminary prospectus.</w:t>
      </w:r>
    </w:p>
    <w:p>
      <w:pPr>
        <w:spacing w:after="0" w:line="172"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Pricing Prospectus</w:t>
      </w:r>
      <w:r>
        <w:rPr>
          <w:rFonts w:ascii="Times New Roman" w:cs="Times New Roman" w:eastAsia="Times New Roman" w:hAnsi="Times New Roman"/>
          <w:sz w:val="17"/>
          <w:szCs w:val="17"/>
          <w:color w:val="auto"/>
        </w:rPr>
        <w:t xml:space="preserve">” means (i) the Preliminary Prospectus relating to the Securities that was included in the Registration Statement immediately prior to ___ a.m./p.m. (New York City time) on the date hereof and (ii) any free writing prospectus (as defined in the Securities Act) identified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hereto, taken together.</w:t>
      </w:r>
    </w:p>
    <w:p>
      <w:pPr>
        <w:spacing w:after="0" w:line="3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713930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867" w:right="339" w:bottom="1440" w:gutter="0" w:footer="0" w:header="0"/>
        </w:sectPr>
      </w:pPr>
    </w:p>
    <w:bookmarkStart w:id="255" w:name="page256"/>
    <w:bookmarkEnd w:id="255"/>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means the final prospectus filed for the Registration Statement.</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Party</w:t>
      </w:r>
      <w:r>
        <w:rPr>
          <w:rFonts w:ascii="Times New Roman" w:cs="Times New Roman" w:eastAsia="Times New Roman" w:hAnsi="Times New Roman"/>
          <w:sz w:val="17"/>
          <w:szCs w:val="17"/>
          <w:color w:val="auto"/>
        </w:rPr>
        <w:t>” shall have the meaning ascribed to such term in Section 4.8.</w:t>
      </w:r>
    </w:p>
    <w:p>
      <w:pPr>
        <w:spacing w:after="0" w:line="215" w:lineRule="exact"/>
        <w:rPr>
          <w:sz w:val="20"/>
          <w:szCs w:val="20"/>
          <w:color w:val="auto"/>
        </w:rPr>
      </w:pPr>
    </w:p>
    <w:p>
      <w:pPr>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effective registration statement on Form S-1 (File No. 333-288932) which registers the sale of the Shares, the Warrants and the Warrant Shares to the Purchasers.</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Approvals</w:t>
      </w:r>
      <w:r>
        <w:rPr>
          <w:rFonts w:ascii="Times New Roman" w:cs="Times New Roman" w:eastAsia="Times New Roman" w:hAnsi="Times New Roman"/>
          <w:sz w:val="17"/>
          <w:szCs w:val="17"/>
          <w:color w:val="auto"/>
        </w:rPr>
        <w:t>” shall have the meaning ascribed to such term in Section 3.1(e).</w:t>
      </w:r>
    </w:p>
    <w:p>
      <w:pPr>
        <w:spacing w:after="0" w:line="215" w:lineRule="exact"/>
        <w:rPr>
          <w:sz w:val="20"/>
          <w:szCs w:val="20"/>
          <w:color w:val="auto"/>
        </w:rPr>
      </w:pPr>
    </w:p>
    <w:p>
      <w:pPr>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3" w:lineRule="exact"/>
        <w:rPr>
          <w:sz w:val="20"/>
          <w:szCs w:val="20"/>
          <w:color w:val="auto"/>
        </w:rPr>
      </w:pPr>
    </w:p>
    <w:p>
      <w:pPr>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424</w:t>
      </w:r>
      <w:r>
        <w:rPr>
          <w:rFonts w:ascii="Times New Roman" w:cs="Times New Roman" w:eastAsia="Times New Roman" w:hAnsi="Times New Roman"/>
          <w:sz w:val="17"/>
          <w:szCs w:val="17"/>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 shall have the meaning ascribed to such term in Section 3.1(h).</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means the Shares, the Warrants and the Warrant Shares.</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5" w:lineRule="exact"/>
        <w:rPr>
          <w:sz w:val="20"/>
          <w:szCs w:val="20"/>
          <w:color w:val="auto"/>
        </w:rPr>
      </w:pPr>
    </w:p>
    <w:p>
      <w:pPr>
        <w:jc w:val="both"/>
        <w:ind w:left="620" w:firstLine="615"/>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A-1 Warrants</w:t>
      </w:r>
      <w:r>
        <w:rPr>
          <w:rFonts w:ascii="Times New Roman" w:cs="Times New Roman" w:eastAsia="Times New Roman" w:hAnsi="Times New Roman"/>
          <w:sz w:val="17"/>
          <w:szCs w:val="17"/>
          <w:color w:val="auto"/>
        </w:rPr>
        <w:t>” means, collectively, the Series A-1 Common Stock purchase warrants delivered to the Purchasers at the Closing in accordance with Section 2.2(a) hereof, which Series A-1 Warrants shall be exercisable [on and after the Stockholder Approval Date]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and have a term of exercise equal to five (5) years after the initial exercise date,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attached hereto.</w:t>
      </w:r>
    </w:p>
    <w:p>
      <w:pPr>
        <w:spacing w:after="0" w:line="191" w:lineRule="exact"/>
        <w:rPr>
          <w:sz w:val="20"/>
          <w:szCs w:val="20"/>
          <w:color w:val="auto"/>
        </w:rPr>
      </w:pPr>
    </w:p>
    <w:p>
      <w:pPr>
        <w:jc w:val="both"/>
        <w:ind w:left="620" w:firstLine="615"/>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A-2 Warrants</w:t>
      </w:r>
      <w:r>
        <w:rPr>
          <w:rFonts w:ascii="Times New Roman" w:cs="Times New Roman" w:eastAsia="Times New Roman" w:hAnsi="Times New Roman"/>
          <w:sz w:val="17"/>
          <w:szCs w:val="17"/>
          <w:color w:val="auto"/>
        </w:rPr>
        <w:t>” means, collectively, the Series A-2 Common Stock purchase warrants delivered to the Purchasers at the Closing in accordance with Section 2.2(a) hereof, which Series A-2 Warrants shall be exercisable [on and after the Stockholder Approval Date]</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and have a term of exercise equal to eighteen (18) months after the initial exercise date,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783080"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9" w:lineRule="exact"/>
        <w:rPr>
          <w:sz w:val="20"/>
          <w:szCs w:val="20"/>
          <w:color w:val="auto"/>
        </w:rPr>
      </w:pPr>
    </w:p>
    <w:p>
      <w:pPr>
        <w:jc w:val="both"/>
        <w:ind w:left="320" w:hanging="317"/>
        <w:spacing w:after="0" w:line="212" w:lineRule="auto"/>
        <w:tabs>
          <w:tab w:leader="none" w:pos="320" w:val="left"/>
        </w:tabs>
        <w:numPr>
          <w:ilvl w:val="0"/>
          <w:numId w:val="16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Replace bracketed language with “immediately” if (i) the Per Share Purchase Price equals or exceeds the sum of (a) the applicable “Minimum Price” per share under Nasdaq rule 5635(d) and (b) $0.125 per whole Common Warrant Share or (ii) the offering is a discounted offering where the pricing and discount (including attributing a value of $0.125 per whole Common Warrant Share) meet the pricing requirements under Nasdaq’s rules.</w:t>
      </w:r>
    </w:p>
    <w:p>
      <w:pPr>
        <w:spacing w:after="0" w:line="191" w:lineRule="exact"/>
        <w:rPr>
          <w:sz w:val="20"/>
          <w:szCs w:val="20"/>
          <w:color w:val="auto"/>
        </w:rPr>
      </w:pPr>
    </w:p>
    <w:p>
      <w:pPr>
        <w:jc w:val="both"/>
        <w:ind w:left="320" w:hanging="317"/>
        <w:spacing w:after="0" w:line="212" w:lineRule="auto"/>
        <w:tabs>
          <w:tab w:leader="none" w:pos="320" w:val="left"/>
        </w:tabs>
        <w:numPr>
          <w:ilvl w:val="0"/>
          <w:numId w:val="1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Replace bracketed language with “immediately” if (i) the Per Share Purchase Price equals or exceeds the sum of (a) the applicable “Minimum Price” per share under Nasdaq rule 5635(d) and (b) $0.125 per whole Common Warrant Share or (ii) the offering is a discounted offering where the pricing and discount (including attributing a value of $0.125 per whole Common Warrant Share) meet the pricing requirements under Nasdaq’s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6" w:name="page257"/>
    <w:bookmarkEnd w:id="256"/>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the shares of Common Stock issued or issuable to each Purchaser pursuant to this Agreement, but excluding the Warrant Shares.</w:t>
      </w:r>
    </w:p>
    <w:p>
      <w:pPr>
        <w:spacing w:after="0" w:line="215"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Short Sales</w:t>
      </w:r>
      <w:r>
        <w:rPr>
          <w:rFonts w:ascii="Times New Roman" w:cs="Times New Roman" w:eastAsia="Times New Roman" w:hAnsi="Times New Roman"/>
          <w:sz w:val="17"/>
          <w:szCs w:val="17"/>
          <w:color w:val="auto"/>
        </w:rPr>
        <w:t>” means all “short sales” as defined in Rule 200 of Regulation SHO under the Exchange Act (but shall not be deemed to include locating and/or borrowing shares of Common Stock).</w:t>
      </w:r>
    </w:p>
    <w:p>
      <w:pPr>
        <w:spacing w:after="0" w:line="153" w:lineRule="exact"/>
        <w:rPr>
          <w:sz w:val="20"/>
          <w:szCs w:val="20"/>
          <w:color w:val="auto"/>
        </w:rPr>
      </w:pPr>
    </w:p>
    <w:p>
      <w:pPr>
        <w:jc w:val="both"/>
        <w:ind w:left="620"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means such approval as may be required by the applicable rules and regulations of the Nasdaq Stock Market LLC (or any successor entity) from the stockholders of the Company with respect to the issuance of all the Common Warrants and the Common Warrant Shares upon the exercise thereof.</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 Date</w:t>
      </w:r>
      <w:r>
        <w:rPr>
          <w:rFonts w:ascii="Times New Roman" w:cs="Times New Roman" w:eastAsia="Times New Roman" w:hAnsi="Times New Roman"/>
          <w:sz w:val="17"/>
          <w:szCs w:val="17"/>
          <w:color w:val="auto"/>
        </w:rPr>
        <w:t>” means the date on which Stockholder Approval is received and deemed effective under Delaware law.]</w:t>
      </w:r>
      <w:r>
        <w:rPr>
          <w:rFonts w:ascii="Times New Roman" w:cs="Times New Roman" w:eastAsia="Times New Roman" w:hAnsi="Times New Roman"/>
          <w:sz w:val="28"/>
          <w:szCs w:val="28"/>
          <w:color w:val="auto"/>
          <w:vertAlign w:val="superscript"/>
        </w:rPr>
        <w:t>3</w:t>
      </w:r>
    </w:p>
    <w:p>
      <w:pPr>
        <w:spacing w:after="0" w:line="125" w:lineRule="exact"/>
        <w:rPr>
          <w:sz w:val="20"/>
          <w:szCs w:val="20"/>
          <w:color w:val="auto"/>
        </w:rPr>
      </w:pPr>
    </w:p>
    <w:p>
      <w:pPr>
        <w:jc w:val="both"/>
        <w:ind w:left="620" w:firstLine="615"/>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Subscription Amount</w:t>
      </w:r>
      <w:r>
        <w:rPr>
          <w:rFonts w:ascii="Times New Roman" w:cs="Times New Roman" w:eastAsia="Times New Roman" w:hAnsi="Times New Roman"/>
          <w:sz w:val="17"/>
          <w:szCs w:val="17"/>
          <w:color w:val="auto"/>
        </w:rPr>
        <w:t>” means, as to each Purchaser, the aggregate amount to be paid for Shares, Pre-Funded Warrants (if applicable) and Common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72"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xml:space="preserve">” means any subsidiary of the Company as set forth on </w:t>
      </w:r>
      <w:r>
        <w:rPr>
          <w:rFonts w:ascii="Times New Roman" w:cs="Times New Roman" w:eastAsia="Times New Roman" w:hAnsi="Times New Roman"/>
          <w:sz w:val="17"/>
          <w:szCs w:val="17"/>
          <w:u w:val="single" w:color="auto"/>
          <w:color w:val="auto"/>
        </w:rPr>
        <w:t>Schedule 3.1(a)</w:t>
      </w:r>
      <w:r>
        <w:rPr>
          <w:rFonts w:ascii="Times New Roman" w:cs="Times New Roman" w:eastAsia="Times New Roman" w:hAnsi="Times New Roman"/>
          <w:sz w:val="17"/>
          <w:szCs w:val="17"/>
          <w:color w:val="auto"/>
        </w:rPr>
        <w:t xml:space="preserve"> of the Disclosure Schedules, and shall, where applicable, also include any direct or indirect subsidiary of the Company formed or acquired after the date hereof.</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principal Trading Market is open for trading.</w:t>
      </w:r>
    </w:p>
    <w:p>
      <w:pPr>
        <w:spacing w:after="0" w:line="215" w:lineRule="exact"/>
        <w:rPr>
          <w:sz w:val="20"/>
          <w:szCs w:val="20"/>
          <w:color w:val="auto"/>
        </w:rPr>
      </w:pPr>
    </w:p>
    <w:p>
      <w:pPr>
        <w:jc w:val="both"/>
        <w:ind w:left="620" w:firstLine="61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66"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this Agreement, the Warrants, the Lock-Up Agreement, all exhibits and schedules thereto and hereto and any other documents or agreements executed in connection with the transactions contemplated hereunder.</w:t>
      </w:r>
    </w:p>
    <w:p>
      <w:pPr>
        <w:spacing w:after="0" w:line="153" w:lineRule="exact"/>
        <w:rPr>
          <w:sz w:val="20"/>
          <w:szCs w:val="20"/>
          <w:color w:val="auto"/>
        </w:rPr>
      </w:pPr>
    </w:p>
    <w:p>
      <w:pPr>
        <w:jc w:val="both"/>
        <w:ind w:left="620" w:firstLine="61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Continental Stock Transfer &amp; Trust Company, the current transfer agent of the Company, with a mailing address of 1 State Street, 30th Floor, New York, NY 10004, and any successor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783080"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171" w:lineRule="exact"/>
        <w:rPr>
          <w:sz w:val="20"/>
          <w:szCs w:val="20"/>
          <w:color w:val="auto"/>
        </w:rPr>
      </w:pPr>
    </w:p>
    <w:p>
      <w:pPr>
        <w:jc w:val="both"/>
        <w:ind w:left="320" w:hanging="317"/>
        <w:spacing w:after="0" w:line="212" w:lineRule="auto"/>
        <w:tabs>
          <w:tab w:leader="none" w:pos="320" w:val="left"/>
        </w:tabs>
        <w:numPr>
          <w:ilvl w:val="0"/>
          <w:numId w:val="1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Delete bracketed language if (i) the Per Share Purchase Price equals or exceeds the sum of (a) the applicable “Minimum Price” per share under Nasdaq rule 5635(d) and (b) $0.125 per whole Common Warrant Share or (ii) the offering is a discounted offering where the pricing and discount (including attributing a value of $0.125 per whole Common Warrant Share) meet the pricing requirements under Nasdaq’s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7" w:name="page258"/>
    <w:bookmarkEnd w:id="257"/>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Variable Rate Transaction</w:t>
      </w:r>
      <w:r>
        <w:rPr>
          <w:rFonts w:ascii="Times New Roman" w:cs="Times New Roman" w:eastAsia="Times New Roman" w:hAnsi="Times New Roman"/>
          <w:sz w:val="17"/>
          <w:szCs w:val="17"/>
          <w:color w:val="auto"/>
        </w:rPr>
        <w:t>” shall have the meaning ascribed to such term in Section 4.12(b).</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collectively, the Common Warrants and the Pre-Funded Warrants.</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means, collectively, the Common Warrant Shares and the Pre-Funded Warrant Shares.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PURCHASE AND SALE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On the Closing Date, upon the terms and subject to the conditions set forth herein, the Company agrees to sell, and the Purchasers, severally and not jointly, agree to purchase, up to an aggregate of $_____ of Shares and Common Warrants;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a Purchaser determines, in its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(if any) and Common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[___] or such other location (including remotely by electronic transmission). Unless otherwise directed by the Placement Agent, settlement of the Shares shall occur via “Delivery Versus Payment” (“</w:t>
      </w:r>
      <w:r>
        <w:rPr>
          <w:rFonts w:ascii="Times New Roman" w:cs="Times New Roman" w:eastAsia="Times New Roman" w:hAnsi="Times New Roman"/>
          <w:sz w:val="17"/>
          <w:szCs w:val="17"/>
          <w:u w:val="single" w:color="auto"/>
          <w:color w:val="auto"/>
        </w:rPr>
        <w:t>DVP</w:t>
      </w:r>
      <w:r>
        <w:rPr>
          <w:rFonts w:ascii="Times New Roman" w:cs="Times New Roman" w:eastAsia="Times New Roman" w:hAnsi="Times New Roman"/>
          <w:sz w:val="17"/>
          <w:szCs w:val="17"/>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Each Purchaser acknowledges that, concurrently with the Closing and pursuant to the Prospectus, the Company may sell up to $____ of additional Shares and Warrants to purchasers not party to this Agreement, less the aggregate Subscription</w:t>
      </w:r>
    </w:p>
    <w:p>
      <w:pPr>
        <w:spacing w:after="0" w:line="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Amount pursuant to this Agreement, and will issue to such purchasers such shares of Common Stock and Common Warrants or Pre-Funded Warrants and Common Warrants in the same form and at the same Per Share Purchase Price.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7"/>
          <w:szCs w:val="17"/>
          <w:u w:val="single" w:color="auto"/>
          <w:color w:val="auto"/>
        </w:rPr>
        <w:t>Pre-Settlement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7"/>
          <w:szCs w:val="17"/>
          <w:u w:val="single" w:color="auto"/>
          <w:color w:val="auto"/>
        </w:rPr>
        <w:t>Pre-Settlement Shares</w:t>
      </w:r>
      <w:r>
        <w:rPr>
          <w:rFonts w:ascii="Times New Roman" w:cs="Times New Roman" w:eastAsia="Times New Roman" w:hAnsi="Times New Roman"/>
          <w:sz w:val="17"/>
          <w:szCs w:val="17"/>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the foregoing, with respect to any Notice(s) of Exercise (as defined in the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Warrants) for purposes thereunder.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ind w:left="1500" w:hanging="267"/>
        <w:spacing w:after="0"/>
        <w:tabs>
          <w:tab w:leader="none" w:pos="150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Closing Date (except as indicated below), the Company shall deliver or cause to be delivered to each Purchaser the</w:t>
      </w:r>
    </w:p>
    <w:p>
      <w:pPr>
        <w:spacing w:after="0" w:line="2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w:t>
      </w:r>
    </w:p>
    <w:p>
      <w:pPr>
        <w:spacing w:after="0" w:line="197" w:lineRule="exact"/>
        <w:rPr>
          <w:rFonts w:ascii="Times New Roman" w:cs="Times New Roman" w:eastAsia="Times New Roman" w:hAnsi="Times New Roman"/>
          <w:sz w:val="17"/>
          <w:szCs w:val="17"/>
          <w:color w:val="auto"/>
        </w:rPr>
      </w:pPr>
    </w:p>
    <w:p>
      <w:pPr>
        <w:ind w:left="2060" w:hanging="211"/>
        <w:spacing w:after="0"/>
        <w:tabs>
          <w:tab w:leader="none" w:pos="206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duly executed by the Company;</w:t>
      </w:r>
    </w:p>
    <w:p>
      <w:pPr>
        <w:spacing w:after="0" w:line="214" w:lineRule="exact"/>
        <w:rPr>
          <w:rFonts w:ascii="Times New Roman" w:cs="Times New Roman" w:eastAsia="Times New Roman" w:hAnsi="Times New Roman"/>
          <w:sz w:val="17"/>
          <w:szCs w:val="17"/>
          <w:color w:val="auto"/>
        </w:rPr>
      </w:pPr>
    </w:p>
    <w:p>
      <w:pPr>
        <w:ind w:left="1240" w:firstLine="609"/>
        <w:spacing w:after="0" w:line="284" w:lineRule="auto"/>
        <w:tabs>
          <w:tab w:leader="none" w:pos="2141"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of Company Counsel, directed to the Placement Agent and the Purchasers, in form and substance reasonably acceptable to the Placement Agent and Purchasers;</w:t>
      </w:r>
    </w:p>
    <w:p>
      <w:pPr>
        <w:spacing w:after="0" w:line="152" w:lineRule="exact"/>
        <w:rPr>
          <w:rFonts w:ascii="Times New Roman" w:cs="Times New Roman" w:eastAsia="Times New Roman" w:hAnsi="Times New Roman"/>
          <w:sz w:val="17"/>
          <w:szCs w:val="17"/>
          <w:color w:val="auto"/>
        </w:rPr>
      </w:pPr>
    </w:p>
    <w:p>
      <w:pPr>
        <w:ind w:left="1240" w:firstLine="609"/>
        <w:spacing w:after="0" w:line="284" w:lineRule="auto"/>
        <w:tabs>
          <w:tab w:leader="none" w:pos="2188"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2.1, the Company shall have provided each Purchaser with the Company’s wire instructions, on Company letterhead and executed by the Chief Executive Officer or Chief Financial Officer;</w:t>
      </w:r>
    </w:p>
    <w:p>
      <w:pPr>
        <w:spacing w:after="0" w:line="152" w:lineRule="exact"/>
        <w:rPr>
          <w:rFonts w:ascii="Times New Roman" w:cs="Times New Roman" w:eastAsia="Times New Roman" w:hAnsi="Times New Roman"/>
          <w:sz w:val="17"/>
          <w:szCs w:val="17"/>
          <w:color w:val="auto"/>
        </w:rPr>
      </w:pPr>
    </w:p>
    <w:p>
      <w:pPr>
        <w:jc w:val="both"/>
        <w:ind w:left="1240" w:firstLine="609"/>
        <w:spacing w:after="0" w:line="268" w:lineRule="auto"/>
        <w:tabs>
          <w:tab w:leader="none" w:pos="2158"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Shares equal to such Purchaser’s Subscription Amount divided by the Per Share Purchase Price, registered in the name of such Purchaser;</w:t>
      </w:r>
    </w:p>
    <w:p>
      <w:pPr>
        <w:spacing w:after="0" w:line="165" w:lineRule="exact"/>
        <w:rPr>
          <w:rFonts w:ascii="Times New Roman" w:cs="Times New Roman" w:eastAsia="Times New Roman" w:hAnsi="Times New Roman"/>
          <w:sz w:val="17"/>
          <w:szCs w:val="17"/>
          <w:color w:val="auto"/>
        </w:rPr>
      </w:pPr>
    </w:p>
    <w:p>
      <w:pPr>
        <w:jc w:val="both"/>
        <w:ind w:left="1240" w:firstLine="609"/>
        <w:spacing w:after="0" w:line="262" w:lineRule="auto"/>
        <w:tabs>
          <w:tab w:leader="none" w:pos="2113"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$0.0001, with an exercise price equal to $0.0001 per share of Common Stock, subject to adjustment therein;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9" w:name="page260"/>
    <w:bookmarkEnd w:id="259"/>
    <w:p>
      <w:pPr>
        <w:jc w:val="both"/>
        <w:ind w:left="1240" w:firstLine="609"/>
        <w:spacing w:after="0" w:line="268" w:lineRule="auto"/>
        <w:tabs>
          <w:tab w:leader="none" w:pos="2162"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Series A-1 Warrant registered in the name of such Purchaser to purchase up to a number of shares of Common Stock equal to 100% of the sum of such Purchaser’s Shares and Pre-Funded Warrant Shares on the date hereof, with an exercise price equal to $____ per share of Common Stock, subject to adjustment therein;</w:t>
      </w:r>
    </w:p>
    <w:p>
      <w:pPr>
        <w:spacing w:after="0" w:line="165" w:lineRule="exact"/>
        <w:rPr>
          <w:rFonts w:ascii="Times New Roman" w:cs="Times New Roman" w:eastAsia="Times New Roman" w:hAnsi="Times New Roman"/>
          <w:sz w:val="17"/>
          <w:szCs w:val="17"/>
          <w:color w:val="auto"/>
        </w:rPr>
      </w:pPr>
    </w:p>
    <w:p>
      <w:pPr>
        <w:jc w:val="both"/>
        <w:ind w:left="1240" w:firstLine="609"/>
        <w:spacing w:after="0" w:line="268" w:lineRule="auto"/>
        <w:tabs>
          <w:tab w:leader="none" w:pos="2208"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Series A-2 Warrant registered in the name of such Purchaser to purchase up to a number of shares of Common Stock equal to 100% of the sum of such Purchaser’s Shares and Pre-Funded Warrant Shares on the date hereof, with an exercise price equal to $____ per share of Common Stock, subject to adjustment therein;</w:t>
      </w:r>
    </w:p>
    <w:p>
      <w:pPr>
        <w:spacing w:after="0" w:line="165" w:lineRule="exact"/>
        <w:rPr>
          <w:rFonts w:ascii="Times New Roman" w:cs="Times New Roman" w:eastAsia="Times New Roman" w:hAnsi="Times New Roman"/>
          <w:sz w:val="17"/>
          <w:szCs w:val="17"/>
          <w:color w:val="auto"/>
        </w:rPr>
      </w:pPr>
    </w:p>
    <w:p>
      <w:pPr>
        <w:ind w:left="2240" w:hanging="391"/>
        <w:spacing w:after="0"/>
        <w:tabs>
          <w:tab w:leader="none" w:pos="224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hereof, the duly executed Lock-Up Agreements; and</w:t>
      </w:r>
    </w:p>
    <w:p>
      <w:pPr>
        <w:spacing w:after="0" w:line="214" w:lineRule="exact"/>
        <w:rPr>
          <w:rFonts w:ascii="Times New Roman" w:cs="Times New Roman" w:eastAsia="Times New Roman" w:hAnsi="Times New Roman"/>
          <w:sz w:val="17"/>
          <w:szCs w:val="17"/>
          <w:color w:val="auto"/>
        </w:rPr>
      </w:pPr>
    </w:p>
    <w:p>
      <w:pPr>
        <w:ind w:left="2140" w:hanging="291"/>
        <w:spacing w:after="0"/>
        <w:tabs>
          <w:tab w:leader="none" w:pos="214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Preliminary Prospectus and the Prospectus (which may be delivered in accordance with Rule 172 under the Securities Act).</w:t>
      </w:r>
    </w:p>
    <w:p>
      <w:pPr>
        <w:spacing w:after="0" w:line="214"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Closing Date, each Purchaser shall deliver or cause to be delivered to the Company the following:</w:t>
      </w:r>
    </w:p>
    <w:p>
      <w:pPr>
        <w:spacing w:after="0" w:line="214" w:lineRule="exact"/>
        <w:rPr>
          <w:rFonts w:ascii="Times New Roman" w:cs="Times New Roman" w:eastAsia="Times New Roman" w:hAnsi="Times New Roman"/>
          <w:sz w:val="17"/>
          <w:szCs w:val="17"/>
          <w:color w:val="auto"/>
        </w:rPr>
      </w:pPr>
    </w:p>
    <w:p>
      <w:pPr>
        <w:ind w:left="2060" w:hanging="211"/>
        <w:spacing w:after="0"/>
        <w:tabs>
          <w:tab w:leader="none" w:pos="206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duly executed by such Purchaser; and</w:t>
      </w:r>
    </w:p>
    <w:p>
      <w:pPr>
        <w:spacing w:after="0" w:line="214" w:lineRule="exact"/>
        <w:rPr>
          <w:rFonts w:ascii="Times New Roman" w:cs="Times New Roman" w:eastAsia="Times New Roman" w:hAnsi="Times New Roman"/>
          <w:sz w:val="17"/>
          <w:szCs w:val="17"/>
          <w:color w:val="auto"/>
        </w:rPr>
      </w:pPr>
    </w:p>
    <w:p>
      <w:pPr>
        <w:ind w:left="1240" w:firstLine="609"/>
        <w:spacing w:after="0" w:line="284" w:lineRule="auto"/>
        <w:tabs>
          <w:tab w:leader="none" w:pos="2131"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Purchaser’s Subscription Amount (less the aggregate exercise price of the Pre-Funded Warrants issuable to such Purchaser hereunder, if applicable), which shall be made available for “Delivery Versus Payment” settlement with the Company or its designee.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ind w:left="1460" w:hanging="227"/>
        <w:spacing w:after="0"/>
        <w:tabs>
          <w:tab w:leader="none" w:pos="146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hereunder in connection with the Closing are subject to the following conditions being met:</w:t>
      </w:r>
    </w:p>
    <w:p>
      <w:pPr>
        <w:spacing w:after="0" w:line="214" w:lineRule="exact"/>
        <w:rPr>
          <w:rFonts w:ascii="Times New Roman" w:cs="Times New Roman" w:eastAsia="Times New Roman" w:hAnsi="Times New Roman"/>
          <w:sz w:val="17"/>
          <w:szCs w:val="17"/>
          <w:color w:val="auto"/>
        </w:rPr>
      </w:pPr>
    </w:p>
    <w:p>
      <w:pPr>
        <w:jc w:val="both"/>
        <w:ind w:left="1240" w:firstLine="609"/>
        <w:spacing w:after="0" w:line="268" w:lineRule="auto"/>
        <w:tabs>
          <w:tab w:leader="none" w:pos="2065"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65" w:lineRule="exact"/>
        <w:rPr>
          <w:rFonts w:ascii="Times New Roman" w:cs="Times New Roman" w:eastAsia="Times New Roman" w:hAnsi="Times New Roman"/>
          <w:sz w:val="17"/>
          <w:szCs w:val="17"/>
          <w:color w:val="auto"/>
        </w:rPr>
      </w:pPr>
    </w:p>
    <w:p>
      <w:pPr>
        <w:ind w:left="1240" w:firstLine="609"/>
        <w:spacing w:after="0" w:line="284" w:lineRule="auto"/>
        <w:tabs>
          <w:tab w:leader="none" w:pos="2111"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covenants and agreements of each Purchaser required to be performed at or prior to the Closing Date shall have been performed; and</w:t>
      </w:r>
    </w:p>
    <w:p>
      <w:pPr>
        <w:spacing w:after="0" w:line="152" w:lineRule="exact"/>
        <w:rPr>
          <w:rFonts w:ascii="Times New Roman" w:cs="Times New Roman" w:eastAsia="Times New Roman" w:hAnsi="Times New Roman"/>
          <w:sz w:val="17"/>
          <w:szCs w:val="17"/>
          <w:color w:val="auto"/>
        </w:rPr>
      </w:pPr>
    </w:p>
    <w:p>
      <w:pPr>
        <w:ind w:left="2140" w:hanging="291"/>
        <w:spacing w:after="0"/>
        <w:tabs>
          <w:tab w:leader="none" w:pos="214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by each Purchaser of the items set forth in Section 2.2(b) of this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0" w:name="page261"/>
    <w:bookmarkEnd w:id="260"/>
    <w:p>
      <w:pPr>
        <w:ind w:left="240" w:hanging="237"/>
        <w:spacing w:after="0"/>
        <w:tabs>
          <w:tab w:leader="none" w:pos="2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respective obligations of the Purchasers hereunder in connection with the Closing are subject to the following conditions being met:</w:t>
      </w:r>
    </w:p>
    <w:p>
      <w:pPr>
        <w:spacing w:after="0" w:line="214" w:lineRule="exact"/>
        <w:rPr>
          <w:rFonts w:ascii="Times New Roman" w:cs="Times New Roman" w:eastAsia="Times New Roman" w:hAnsi="Times New Roman"/>
          <w:sz w:val="17"/>
          <w:szCs w:val="17"/>
          <w:color w:val="auto"/>
        </w:rPr>
      </w:pPr>
    </w:p>
    <w:p>
      <w:pPr>
        <w:jc w:val="both"/>
        <w:ind w:left="1240" w:firstLine="609"/>
        <w:spacing w:after="0" w:line="262" w:lineRule="auto"/>
        <w:tabs>
          <w:tab w:leader="none" w:pos="2072"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Times New Roman" w:cs="Times New Roman" w:eastAsia="Times New Roman" w:hAnsi="Times New Roman"/>
          <w:sz w:val="17"/>
          <w:szCs w:val="17"/>
          <w:color w:val="auto"/>
        </w:rPr>
      </w:pPr>
    </w:p>
    <w:p>
      <w:pPr>
        <w:ind w:left="2100" w:hanging="251"/>
        <w:spacing w:after="0"/>
        <w:tabs>
          <w:tab w:leader="none" w:pos="210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covenants and agreements of the Company required to be performed at or prior to the Closing Date shall have been</w:t>
      </w:r>
    </w:p>
    <w:p>
      <w:pPr>
        <w:spacing w:after="0" w:line="26"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performed;</w:t>
      </w:r>
    </w:p>
    <w:p>
      <w:pPr>
        <w:spacing w:after="0" w:line="197" w:lineRule="exact"/>
        <w:rPr>
          <w:rFonts w:ascii="Times New Roman" w:cs="Times New Roman" w:eastAsia="Times New Roman" w:hAnsi="Times New Roman"/>
          <w:sz w:val="17"/>
          <w:szCs w:val="17"/>
          <w:color w:val="auto"/>
        </w:rPr>
      </w:pPr>
    </w:p>
    <w:p>
      <w:pPr>
        <w:ind w:left="2140" w:hanging="291"/>
        <w:spacing w:after="0"/>
        <w:tabs>
          <w:tab w:leader="none" w:pos="214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by the Company of the items set forth in Section 2.2(a) of this Agreement;</w:t>
      </w:r>
    </w:p>
    <w:p>
      <w:pPr>
        <w:spacing w:after="0" w:line="214" w:lineRule="exact"/>
        <w:rPr>
          <w:rFonts w:ascii="Times New Roman" w:cs="Times New Roman" w:eastAsia="Times New Roman" w:hAnsi="Times New Roman"/>
          <w:sz w:val="17"/>
          <w:szCs w:val="17"/>
          <w:color w:val="auto"/>
        </w:rPr>
      </w:pPr>
    </w:p>
    <w:p>
      <w:pPr>
        <w:ind w:left="2140" w:hanging="291"/>
        <w:spacing w:after="0"/>
        <w:tabs>
          <w:tab w:leader="none" w:pos="214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have been no Material Adverse Effect with respect to the Company; and</w:t>
      </w:r>
    </w:p>
    <w:p>
      <w:pPr>
        <w:spacing w:after="0" w:line="214" w:lineRule="exact"/>
        <w:rPr>
          <w:rFonts w:ascii="Times New Roman" w:cs="Times New Roman" w:eastAsia="Times New Roman" w:hAnsi="Times New Roman"/>
          <w:sz w:val="17"/>
          <w:szCs w:val="17"/>
          <w:color w:val="auto"/>
        </w:rPr>
      </w:pPr>
    </w:p>
    <w:p>
      <w:pPr>
        <w:jc w:val="both"/>
        <w:ind w:left="1240" w:firstLine="609"/>
        <w:spacing w:after="0" w:line="257" w:lineRule="auto"/>
        <w:tabs>
          <w:tab w:leader="none" w:pos="2113"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spacing w:after="0" w:line="166" w:lineRule="exact"/>
        <w:rPr>
          <w:sz w:val="20"/>
          <w:szCs w:val="20"/>
          <w:color w:val="auto"/>
        </w:rPr>
      </w:pPr>
    </w:p>
    <w:p>
      <w:pPr>
        <w:jc w:val="both"/>
        <w:ind w:firstLine="3"/>
        <w:spacing w:after="0" w:line="262" w:lineRule="auto"/>
        <w:tabs>
          <w:tab w:leader="none" w:pos="24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xml:space="preserve">. All of the direct and indirect subsidiaries of the Company are set forth on </w:t>
      </w:r>
      <w:r>
        <w:rPr>
          <w:rFonts w:ascii="Times New Roman" w:cs="Times New Roman" w:eastAsia="Times New Roman" w:hAnsi="Times New Roman"/>
          <w:sz w:val="17"/>
          <w:szCs w:val="17"/>
          <w:u w:val="single" w:color="auto"/>
          <w:color w:val="auto"/>
        </w:rPr>
        <w:t>Schedule 3.1(a)</w:t>
      </w:r>
      <w:r>
        <w:rPr>
          <w:rFonts w:ascii="Times New Roman" w:cs="Times New Roman" w:eastAsia="Times New Roman" w:hAnsi="Times New Roman"/>
          <w:sz w:val="17"/>
          <w:szCs w:val="17"/>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1" w:name="page262"/>
    <w:bookmarkEnd w:id="261"/>
    <w:p>
      <w:pPr>
        <w:jc w:val="both"/>
        <w:ind w:firstLine="3"/>
        <w:spacing w:after="0" w:line="255" w:lineRule="auto"/>
        <w:tabs>
          <w:tab w:leader="none" w:pos="242"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7"/>
          <w:szCs w:val="17"/>
          <w:u w:val="single" w:color="auto"/>
          <w:color w:val="auto"/>
        </w:rPr>
        <w:t>Material Adverse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and no Proceeding has been instituted in any such jurisdiction revoking, limiting or curtailing or seeking to revoke, limit or curtail such power and authority or qualification.</w:t>
      </w:r>
    </w:p>
    <w:p>
      <w:pPr>
        <w:spacing w:after="0" w:line="176" w:lineRule="exact"/>
        <w:rPr>
          <w:rFonts w:ascii="Times New Roman" w:cs="Times New Roman" w:eastAsia="Times New Roman" w:hAnsi="Times New Roman"/>
          <w:sz w:val="17"/>
          <w:szCs w:val="17"/>
          <w:color w:val="auto"/>
        </w:rPr>
      </w:pPr>
    </w:p>
    <w:p>
      <w:pPr>
        <w:jc w:val="both"/>
        <w:ind w:firstLine="3"/>
        <w:spacing w:after="0" w:line="255" w:lineRule="auto"/>
        <w:tabs>
          <w:tab w:leader="none" w:pos="232"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Enforcement</w:t>
      </w:r>
      <w:r>
        <w:rPr>
          <w:rFonts w:ascii="Times New Roman" w:cs="Times New Roman" w:eastAsia="Times New Roman" w:hAnsi="Times New Roman"/>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9" w:lineRule="exact"/>
        <w:rPr>
          <w:rFonts w:ascii="Times New Roman" w:cs="Times New Roman" w:eastAsia="Times New Roman" w:hAnsi="Times New Roman"/>
          <w:sz w:val="17"/>
          <w:szCs w:val="17"/>
          <w:color w:val="auto"/>
        </w:rPr>
      </w:pPr>
    </w:p>
    <w:p>
      <w:pPr>
        <w:jc w:val="both"/>
        <w:ind w:firstLine="3"/>
        <w:spacing w:after="0" w:line="255" w:lineRule="auto"/>
        <w:tabs>
          <w:tab w:leader="none" w:pos="25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2" w:name="page263"/>
    <w:bookmarkEnd w:id="262"/>
    <w:p>
      <w:pPr>
        <w:jc w:val="both"/>
        <w:ind w:firstLine="3"/>
        <w:spacing w:after="0" w:line="262" w:lineRule="auto"/>
        <w:tabs>
          <w:tab w:leader="none" w:pos="232"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Consents and Approvals</w:t>
      </w:r>
      <w:r>
        <w:rPr>
          <w:rFonts w:ascii="Times New Roman" w:cs="Times New Roman" w:eastAsia="Times New Roman" w:hAnsi="Times New Roman"/>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(iii) the notice and/or application(s) to each applicable Trading Market for the issuance and sale of the Securities and the listing of the Shares and Warrant Shares for trading thereon in the time and manner required thereby and (iv) such filings as are required to be made under applicable state securities laws [and (v) the Stockholder Approval]</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(collectively, the “</w:t>
      </w:r>
      <w:r>
        <w:rPr>
          <w:rFonts w:ascii="Times New Roman" w:cs="Times New Roman" w:eastAsia="Times New Roman" w:hAnsi="Times New Roman"/>
          <w:sz w:val="17"/>
          <w:szCs w:val="17"/>
          <w:u w:val="single" w:color="auto"/>
          <w:color w:val="auto"/>
        </w:rPr>
        <w:t>Required Approvals</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jc w:val="both"/>
        <w:ind w:firstLine="3"/>
        <w:spacing w:after="0" w:line="253" w:lineRule="auto"/>
        <w:tabs>
          <w:tab w:leader="none" w:pos="23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the Securities; Registration</w:t>
      </w:r>
      <w:r>
        <w:rPr>
          <w:rFonts w:ascii="Times New Roman" w:cs="Times New Roman" w:eastAsia="Times New Roman" w:hAnsi="Times New Roman"/>
          <w:sz w:val="17"/>
          <w:szCs w:val="17"/>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____,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any Preliminary Prospectus or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Pricing Prospectus and the Prospectus and any amendments or supplements thereto, at the time the Pricing Prospectus and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S-1 and is eligible to use Form S-1 on the date hereof and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783080"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7" w:lineRule="exact"/>
        <w:rPr>
          <w:sz w:val="20"/>
          <w:szCs w:val="20"/>
          <w:color w:val="auto"/>
        </w:rPr>
      </w:pPr>
    </w:p>
    <w:p>
      <w:pPr>
        <w:jc w:val="both"/>
        <w:ind w:left="320" w:hanging="317"/>
        <w:spacing w:after="0" w:line="212" w:lineRule="auto"/>
        <w:tabs>
          <w:tab w:leader="none" w:pos="320" w:val="left"/>
        </w:tabs>
        <w:numPr>
          <w:ilvl w:val="0"/>
          <w:numId w:val="17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Delete bracketed language if (i) the Per Share Purchase Price equals or exceeds the sum of (a) the applicable “Minimum Price” per share under Nasdaq rule 5635(d) and (b) $0.125 per whole Common Warrant Share or (ii) the offering is a discounted offering where the pricing and discount (including attributing a value of $0.125 per whole Common Warrant Share) meet the pricing requirements under Nasdaq’s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3" w:name="page264"/>
    <w:bookmarkEnd w:id="263"/>
    <w:p>
      <w:pPr>
        <w:jc w:val="both"/>
        <w:ind w:firstLine="3"/>
        <w:spacing w:after="0" w:line="253" w:lineRule="auto"/>
        <w:tabs>
          <w:tab w:leader="none" w:pos="242"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xml:space="preserve">. The capitalization of the Company as of the date hereof is as set forth on </w:t>
      </w:r>
      <w:r>
        <w:rPr>
          <w:rFonts w:ascii="Times New Roman" w:cs="Times New Roman" w:eastAsia="Times New Roman" w:hAnsi="Times New Roman"/>
          <w:sz w:val="17"/>
          <w:szCs w:val="17"/>
          <w:u w:val="single" w:color="auto"/>
          <w:color w:val="auto"/>
        </w:rPr>
        <w:t>Schedule 3.1(g)</w:t>
      </w:r>
      <w:r>
        <w:rPr>
          <w:rFonts w:ascii="Times New Roman" w:cs="Times New Roman" w:eastAsia="Times New Roman" w:hAnsi="Times New Roman"/>
          <w:sz w:val="17"/>
          <w:szCs w:val="17"/>
          <w:color w:val="auto"/>
        </w:rPr>
        <w:t xml:space="preserve">, which </w:t>
      </w:r>
      <w:r>
        <w:rPr>
          <w:rFonts w:ascii="Times New Roman" w:cs="Times New Roman" w:eastAsia="Times New Roman" w:hAnsi="Times New Roman"/>
          <w:sz w:val="17"/>
          <w:szCs w:val="17"/>
          <w:u w:val="single" w:color="auto"/>
          <w:color w:val="auto"/>
        </w:rPr>
        <w:t>Schedule 3.1(g)</w:t>
      </w:r>
      <w:r>
        <w:rPr>
          <w:rFonts w:ascii="Times New Roman" w:cs="Times New Roman" w:eastAsia="Times New Roman" w:hAnsi="Times New Roman"/>
          <w:sz w:val="17"/>
          <w:szCs w:val="17"/>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or as set forth on </w:t>
      </w:r>
      <w:r>
        <w:rPr>
          <w:rFonts w:ascii="Times New Roman" w:cs="Times New Roman" w:eastAsia="Times New Roman" w:hAnsi="Times New Roman"/>
          <w:sz w:val="17"/>
          <w:szCs w:val="17"/>
          <w:u w:val="single" w:color="auto"/>
          <w:color w:val="auto"/>
        </w:rPr>
        <w:t>Schedule 3.1(g)</w:t>
      </w:r>
      <w:r>
        <w:rPr>
          <w:rFonts w:ascii="Times New Roman" w:cs="Times New Roman" w:eastAsia="Times New Roman" w:hAnsi="Times New Roman"/>
          <w:sz w:val="17"/>
          <w:szCs w:val="17"/>
          <w:color w:val="auto"/>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4" w:name="page265"/>
    <w:bookmarkEnd w:id="264"/>
    <w:p>
      <w:pPr>
        <w:jc w:val="both"/>
        <w:ind w:firstLine="3"/>
        <w:spacing w:after="0" w:line="254" w:lineRule="auto"/>
        <w:tabs>
          <w:tab w:leader="none" w:pos="24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 Reports; Financial Statements</w:t>
      </w:r>
      <w:r>
        <w:rPr>
          <w:rFonts w:ascii="Times New Roman" w:cs="Times New Roman" w:eastAsia="Times New Roman" w:hAnsi="Times New Roman"/>
          <w:sz w:val="17"/>
          <w:szCs w:val="17"/>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Pricing Prospectus and the Prospectus, being collectively referred to herein as the “</w:t>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80" w:lineRule="exact"/>
        <w:rPr>
          <w:rFonts w:ascii="Times New Roman" w:cs="Times New Roman" w:eastAsia="Times New Roman" w:hAnsi="Times New Roman"/>
          <w:sz w:val="17"/>
          <w:szCs w:val="17"/>
          <w:color w:val="auto"/>
        </w:rPr>
      </w:pPr>
    </w:p>
    <w:p>
      <w:pPr>
        <w:jc w:val="both"/>
        <w:ind w:firstLine="3"/>
        <w:spacing w:after="0" w:line="254" w:lineRule="auto"/>
        <w:tabs>
          <w:tab w:leader="none" w:pos="204"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xml:space="preserve">. Since the date of the latest audited financial statements included within the SEC Reports, except as set forth on </w:t>
      </w:r>
      <w:r>
        <w:rPr>
          <w:rFonts w:ascii="Times New Roman" w:cs="Times New Roman" w:eastAsia="Times New Roman" w:hAnsi="Times New Roman"/>
          <w:sz w:val="17"/>
          <w:szCs w:val="17"/>
          <w:u w:val="single" w:color="auto"/>
          <w:color w:val="auto"/>
        </w:rPr>
        <w:t>Schedule 3.1(i)</w:t>
      </w:r>
      <w:r>
        <w:rPr>
          <w:rFonts w:ascii="Times New Roman" w:cs="Times New Roman" w:eastAsia="Times New Roman" w:hAnsi="Times New Roman"/>
          <w:sz w:val="17"/>
          <w:szCs w:val="17"/>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7"/>
          <w:szCs w:val="17"/>
          <w:u w:val="single" w:color="auto"/>
          <w:color w:val="auto"/>
        </w:rPr>
        <w:t>Schedule 3.1(i)</w:t>
      </w:r>
      <w:r>
        <w:rPr>
          <w:rFonts w:ascii="Times New Roman" w:cs="Times New Roman" w:eastAsia="Times New Roman" w:hAnsi="Times New Roman"/>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5" w:name="page266"/>
    <w:bookmarkEnd w:id="265"/>
    <w:p>
      <w:pPr>
        <w:jc w:val="both"/>
        <w:ind w:firstLine="3"/>
        <w:spacing w:after="0" w:line="258" w:lineRule="auto"/>
        <w:tabs>
          <w:tab w:leader="none" w:pos="204"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3.1(j)</w:t>
      </w:r>
      <w:r>
        <w:rPr>
          <w:rFonts w:ascii="Times New Roman" w:cs="Times New Roman" w:eastAsia="Times New Roman" w:hAnsi="Times New Roman"/>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None of the Actions set forth on </w:t>
      </w:r>
      <w:r>
        <w:rPr>
          <w:rFonts w:ascii="Times New Roman" w:cs="Times New Roman" w:eastAsia="Times New Roman" w:hAnsi="Times New Roman"/>
          <w:sz w:val="17"/>
          <w:szCs w:val="17"/>
          <w:u w:val="single" w:color="auto"/>
          <w:color w:val="auto"/>
        </w:rPr>
        <w:t>Schedule 3.1(j)</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jc w:val="both"/>
        <w:ind w:firstLine="3"/>
        <w:spacing w:after="0" w:line="254" w:lineRule="auto"/>
        <w:tabs>
          <w:tab w:leader="none" w:pos="229"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7" w:lineRule="exact"/>
        <w:rPr>
          <w:rFonts w:ascii="Times New Roman" w:cs="Times New Roman" w:eastAsia="Times New Roman" w:hAnsi="Times New Roman"/>
          <w:sz w:val="17"/>
          <w:szCs w:val="17"/>
          <w:color w:val="auto"/>
        </w:rPr>
      </w:pPr>
    </w:p>
    <w:p>
      <w:pPr>
        <w:jc w:val="both"/>
        <w:ind w:firstLine="3"/>
        <w:spacing w:after="0" w:line="255" w:lineRule="auto"/>
        <w:tabs>
          <w:tab w:leader="none" w:pos="242"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Labor Relations</w:t>
      </w:r>
      <w:r>
        <w:rPr>
          <w:rFonts w:ascii="Times New Roman" w:cs="Times New Roman" w:eastAsia="Times New Roman" w:hAnsi="Times New Roman"/>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9" w:lineRule="exact"/>
        <w:rPr>
          <w:rFonts w:ascii="Times New Roman" w:cs="Times New Roman" w:eastAsia="Times New Roman" w:hAnsi="Times New Roman"/>
          <w:sz w:val="17"/>
          <w:szCs w:val="17"/>
          <w:color w:val="auto"/>
        </w:rPr>
      </w:pPr>
    </w:p>
    <w:p>
      <w:pPr>
        <w:jc w:val="both"/>
        <w:ind w:firstLine="3"/>
        <w:spacing w:after="0" w:line="257" w:lineRule="auto"/>
        <w:tabs>
          <w:tab w:leader="none" w:pos="204"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6" w:name="page267"/>
    <w:bookmarkEnd w:id="266"/>
    <w:p>
      <w:pPr>
        <w:jc w:val="both"/>
        <w:ind w:firstLine="3"/>
        <w:spacing w:after="0" w:line="255" w:lineRule="auto"/>
        <w:tabs>
          <w:tab w:leader="none" w:pos="289"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1" w:lineRule="exact"/>
        <w:rPr>
          <w:rFonts w:ascii="Times New Roman" w:cs="Times New Roman" w:eastAsia="Times New Roman" w:hAnsi="Times New Roman"/>
          <w:sz w:val="17"/>
          <w:szCs w:val="17"/>
          <w:color w:val="auto"/>
        </w:rPr>
      </w:pPr>
    </w:p>
    <w:p>
      <w:pPr>
        <w:jc w:val="both"/>
        <w:ind w:firstLine="3"/>
        <w:spacing w:after="0" w:line="262" w:lineRule="auto"/>
        <w:tabs>
          <w:tab w:leader="none" w:pos="25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Permits</w:t>
      </w:r>
      <w:r>
        <w:rPr>
          <w:rFonts w:ascii="Times New Roman" w:cs="Times New Roman" w:eastAsia="Times New Roman" w:hAnsi="Times New Roman"/>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7"/>
          <w:szCs w:val="17"/>
          <w:u w:val="single" w:color="auto"/>
          <w:color w:val="auto"/>
        </w:rPr>
        <w:t>Material Permits</w:t>
      </w:r>
      <w:r>
        <w:rPr>
          <w:rFonts w:ascii="Times New Roman" w:cs="Times New Roman" w:eastAsia="Times New Roman" w:hAnsi="Times New Roman"/>
          <w:sz w:val="17"/>
          <w:szCs w:val="17"/>
          <w:color w:val="auto"/>
        </w:rPr>
        <w:t>”), and neither the Company nor any Subsidiary has received any notice of proceedings relating to the revocation or modification of any Material Permit.</w:t>
      </w:r>
    </w:p>
    <w:p>
      <w:pPr>
        <w:spacing w:after="0" w:line="171" w:lineRule="exact"/>
        <w:rPr>
          <w:rFonts w:ascii="Times New Roman" w:cs="Times New Roman" w:eastAsia="Times New Roman" w:hAnsi="Times New Roman"/>
          <w:sz w:val="17"/>
          <w:szCs w:val="17"/>
          <w:color w:val="auto"/>
        </w:rPr>
      </w:pPr>
    </w:p>
    <w:p>
      <w:pPr>
        <w:jc w:val="both"/>
        <w:ind w:firstLine="3"/>
        <w:spacing w:after="0" w:line="262" w:lineRule="auto"/>
        <w:tabs>
          <w:tab w:leader="none" w:pos="242"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Assets</w:t>
      </w:r>
      <w:r>
        <w:rPr>
          <w:rFonts w:ascii="Times New Roman" w:cs="Times New Roman" w:eastAsia="Times New Roman" w:hAnsi="Times New Roman"/>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w:t>
      </w:r>
    </w:p>
    <w:p>
      <w:pPr>
        <w:jc w:val="both"/>
        <w:ind w:firstLine="3"/>
        <w:spacing w:after="0" w:line="255" w:lineRule="auto"/>
        <w:tabs>
          <w:tab w:leader="none" w:pos="21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Times New Roman" w:cs="Times New Roman" w:eastAsia="Times New Roman" w:hAnsi="Times New Roman"/>
          <w:sz w:val="17"/>
          <w:szCs w:val="17"/>
          <w:color w:val="auto"/>
        </w:rPr>
      </w:pPr>
    </w:p>
    <w:p>
      <w:pPr>
        <w:jc w:val="both"/>
        <w:ind w:firstLine="3"/>
        <w:spacing w:after="0" w:line="255" w:lineRule="auto"/>
        <w:tabs>
          <w:tab w:leader="none" w:pos="242"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7" w:name="page268"/>
    <w:bookmarkEnd w:id="267"/>
    <w:p>
      <w:pPr>
        <w:jc w:val="both"/>
        <w:ind w:firstLine="3"/>
        <w:spacing w:after="0" w:line="260" w:lineRule="auto"/>
        <w:tabs>
          <w:tab w:leader="none" w:pos="242"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71" w:lineRule="exact"/>
        <w:rPr>
          <w:rFonts w:ascii="Times New Roman" w:cs="Times New Roman" w:eastAsia="Times New Roman" w:hAnsi="Times New Roman"/>
          <w:sz w:val="17"/>
          <w:szCs w:val="17"/>
          <w:color w:val="auto"/>
        </w:rPr>
      </w:pPr>
    </w:p>
    <w:p>
      <w:pPr>
        <w:jc w:val="both"/>
        <w:ind w:firstLine="3"/>
        <w:spacing w:after="0" w:line="256" w:lineRule="auto"/>
        <w:tabs>
          <w:tab w:leader="none" w:pos="213"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Transactions With Affiliates and Employees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3.1(r)</w:t>
      </w:r>
      <w:r>
        <w:rPr>
          <w:rFonts w:ascii="Times New Roman" w:cs="Times New Roman" w:eastAsia="Times New Roman" w:hAnsi="Times New Roman"/>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77" w:lineRule="exact"/>
        <w:rPr>
          <w:rFonts w:ascii="Times New Roman" w:cs="Times New Roman" w:eastAsia="Times New Roman" w:hAnsi="Times New Roman"/>
          <w:sz w:val="17"/>
          <w:szCs w:val="17"/>
          <w:color w:val="auto"/>
        </w:rPr>
      </w:pPr>
    </w:p>
    <w:p>
      <w:pPr>
        <w:jc w:val="both"/>
        <w:ind w:firstLine="3"/>
        <w:spacing w:after="0" w:line="254" w:lineRule="auto"/>
        <w:tabs>
          <w:tab w:leader="none" w:pos="223"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Internal Accounting Controls</w:t>
      </w:r>
      <w:r>
        <w:rPr>
          <w:rFonts w:ascii="Times New Roman" w:cs="Times New Roman" w:eastAsia="Times New Roman" w:hAnsi="Times New Roman"/>
          <w:sz w:val="17"/>
          <w:szCs w:val="17"/>
          <w:color w:val="auto"/>
        </w:rPr>
        <w:t>. The Company and the Subsidiaries are in compliance with any and all applicable requirements of the Sarbanes-Oxley Act of 2002, as amended, that are effective as of the date hereof ,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8" w:name="page269"/>
    <w:bookmarkEnd w:id="268"/>
    <w:p>
      <w:pPr>
        <w:jc w:val="both"/>
        <w:ind w:firstLine="3"/>
        <w:spacing w:after="0" w:line="260" w:lineRule="auto"/>
        <w:tabs>
          <w:tab w:leader="none" w:pos="204"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Fees</w:t>
      </w:r>
      <w:r>
        <w:rPr>
          <w:rFonts w:ascii="Times New Roman" w:cs="Times New Roman" w:eastAsia="Times New Roman" w:hAnsi="Times New Roman"/>
          <w:sz w:val="17"/>
          <w:szCs w:val="17"/>
          <w:color w:val="auto"/>
        </w:rPr>
        <w:t>. Except for compensation payable by the Company to the Placement Agent as set forth in the Pricing Prospectus and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1" w:lineRule="exact"/>
        <w:rPr>
          <w:rFonts w:ascii="Times New Roman" w:cs="Times New Roman" w:eastAsia="Times New Roman" w:hAnsi="Times New Roman"/>
          <w:sz w:val="17"/>
          <w:szCs w:val="17"/>
          <w:color w:val="auto"/>
        </w:rPr>
      </w:pPr>
    </w:p>
    <w:p>
      <w:pPr>
        <w:jc w:val="both"/>
        <w:ind w:firstLine="3"/>
        <w:spacing w:after="0" w:line="268" w:lineRule="auto"/>
        <w:tabs>
          <w:tab w:leader="none" w:pos="242"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65" w:lineRule="exact"/>
        <w:rPr>
          <w:rFonts w:ascii="Times New Roman" w:cs="Times New Roman" w:eastAsia="Times New Roman" w:hAnsi="Times New Roman"/>
          <w:sz w:val="17"/>
          <w:szCs w:val="17"/>
          <w:color w:val="auto"/>
        </w:rPr>
      </w:pPr>
    </w:p>
    <w:p>
      <w:pPr>
        <w:ind w:firstLine="3"/>
        <w:spacing w:after="0" w:line="284" w:lineRule="auto"/>
        <w:tabs>
          <w:tab w:leader="none" w:pos="242"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No Person has any right to cause the Company or any Subsidiary to effect the registration under the Securities Act of any securities of the Company or any Subsidiary.</w:t>
      </w:r>
    </w:p>
    <w:p>
      <w:pPr>
        <w:spacing w:after="0" w:line="152" w:lineRule="exact"/>
        <w:rPr>
          <w:rFonts w:ascii="Times New Roman" w:cs="Times New Roman" w:eastAsia="Times New Roman" w:hAnsi="Times New Roman"/>
          <w:sz w:val="17"/>
          <w:szCs w:val="17"/>
          <w:color w:val="auto"/>
        </w:rPr>
      </w:pPr>
    </w:p>
    <w:p>
      <w:pPr>
        <w:jc w:val="both"/>
        <w:ind w:firstLine="3"/>
        <w:spacing w:after="0" w:line="256" w:lineRule="auto"/>
        <w:tabs>
          <w:tab w:leader="none" w:pos="28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 and Maintenance Requirements</w:t>
      </w:r>
      <w:r>
        <w:rPr>
          <w:rFonts w:ascii="Times New Roman" w:cs="Times New Roman" w:eastAsia="Times New Roman" w:hAnsi="Times New Roman"/>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77" w:lineRule="exact"/>
        <w:rPr>
          <w:rFonts w:ascii="Times New Roman" w:cs="Times New Roman" w:eastAsia="Times New Roman" w:hAnsi="Times New Roman"/>
          <w:sz w:val="17"/>
          <w:szCs w:val="17"/>
          <w:color w:val="auto"/>
        </w:rPr>
      </w:pPr>
    </w:p>
    <w:p>
      <w:pPr>
        <w:jc w:val="both"/>
        <w:ind w:firstLine="3"/>
        <w:spacing w:after="0" w:line="260" w:lineRule="auto"/>
        <w:tabs>
          <w:tab w:leader="none" w:pos="242"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Takeover Protections</w:t>
      </w:r>
      <w:r>
        <w:rPr>
          <w:rFonts w:ascii="Times New Roman" w:cs="Times New Roman" w:eastAsia="Times New Roman" w:hAnsi="Times New Roman"/>
          <w:sz w:val="17"/>
          <w:szCs w:val="17"/>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9" w:name="page270"/>
    <w:bookmarkEnd w:id="269"/>
    <w:p>
      <w:pPr>
        <w:jc w:val="both"/>
        <w:ind w:firstLine="3"/>
        <w:spacing w:after="0" w:line="255" w:lineRule="auto"/>
        <w:tabs>
          <w:tab w:leader="none" w:pos="242"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Pricing Prospectus and the Prospectus.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6" w:lineRule="exact"/>
        <w:rPr>
          <w:rFonts w:ascii="Times New Roman" w:cs="Times New Roman" w:eastAsia="Times New Roman" w:hAnsi="Times New Roman"/>
          <w:sz w:val="17"/>
          <w:szCs w:val="17"/>
          <w:color w:val="auto"/>
        </w:rPr>
      </w:pPr>
    </w:p>
    <w:p>
      <w:pPr>
        <w:jc w:val="both"/>
        <w:ind w:firstLine="3"/>
        <w:spacing w:after="0" w:line="262" w:lineRule="auto"/>
        <w:tabs>
          <w:tab w:leader="none" w:pos="232"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Integrated Offering</w:t>
      </w:r>
      <w:r>
        <w:rPr>
          <w:rFonts w:ascii="Times New Roman" w:cs="Times New Roman" w:eastAsia="Times New Roman" w:hAnsi="Times New Roman"/>
          <w:sz w:val="17"/>
          <w:szCs w:val="17"/>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72" w:lineRule="exact"/>
        <w:rPr>
          <w:sz w:val="20"/>
          <w:szCs w:val="20"/>
          <w:color w:val="auto"/>
        </w:rPr>
      </w:pPr>
    </w:p>
    <w:p>
      <w:pPr>
        <w:jc w:val="both"/>
        <w:ind w:firstLine="3"/>
        <w:spacing w:after="0" w:line="254" w:lineRule="auto"/>
        <w:tabs>
          <w:tab w:leader="none" w:pos="321"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7"/>
          <w:szCs w:val="17"/>
          <w:u w:val="single" w:color="auto"/>
          <w:color w:val="auto"/>
        </w:rPr>
        <w:t>Schedule 3.1(aa)</w:t>
      </w:r>
      <w:r>
        <w:rPr>
          <w:rFonts w:ascii="Times New Roman" w:cs="Times New Roman" w:eastAsia="Times New Roman" w:hAnsi="Times New Roman"/>
          <w:sz w:val="17"/>
          <w:szCs w:val="17"/>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0" w:name="page271"/>
    <w:bookmarkEnd w:id="270"/>
    <w:p>
      <w:pPr>
        <w:jc w:val="both"/>
        <w:ind w:firstLine="3"/>
        <w:spacing w:after="0" w:line="258" w:lineRule="auto"/>
        <w:tabs>
          <w:tab w:leader="none" w:pos="34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74" w:lineRule="exact"/>
        <w:rPr>
          <w:rFonts w:ascii="Times New Roman" w:cs="Times New Roman" w:eastAsia="Times New Roman" w:hAnsi="Times New Roman"/>
          <w:sz w:val="17"/>
          <w:szCs w:val="17"/>
          <w:color w:val="auto"/>
        </w:rPr>
      </w:pPr>
    </w:p>
    <w:p>
      <w:pPr>
        <w:jc w:val="both"/>
        <w:ind w:firstLine="3"/>
        <w:spacing w:after="0" w:line="260" w:lineRule="auto"/>
        <w:tabs>
          <w:tab w:leader="none" w:pos="30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1" w:lineRule="exact"/>
        <w:rPr>
          <w:rFonts w:ascii="Times New Roman" w:cs="Times New Roman" w:eastAsia="Times New Roman" w:hAnsi="Times New Roman"/>
          <w:sz w:val="17"/>
          <w:szCs w:val="17"/>
          <w:color w:val="auto"/>
        </w:rPr>
      </w:pPr>
    </w:p>
    <w:p>
      <w:pPr>
        <w:jc w:val="both"/>
        <w:ind w:firstLine="3"/>
        <w:spacing w:after="0" w:line="268" w:lineRule="auto"/>
        <w:tabs>
          <w:tab w:leader="none" w:pos="327"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The Company’s independent registered public accounting firm are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w:t>
      </w:r>
    </w:p>
    <w:p>
      <w:pPr>
        <w:spacing w:after="0" w:line="165" w:lineRule="exact"/>
        <w:rPr>
          <w:rFonts w:ascii="Times New Roman" w:cs="Times New Roman" w:eastAsia="Times New Roman" w:hAnsi="Times New Roman"/>
          <w:sz w:val="17"/>
          <w:szCs w:val="17"/>
          <w:color w:val="auto"/>
        </w:rPr>
      </w:pPr>
    </w:p>
    <w:p>
      <w:pPr>
        <w:jc w:val="both"/>
        <w:ind w:firstLine="3"/>
        <w:spacing w:after="0" w:line="257" w:lineRule="auto"/>
        <w:tabs>
          <w:tab w:leader="none" w:pos="321"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Purchasers’ Purchase of Securities</w:t>
      </w:r>
      <w:r>
        <w:rPr>
          <w:rFonts w:ascii="Times New Roman" w:cs="Times New Roman" w:eastAsia="Times New Roman" w:hAnsi="Times New Roman"/>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1" w:name="page272"/>
    <w:bookmarkEnd w:id="271"/>
    <w:p>
      <w:pPr>
        <w:jc w:val="both"/>
        <w:ind w:firstLine="3"/>
        <w:spacing w:after="0" w:line="254" w:lineRule="auto"/>
        <w:tabs>
          <w:tab w:leader="none" w:pos="267"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Purchaser’s Trading Activity.</w:t>
      </w:r>
      <w:r>
        <w:rPr>
          <w:rFonts w:ascii="Times New Roman" w:cs="Times New Roman" w:eastAsia="Times New Roman" w:hAnsi="Times New Roman"/>
          <w:sz w:val="17"/>
          <w:szCs w:val="17"/>
          <w:color w:val="auto"/>
        </w:rPr>
        <w:t xml:space="preserve">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3" w:lineRule="exact"/>
        <w:rPr>
          <w:rFonts w:ascii="Times New Roman" w:cs="Times New Roman" w:eastAsia="Times New Roman" w:hAnsi="Times New Roman"/>
          <w:sz w:val="17"/>
          <w:szCs w:val="17"/>
          <w:color w:val="auto"/>
        </w:rPr>
      </w:pPr>
    </w:p>
    <w:p>
      <w:pPr>
        <w:jc w:val="both"/>
        <w:ind w:firstLine="3"/>
        <w:spacing w:after="0" w:line="260" w:lineRule="auto"/>
        <w:tabs>
          <w:tab w:leader="none" w:pos="327"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Regulation M Compliance</w:t>
      </w:r>
      <w:r>
        <w:rPr>
          <w:rFonts w:ascii="Times New Roman" w:cs="Times New Roman" w:eastAsia="Times New Roman" w:hAnsi="Times New Roman"/>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71" w:lineRule="exact"/>
        <w:rPr>
          <w:rFonts w:ascii="Times New Roman" w:cs="Times New Roman" w:eastAsia="Times New Roman" w:hAnsi="Times New Roman"/>
          <w:sz w:val="17"/>
          <w:szCs w:val="17"/>
          <w:color w:val="auto"/>
        </w:rPr>
      </w:pPr>
    </w:p>
    <w:p>
      <w:pPr>
        <w:jc w:val="both"/>
        <w:ind w:firstLine="3"/>
        <w:spacing w:after="0" w:line="253" w:lineRule="auto"/>
        <w:tabs>
          <w:tab w:leader="none" w:pos="327"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As to each product subject to the jurisdiction of the U.S. Food and Drug Administration (“</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under the Federal Food, Drug and Cosmetic Act, as amended, and the regulations thereunder (“</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7"/>
          <w:szCs w:val="17"/>
          <w:u w:val="single" w:color="auto"/>
          <w:color w:val="auto"/>
        </w:rPr>
        <w:t>Pharmaceutical Product</w:t>
      </w:r>
      <w:r>
        <w:rPr>
          <w:rFonts w:ascii="Times New Roman" w:cs="Times New Roman" w:eastAsia="Times New Roman" w:hAnsi="Times New Roman"/>
          <w:sz w:val="17"/>
          <w:szCs w:val="17"/>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2" w:name="page273"/>
    <w:bookmarkEnd w:id="272"/>
    <w:p>
      <w:pPr>
        <w:jc w:val="both"/>
        <w:ind w:firstLine="3"/>
        <w:spacing w:after="0" w:line="255" w:lineRule="auto"/>
        <w:tabs>
          <w:tab w:leader="none" w:pos="251"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Cybersecurity</w:t>
      </w:r>
      <w:r>
        <w:rPr>
          <w:rFonts w:ascii="Times New Roman" w:cs="Times New Roman" w:eastAsia="Times New Roman" w:hAnsi="Times New Roman"/>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79" w:lineRule="exact"/>
        <w:rPr>
          <w:rFonts w:ascii="Times New Roman" w:cs="Times New Roman" w:eastAsia="Times New Roman" w:hAnsi="Times New Roman"/>
          <w:sz w:val="17"/>
          <w:szCs w:val="17"/>
          <w:color w:val="auto"/>
        </w:rPr>
      </w:pPr>
    </w:p>
    <w:p>
      <w:pPr>
        <w:jc w:val="both"/>
        <w:ind w:firstLine="3"/>
        <w:spacing w:after="0" w:line="253" w:lineRule="auto"/>
        <w:tabs>
          <w:tab w:leader="none" w:pos="264"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 (EU 2016/679) (collectively, “</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7"/>
          <w:szCs w:val="17"/>
          <w:u w:val="single" w:color="auto"/>
          <w:color w:val="auto"/>
        </w:rPr>
        <w:t>Policies</w:t>
      </w:r>
      <w:r>
        <w:rPr>
          <w:rFonts w:ascii="Times New Roman" w:cs="Times New Roman" w:eastAsia="Times New Roman" w:hAnsi="Times New Roman"/>
          <w:sz w:val="17"/>
          <w:szCs w:val="17"/>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3" w:name="page274"/>
    <w:bookmarkEnd w:id="273"/>
    <w:p>
      <w:pPr>
        <w:jc w:val="both"/>
        <w:ind w:firstLine="3"/>
        <w:spacing w:after="0" w:line="258" w:lineRule="auto"/>
        <w:tabs>
          <w:tab w:leader="none" w:pos="32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Plans</w:t>
      </w:r>
      <w:r>
        <w:rPr>
          <w:rFonts w:ascii="Times New Roman" w:cs="Times New Roman" w:eastAsia="Times New Roman" w:hAnsi="Times New Roman"/>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4" w:lineRule="exact"/>
        <w:rPr>
          <w:rFonts w:ascii="Times New Roman" w:cs="Times New Roman" w:eastAsia="Times New Roman" w:hAnsi="Times New Roman"/>
          <w:sz w:val="17"/>
          <w:szCs w:val="17"/>
          <w:color w:val="auto"/>
        </w:rPr>
      </w:pPr>
    </w:p>
    <w:p>
      <w:pPr>
        <w:jc w:val="both"/>
        <w:ind w:firstLine="3"/>
        <w:spacing w:after="0" w:line="268" w:lineRule="auto"/>
        <w:tabs>
          <w:tab w:leader="none" w:pos="251"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 of Foreign Assets Control</w:t>
      </w:r>
      <w:r>
        <w:rPr>
          <w:rFonts w:ascii="Times New Roman" w:cs="Times New Roman" w:eastAsia="Times New Roman" w:hAnsi="Times New Roman"/>
          <w:sz w:val="17"/>
          <w:szCs w:val="17"/>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firstLine="3"/>
        <w:spacing w:after="0" w:line="284" w:lineRule="auto"/>
        <w:tabs>
          <w:tab w:leader="none" w:pos="422"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 Real Property Holding Corporation</w:t>
      </w:r>
      <w:r>
        <w:rPr>
          <w:rFonts w:ascii="Times New Roman" w:cs="Times New Roman" w:eastAsia="Times New Roman" w:hAnsi="Times New Roman"/>
          <w:sz w:val="17"/>
          <w:szCs w:val="17"/>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52" w:lineRule="exact"/>
        <w:rPr>
          <w:rFonts w:ascii="Times New Roman" w:cs="Times New Roman" w:eastAsia="Times New Roman" w:hAnsi="Times New Roman"/>
          <w:sz w:val="17"/>
          <w:szCs w:val="17"/>
          <w:color w:val="auto"/>
        </w:rPr>
      </w:pPr>
    </w:p>
    <w:p>
      <w:pPr>
        <w:jc w:val="both"/>
        <w:ind w:firstLine="3"/>
        <w:spacing w:after="0" w:line="258" w:lineRule="auto"/>
        <w:tabs>
          <w:tab w:leader="none" w:pos="32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Holding Company Act</w:t>
      </w:r>
      <w:r>
        <w:rPr>
          <w:rFonts w:ascii="Times New Roman" w:cs="Times New Roman" w:eastAsia="Times New Roman" w:hAnsi="Times New Roman"/>
          <w:sz w:val="17"/>
          <w:szCs w:val="17"/>
          <w:color w:val="auto"/>
        </w:rPr>
        <w:t>. Neither the Company nor any of its Subsidiaries or Affiliates is subject to the Bank Holding Company Act of 1956, as amended (the “</w:t>
      </w:r>
      <w:r>
        <w:rPr>
          <w:rFonts w:ascii="Times New Roman" w:cs="Times New Roman" w:eastAsia="Times New Roman" w:hAnsi="Times New Roman"/>
          <w:sz w:val="17"/>
          <w:szCs w:val="17"/>
          <w:u w:val="single" w:color="auto"/>
          <w:color w:val="auto"/>
        </w:rPr>
        <w:t>BHCA</w:t>
      </w:r>
      <w:r>
        <w:rPr>
          <w:rFonts w:ascii="Times New Roman" w:cs="Times New Roman" w:eastAsia="Times New Roman" w:hAnsi="Times New Roman"/>
          <w:sz w:val="17"/>
          <w:szCs w:val="17"/>
          <w:color w:val="auto"/>
        </w:rPr>
        <w:t>”) and to regulation by the Board of Governors of the Federal Reserve System (the “</w:t>
      </w:r>
      <w:r>
        <w:rPr>
          <w:rFonts w:ascii="Times New Roman" w:cs="Times New Roman" w:eastAsia="Times New Roman" w:hAnsi="Times New Roman"/>
          <w:sz w:val="17"/>
          <w:szCs w:val="17"/>
          <w:u w:val="single" w:color="auto"/>
          <w:color w:val="auto"/>
        </w:rPr>
        <w:t>Federal Reserve</w:t>
      </w:r>
      <w:r>
        <w:rPr>
          <w:rFonts w:ascii="Times New Roman" w:cs="Times New Roman" w:eastAsia="Times New Roman" w:hAnsi="Times New Roman"/>
          <w:sz w:val="17"/>
          <w:szCs w:val="17"/>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4" w:lineRule="exact"/>
        <w:rPr>
          <w:rFonts w:ascii="Times New Roman" w:cs="Times New Roman" w:eastAsia="Times New Roman" w:hAnsi="Times New Roman"/>
          <w:sz w:val="17"/>
          <w:szCs w:val="17"/>
          <w:color w:val="auto"/>
        </w:rPr>
      </w:pPr>
    </w:p>
    <w:p>
      <w:pPr>
        <w:jc w:val="both"/>
        <w:ind w:firstLine="3"/>
        <w:spacing w:after="0" w:line="260" w:lineRule="auto"/>
        <w:tabs>
          <w:tab w:leader="none" w:pos="34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Money Laundering</w:t>
      </w:r>
      <w:r>
        <w:rPr>
          <w:rFonts w:ascii="Times New Roman" w:cs="Times New Roman" w:eastAsia="Times New Roman" w:hAnsi="Times New Roman"/>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7"/>
          <w:szCs w:val="17"/>
          <w:u w:val="single" w:color="auto"/>
          <w:color w:val="auto"/>
        </w:rPr>
        <w:t>Money Laundering Laws</w:t>
      </w:r>
      <w:r>
        <w:rPr>
          <w:rFonts w:ascii="Times New Roman" w:cs="Times New Roman" w:eastAsia="Times New Roman" w:hAnsi="Times New Roman"/>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4" w:name="page275"/>
    <w:bookmarkEnd w:id="274"/>
    <w:p>
      <w:pPr>
        <w:spacing w:after="0" w:line="28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Representations and Warranties of the Purchasers</w:t>
      </w:r>
      <w:r>
        <w:rPr>
          <w:rFonts w:ascii="Times New Roman" w:cs="Times New Roman" w:eastAsia="Times New Roman" w:hAnsi="Times New Roman"/>
          <w:sz w:val="17"/>
          <w:szCs w:val="17"/>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53" w:lineRule="exact"/>
        <w:rPr>
          <w:sz w:val="20"/>
          <w:szCs w:val="20"/>
          <w:color w:val="auto"/>
        </w:rPr>
      </w:pPr>
    </w:p>
    <w:p>
      <w:pPr>
        <w:jc w:val="both"/>
        <w:ind w:left="360" w:firstLine="873"/>
        <w:spacing w:after="0" w:line="255" w:lineRule="auto"/>
        <w:tabs>
          <w:tab w:leader="none" w:pos="1464"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Authority</w:t>
      </w:r>
      <w:r>
        <w:rPr>
          <w:rFonts w:ascii="Times New Roman" w:cs="Times New Roman" w:eastAsia="Times New Roman" w:hAnsi="Times New Roman"/>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9" w:lineRule="exact"/>
        <w:rPr>
          <w:rFonts w:ascii="Times New Roman" w:cs="Times New Roman" w:eastAsia="Times New Roman" w:hAnsi="Times New Roman"/>
          <w:sz w:val="17"/>
          <w:szCs w:val="17"/>
          <w:color w:val="auto"/>
        </w:rPr>
      </w:pPr>
    </w:p>
    <w:p>
      <w:pPr>
        <w:jc w:val="both"/>
        <w:ind w:left="360" w:firstLine="873"/>
        <w:spacing w:after="0" w:line="262" w:lineRule="auto"/>
        <w:tabs>
          <w:tab w:leader="none" w:pos="1486"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Understandings or Arrangements</w:t>
      </w:r>
      <w:r>
        <w:rPr>
          <w:rFonts w:ascii="Times New Roman" w:cs="Times New Roman" w:eastAsia="Times New Roman" w:hAnsi="Times New Roman"/>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1" w:lineRule="exact"/>
        <w:rPr>
          <w:rFonts w:ascii="Times New Roman" w:cs="Times New Roman" w:eastAsia="Times New Roman" w:hAnsi="Times New Roman"/>
          <w:sz w:val="17"/>
          <w:szCs w:val="17"/>
          <w:color w:val="auto"/>
        </w:rPr>
      </w:pPr>
    </w:p>
    <w:p>
      <w:pPr>
        <w:jc w:val="both"/>
        <w:ind w:left="360" w:firstLine="873"/>
        <w:spacing w:after="0" w:line="268" w:lineRule="auto"/>
        <w:tabs>
          <w:tab w:leader="none" w:pos="1464"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Status</w:t>
      </w:r>
      <w:r>
        <w:rPr>
          <w:rFonts w:ascii="Times New Roman" w:cs="Times New Roman" w:eastAsia="Times New Roman" w:hAnsi="Times New Roman"/>
          <w:sz w:val="17"/>
          <w:szCs w:val="17"/>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5" w:name="page276"/>
    <w:bookmarkEnd w:id="275"/>
    <w:p>
      <w:pPr>
        <w:jc w:val="both"/>
        <w:ind w:firstLine="873"/>
        <w:spacing w:after="0" w:line="262" w:lineRule="auto"/>
        <w:tabs>
          <w:tab w:leader="none" w:pos="113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Experience of Such Purchaser</w:t>
      </w:r>
      <w:r>
        <w:rPr>
          <w:rFonts w:ascii="Times New Roman" w:cs="Times New Roman" w:eastAsia="Times New Roman" w:hAnsi="Times New Roman"/>
          <w:sz w:val="17"/>
          <w:szCs w:val="17"/>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1" w:lineRule="exact"/>
        <w:rPr>
          <w:rFonts w:ascii="Times New Roman" w:cs="Times New Roman" w:eastAsia="Times New Roman" w:hAnsi="Times New Roman"/>
          <w:sz w:val="17"/>
          <w:szCs w:val="17"/>
          <w:color w:val="auto"/>
        </w:rPr>
      </w:pPr>
    </w:p>
    <w:p>
      <w:pPr>
        <w:jc w:val="both"/>
        <w:ind w:firstLine="873"/>
        <w:spacing w:after="0" w:line="255" w:lineRule="auto"/>
        <w:tabs>
          <w:tab w:leader="none" w:pos="1117"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76" w:lineRule="exact"/>
        <w:rPr>
          <w:rFonts w:ascii="Times New Roman" w:cs="Times New Roman" w:eastAsia="Times New Roman" w:hAnsi="Times New Roman"/>
          <w:sz w:val="17"/>
          <w:szCs w:val="17"/>
          <w:color w:val="auto"/>
        </w:rPr>
      </w:pPr>
    </w:p>
    <w:p>
      <w:pPr>
        <w:jc w:val="both"/>
        <w:ind w:firstLine="873"/>
        <w:spacing w:after="0" w:line="254" w:lineRule="auto"/>
        <w:tabs>
          <w:tab w:leader="none" w:pos="1085"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7139305"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880"/>
          </w:cols>
          <w:pgMar w:left="680" w:top="867" w:right="339" w:bottom="1440" w:gutter="0" w:footer="0" w:header="0"/>
        </w:sectPr>
      </w:pPr>
    </w:p>
    <w:bookmarkStart w:id="276" w:name="page277"/>
    <w:bookmarkEnd w:id="276"/>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OTHER AGREEMENTS OF THE PARTIES</w:t>
      </w:r>
    </w:p>
    <w:p>
      <w:pPr>
        <w:spacing w:after="0" w:line="198"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78"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Furnishing of Information</w:t>
      </w:r>
      <w:r>
        <w:rPr>
          <w:rFonts w:ascii="Times New Roman" w:cs="Times New Roman" w:eastAsia="Times New Roman" w:hAnsi="Times New Roman"/>
          <w:sz w:val="17"/>
          <w:szCs w:val="17"/>
          <w:color w:val="auto"/>
        </w:rPr>
        <w:t>.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7" w:name="page278"/>
    <w:bookmarkEnd w:id="277"/>
    <w:p>
      <w:pPr>
        <w:jc w:val="both"/>
        <w:ind w:firstLine="615"/>
        <w:spacing w:after="0" w:line="265"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Securities Laws Disclosure; Publicity</w:t>
      </w:r>
      <w:r>
        <w:rPr>
          <w:rFonts w:ascii="Times New Roman" w:cs="Times New Roman" w:eastAsia="Times New Roman" w:hAnsi="Times New Roman"/>
          <w:sz w:val="17"/>
          <w:szCs w:val="17"/>
          <w:color w:val="auto"/>
        </w:rPr>
        <w:t>. The Company shall (a) by the Disclosure Time, issue a press release disclosing the material pricing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Shareholder Rights Plan</w:t>
      </w:r>
      <w:r>
        <w:rPr>
          <w:rFonts w:ascii="Times New Roman" w:cs="Times New Roman" w:eastAsia="Times New Roman" w:hAnsi="Times New Roman"/>
          <w:sz w:val="17"/>
          <w:szCs w:val="17"/>
          <w:color w:val="auto"/>
        </w:rPr>
        <w:t>. No claim will be made or enforced by the Company or, with the consent of the Company, any other Person, that any Purchaser is an “</w:t>
      </w:r>
      <w:r>
        <w:rPr>
          <w:rFonts w:ascii="Times New Roman" w:cs="Times New Roman" w:eastAsia="Times New Roman" w:hAnsi="Times New Roman"/>
          <w:sz w:val="17"/>
          <w:szCs w:val="17"/>
          <w:u w:val="single" w:color="auto"/>
          <w:color w:val="auto"/>
        </w:rPr>
        <w:t>Acquiring Person</w:t>
      </w:r>
      <w:r>
        <w:rPr>
          <w:rFonts w:ascii="Times New Roman" w:cs="Times New Roman" w:eastAsia="Times New Roman" w:hAnsi="Times New Roman"/>
          <w:sz w:val="17"/>
          <w:szCs w:val="17"/>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8" w:name="page279"/>
    <w:bookmarkEnd w:id="278"/>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 Except with respect to the material pricing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4.7</w:t>
      </w:r>
      <w:r>
        <w:rPr>
          <w:rFonts w:ascii="Times New Roman" w:cs="Times New Roman" w:eastAsia="Times New Roman" w:hAnsi="Times New Roman"/>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Indemnification of Purchasers.</w:t>
      </w:r>
      <w:r>
        <w:rPr>
          <w:rFonts w:ascii="Times New Roman" w:cs="Times New Roman" w:eastAsia="Times New Roman" w:hAnsi="Times New Roman"/>
          <w:sz w:val="17"/>
          <w:szCs w:val="17"/>
          <w:color w:val="auto"/>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made by a Purchaser Party in this Agreement or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9" w:name="page280"/>
    <w:bookmarkEnd w:id="279"/>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Reservation of Common Stock</w:t>
      </w:r>
      <w:r>
        <w:rPr>
          <w:rFonts w:ascii="Times New Roman" w:cs="Times New Roman" w:eastAsia="Times New Roman" w:hAnsi="Times New Roman"/>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Listing of Common Stock</w:t>
      </w:r>
      <w:r>
        <w:rPr>
          <w:rFonts w:ascii="Times New Roman" w:cs="Times New Roman" w:eastAsia="Times New Roman" w:hAnsi="Times New Roman"/>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an annual or special meeting of stockholders on or prior to the date that is ninety (90) days following the Closing Date for the purpose of obtaining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 appointed proxyholders shall vote their proxies in favor of such proposals. If the Company does not obtain Stockholder Approval at the first meeting, the Company shall call a meeting every ninety (90) days thereafter to seek Stockholder Approval until the earlier of the date on which Stockholder Approval is obtained or the Common Warrants are no longer outstanding.]</w:t>
      </w:r>
      <w:r>
        <w:rPr>
          <w:rFonts w:ascii="Times New Roman" w:cs="Times New Roman" w:eastAsia="Times New Roman" w:hAnsi="Times New Roman"/>
          <w:sz w:val="28"/>
          <w:szCs w:val="28"/>
          <w:color w:val="auto"/>
          <w:vertAlign w:val="superscript"/>
        </w:rPr>
        <w:t>5</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4.11 [RESERVED]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3"/>
        <w:spacing w:after="0" w:line="268" w:lineRule="auto"/>
        <w:tabs>
          <w:tab w:leader="none" w:pos="242"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____ days following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the Prospectus or the filing a registration statement on Form S-8 in connection with any employee benefit plan.</w:t>
      </w:r>
    </w:p>
    <w:p>
      <w:pPr>
        <w:spacing w:after="0" w:line="165" w:lineRule="exact"/>
        <w:rPr>
          <w:rFonts w:ascii="Times New Roman" w:cs="Times New Roman" w:eastAsia="Times New Roman" w:hAnsi="Times New Roman"/>
          <w:sz w:val="17"/>
          <w:szCs w:val="17"/>
          <w:color w:val="auto"/>
        </w:rPr>
      </w:pPr>
    </w:p>
    <w:p>
      <w:pPr>
        <w:jc w:val="both"/>
        <w:ind w:firstLine="3"/>
        <w:spacing w:after="0" w:line="254" w:lineRule="auto"/>
        <w:tabs>
          <w:tab w:leader="none" w:pos="253"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the one (1)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7"/>
          <w:szCs w:val="17"/>
          <w:u w:val="single" w:color="auto"/>
          <w:color w:val="auto"/>
        </w:rPr>
        <w:t>Variable Rate Transaction</w:t>
      </w:r>
      <w:r>
        <w:rPr>
          <w:rFonts w:ascii="Times New Roman" w:cs="Times New Roman" w:eastAsia="Times New Roman" w:hAnsi="Times New Roman"/>
          <w:sz w:val="17"/>
          <w:szCs w:val="17"/>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the expiration of the prohibition period in Section 4.12(a) above, the entry into and/or issuance of shares of Common Stock in an “at-the-market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783080"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1" w:lineRule="exact"/>
        <w:rPr>
          <w:sz w:val="20"/>
          <w:szCs w:val="20"/>
          <w:color w:val="auto"/>
        </w:rPr>
      </w:pPr>
    </w:p>
    <w:p>
      <w:pPr>
        <w:ind w:left="320" w:hanging="317"/>
        <w:spacing w:after="0" w:line="198" w:lineRule="auto"/>
        <w:tabs>
          <w:tab w:leader="none" w:pos="320" w:val="left"/>
        </w:tabs>
        <w:numPr>
          <w:ilvl w:val="0"/>
          <w:numId w:val="19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Delete bracketed language if (i) the Per Share Purchase Price equals or exceeds the sum of (a) the applicable “Minimum Price” per share under Nasdaq rule 5635(d) and (b) $0.125 per whole Common Warrant Share or (ii) if the Offering is treated as a public offering under Nasdaq rule 5635.</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0" w:name="page281"/>
    <w:bookmarkEnd w:id="280"/>
    <w:p>
      <w:pPr>
        <w:ind w:firstLine="3"/>
        <w:spacing w:after="0" w:line="284" w:lineRule="auto"/>
        <w:tabs>
          <w:tab w:leader="none" w:pos="237"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this Section 4.12 shall not apply in respect of an Exempt Issuance, except that no Variable Rate Transaction shall be an Exempt Issuance.</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4.13 </w:t>
      </w:r>
      <w:r>
        <w:rPr>
          <w:rFonts w:ascii="Times New Roman" w:cs="Times New Roman" w:eastAsia="Times New Roman" w:hAnsi="Times New Roman"/>
          <w:sz w:val="17"/>
          <w:szCs w:val="17"/>
          <w:u w:val="single" w:color="auto"/>
          <w:color w:val="auto"/>
        </w:rPr>
        <w:t>Equal Treatment of Purchasers</w:t>
      </w:r>
      <w:r>
        <w:rPr>
          <w:rFonts w:ascii="Times New Roman" w:cs="Times New Roman" w:eastAsia="Times New Roman" w:hAnsi="Times New Roman"/>
          <w:sz w:val="17"/>
          <w:szCs w:val="17"/>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4.14 </w:t>
      </w: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1" w:name="page282"/>
    <w:bookmarkEnd w:id="281"/>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4.16 </w:t>
      </w:r>
      <w:r>
        <w:rPr>
          <w:rFonts w:ascii="Times New Roman" w:cs="Times New Roman" w:eastAsia="Times New Roman" w:hAnsi="Times New Roman"/>
          <w:sz w:val="17"/>
          <w:szCs w:val="17"/>
          <w:u w:val="single" w:color="auto"/>
          <w:color w:val="auto"/>
        </w:rPr>
        <w:t>Lock-Up Agreements</w:t>
      </w:r>
      <w:r>
        <w:rPr>
          <w:rFonts w:ascii="Times New Roman" w:cs="Times New Roman" w:eastAsia="Times New Roman" w:hAnsi="Times New Roman"/>
          <w:sz w:val="17"/>
          <w:szCs w:val="17"/>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Trading Day following the date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termination will affect the right of any party to sue for any breach by any other party (or parties).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Transaction Documents, together with the exhibits and schedules thereto, the Pricing Prospectus and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w:t>
      </w:r>
    </w:p>
    <w:p>
      <w:pPr>
        <w:jc w:val="both"/>
        <w:spacing w:after="0" w:line="220" w:lineRule="auto"/>
        <w:rPr>
          <w:sz w:val="20"/>
          <w:szCs w:val="20"/>
          <w:color w:val="auto"/>
        </w:rPr>
      </w:pPr>
      <w:r>
        <w:rPr>
          <w:rFonts w:ascii="Times New Roman" w:cs="Times New Roman" w:eastAsia="Times New Roman" w:hAnsi="Times New Roman"/>
          <w:sz w:val="17"/>
          <w:szCs w:val="17"/>
          <w:color w:val="auto"/>
        </w:rPr>
        <w:t>or later than 5:30 p.m. (New York City time) on any Trading Day, (c)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2" w:name="page283"/>
    <w:bookmarkEnd w:id="282"/>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Amendments; Waivers</w:t>
      </w:r>
      <w:r>
        <w:rPr>
          <w:rFonts w:ascii="Times New Roman" w:cs="Times New Roman" w:eastAsia="Times New Roman" w:hAnsi="Times New Roman"/>
          <w:sz w:val="17"/>
          <w:szCs w:val="17"/>
          <w:color w:val="auto"/>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herein are for convenience only, do not constitute a part of this Agreement and shall not be deemed to limit or affect any of the provisions hereof.</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The Placement Agent shall be the third party beneficiary of the representations and warranties of the Company in Section 3.1, the covenants of the Company in Article 4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3" w:name="page284"/>
    <w:bookmarkEnd w:id="283"/>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and the delivery of the Securities.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Execution</w:t>
      </w:r>
      <w:r>
        <w:rPr>
          <w:rFonts w:ascii="Times New Roman" w:cs="Times New Roman" w:eastAsia="Times New Roman" w:hAnsi="Times New Roman"/>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4" w:name="page285"/>
    <w:bookmarkEnd w:id="284"/>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Rescission and Withdrawal Right</w:t>
      </w:r>
      <w:r>
        <w:rPr>
          <w:rFonts w:ascii="Times New Roman" w:cs="Times New Roman" w:eastAsia="Times New Roman" w:hAnsi="Times New Roman"/>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u w:val="single" w:color="auto"/>
          <w:color w:val="auto"/>
        </w:rPr>
        <w:t>Replacement of Securities</w:t>
      </w:r>
      <w:r>
        <w:rPr>
          <w:rFonts w:ascii="Times New Roman" w:cs="Times New Roman" w:eastAsia="Times New Roman" w:hAnsi="Times New Roman"/>
          <w:sz w:val="17"/>
          <w:szCs w:val="17"/>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Payment Set Aside</w:t>
      </w:r>
      <w:r>
        <w:rPr>
          <w:rFonts w:ascii="Times New Roman" w:cs="Times New Roman" w:eastAsia="Times New Roman" w:hAnsi="Times New Roman"/>
          <w:sz w:val="17"/>
          <w:szCs w:val="17"/>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5" w:name="page286"/>
    <w:bookmarkEnd w:id="285"/>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Independent Nature of Purchasers’ Obligations and Rights</w:t>
      </w:r>
      <w:r>
        <w:rPr>
          <w:rFonts w:ascii="Times New Roman" w:cs="Times New Roman" w:eastAsia="Times New Roman" w:hAnsi="Times New Roman"/>
          <w:sz w:val="17"/>
          <w:szCs w:val="17"/>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[___]. [___]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5.18 </w:t>
      </w:r>
      <w:r>
        <w:rPr>
          <w:rFonts w:ascii="Times New Roman" w:cs="Times New Roman" w:eastAsia="Times New Roman" w:hAnsi="Times New Roman"/>
          <w:sz w:val="17"/>
          <w:szCs w:val="17"/>
          <w:u w:val="single" w:color="auto"/>
          <w:color w:val="auto"/>
        </w:rPr>
        <w:t>Liquidated Damages</w:t>
      </w:r>
      <w:r>
        <w:rPr>
          <w:rFonts w:ascii="Times New Roman" w:cs="Times New Roman" w:eastAsia="Times New Roman" w:hAnsi="Times New Roman"/>
          <w:sz w:val="17"/>
          <w:szCs w:val="17"/>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5.19 </w:t>
      </w: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5.20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 AGAINST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OTHER PARTY, THE PARTIES EACH KNOWINGLY AND INTENTIONALLY, TO THE GREATEST EXTENT PERMITTED BY APPLICABLE LAW, HEREBY ABSOLUTELY, UNCONDITIONALLY, IRREVOCABLY AND EXPRESSLY WAIVES FOREVER TRIAL BY JURY.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9305"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6" w:name="page287"/>
    <w:bookmarkEnd w:id="286"/>
    <w:p>
      <w:pPr>
        <w:spacing w:after="0" w:line="284" w:lineRule="auto"/>
        <w:rPr>
          <w:sz w:val="20"/>
          <w:szCs w:val="20"/>
          <w:color w:val="auto"/>
        </w:rPr>
      </w:pPr>
      <w:r>
        <w:rPr>
          <w:rFonts w:ascii="Times New Roman" w:cs="Times New Roman" w:eastAsia="Times New Roman" w:hAnsi="Times New Roman"/>
          <w:sz w:val="17"/>
          <w:szCs w:val="17"/>
          <w:color w:val="auto"/>
        </w:rPr>
        <w:t>IN WITNESS WHEREOF, the parties hereto have caused this Securities Purchase Agreement to be duly executed by their respective authorized signatories as of the date first indicated above.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CID HOLDCO, INC.</w:t>
            </w:r>
          </w:p>
        </w:tc>
        <w:tc>
          <w:tcPr>
            <w:tcW w:w="10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for Notice:</w:t>
            </w:r>
          </w:p>
        </w:tc>
        <w:tc>
          <w:tcPr>
            <w:tcW w:w="0" w:type="dxa"/>
            <w:vAlign w:val="bottom"/>
          </w:tcPr>
          <w:p>
            <w:pPr>
              <w:spacing w:after="0"/>
              <w:rPr>
                <w:sz w:val="1"/>
                <w:szCs w:val="1"/>
                <w:color w:val="auto"/>
              </w:rPr>
            </w:pPr>
          </w:p>
        </w:tc>
      </w:tr>
      <w:tr>
        <w:trPr>
          <w:trHeight w:val="434"/>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E-Mail:</w:t>
            </w:r>
          </w:p>
        </w:tc>
        <w:tc>
          <w:tcPr>
            <w:tcW w:w="31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30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Name:</w:t>
            </w:r>
          </w:p>
        </w:tc>
        <w:tc>
          <w:tcPr>
            <w:tcW w:w="106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1340" w:type="dxa"/>
            <w:vAlign w:val="bottom"/>
            <w:tcBorders>
              <w:top w:val="single" w:sz="8" w:color="auto"/>
            </w:tcBorders>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Title:</w:t>
            </w:r>
          </w:p>
        </w:tc>
        <w:tc>
          <w:tcPr>
            <w:tcW w:w="10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780" w:type="dxa"/>
            <w:vAlign w:val="bottom"/>
            <w:gridSpan w:val="4"/>
          </w:tcPr>
          <w:p>
            <w:pPr>
              <w:jc w:val="center"/>
              <w:ind w:right="3460"/>
              <w:spacing w:after="0"/>
              <w:rPr>
                <w:sz w:val="20"/>
                <w:szCs w:val="20"/>
                <w:color w:val="auto"/>
              </w:rPr>
            </w:pPr>
            <w:r>
              <w:rPr>
                <w:rFonts w:ascii="Times New Roman" w:cs="Times New Roman" w:eastAsia="Times New Roman" w:hAnsi="Times New Roman"/>
                <w:sz w:val="17"/>
                <w:szCs w:val="17"/>
                <w:color w:val="auto"/>
                <w:w w:val="99"/>
              </w:rPr>
              <w:t>[REMAINDER OF PAGE INTENTIONALLY LEFT BLANK</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780" w:type="dxa"/>
            <w:vAlign w:val="bottom"/>
            <w:gridSpan w:val="4"/>
          </w:tcPr>
          <w:p>
            <w:pPr>
              <w:jc w:val="center"/>
              <w:ind w:right="3460"/>
              <w:spacing w:after="0"/>
              <w:rPr>
                <w:sz w:val="20"/>
                <w:szCs w:val="20"/>
                <w:color w:val="auto"/>
              </w:rPr>
            </w:pPr>
            <w:r>
              <w:rPr>
                <w:rFonts w:ascii="Times New Roman" w:cs="Times New Roman" w:eastAsia="Times New Roman" w:hAnsi="Times New Roman"/>
                <w:sz w:val="17"/>
                <w:szCs w:val="17"/>
                <w:color w:val="auto"/>
                <w:w w:val="99"/>
              </w:rPr>
              <w:t>SIGNATURE PAGE FOR PURCHASER FOLLOWS]</w:t>
            </w:r>
          </w:p>
        </w:tc>
        <w:tc>
          <w:tcPr>
            <w:tcW w:w="0" w:type="dxa"/>
            <w:vAlign w:val="bottom"/>
          </w:tcPr>
          <w:p>
            <w:pPr>
              <w:spacing w:after="0"/>
              <w:rPr>
                <w:sz w:val="1"/>
                <w:szCs w:val="1"/>
                <w:color w:val="auto"/>
              </w:rPr>
            </w:pPr>
          </w:p>
        </w:tc>
      </w:tr>
      <w:tr>
        <w:trPr>
          <w:trHeight w:val="646"/>
        </w:trPr>
        <w:tc>
          <w:tcPr>
            <w:tcW w:w="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7"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7"/>
          <w:szCs w:val="17"/>
          <w:color w:val="auto"/>
        </w:rPr>
        <w:t>[PURCHASER SIGNATURE PAGES TO DAIC SECURITIES PURCHASE AGREEMENT]</w:t>
      </w:r>
    </w:p>
    <w:p>
      <w:pPr>
        <w:spacing w:after="0" w:line="215"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IN WITNESS WHEREOF, the undersigned have caused this Securities Purchase Agreement to be duly executed by their respective authorized signatories as of the date first indicated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Purchaser: ________________________________________________________</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Purchaser</w:t>
      </w:r>
      <w:r>
        <w:rPr>
          <w:rFonts w:ascii="Times New Roman" w:cs="Times New Roman" w:eastAsia="Times New Roman" w:hAnsi="Times New Roman"/>
          <w:sz w:val="17"/>
          <w:szCs w:val="17"/>
          <w:color w:val="auto"/>
        </w:rPr>
        <w:t>: _________________________________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 _______________________________________________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 ________________________________________________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 of Authorized Signatory:_________________________________________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for Delivery of Warrants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Amount: $_________________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Pre-Funded Warrants: _______________ Beneficial Ownership Blocker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4.99% or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9.99%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Common Warrants: _____________ Beneficial Ownership Blocker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4.99% or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9.99%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EIN Number: _______________________</w:t>
      </w:r>
    </w:p>
    <w:p>
      <w:pPr>
        <w:spacing w:after="0" w:line="215" w:lineRule="exact"/>
        <w:rPr>
          <w:sz w:val="20"/>
          <w:szCs w:val="20"/>
          <w:color w:val="auto"/>
        </w:rPr>
      </w:pPr>
    </w:p>
    <w:p>
      <w:pPr>
        <w:jc w:val="both"/>
        <w:ind w:firstLine="3"/>
        <w:spacing w:after="0" w:line="262" w:lineRule="auto"/>
        <w:tabs>
          <w:tab w:leader="none" w:pos="201" w:val="left"/>
        </w:tabs>
        <w:numPr>
          <w:ilvl w:val="0"/>
          <w:numId w:val="19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shall be unconditional and all conditions to Closing shall be disregarded, (ii) the Closing shall occur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Trading Day following the date of this Agreement (or the second (2nd) Trading Day following the date of this Agreement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9305"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7"/>
          <w:szCs w:val="17"/>
          <w:color w:val="auto"/>
        </w:rPr>
        <w:t>Schedule 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407035</wp:posOffset>
            </wp:positionV>
            <wp:extent cx="7139305"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consent to the use in this Registration Statement on Form S-1 of CID HoldCo, Inc. of our report dated May 15, 2024, except for Note 10, as to which the date is July 1, 2024, relating to the financial statements of SEE ID, Inc., appearing in the Prospectus, which is part of this Registration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such Prospectus.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Wolf &amp; Company, P.C.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28, 2026</w:t>
      </w:r>
    </w:p>
    <w:p>
      <w:pPr>
        <w:sectPr>
          <w:pgSz w:w="11900" w:h="16838" w:orient="portrait"/>
          <w:cols w:equalWidth="0" w:num="1">
            <w:col w:w="11240"/>
          </w:cols>
          <w:pgMar w:left="320" w:top="119"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198995" cy="1408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7198995" cy="140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consent to the use in the Registration Statement on Form S-1 of CID Holdco, Inc. of our report dated June 25, 2025, with respect to our audit of the consolidated financial statements of See ID, Inc. dba Dot Ai (the “Company”) as of December 31, 2024 and for the year then ended, which included an explanatory paragraph as to the Company’s ability to continue as a going concern, which appears in the Prospectus and which is also a part of this Registration Statement.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the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Berkowitz Pollack Brant Advisors + CPAs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Number: 52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135890</wp:posOffset>
            </wp:positionV>
            <wp:extent cx="6536690" cy="407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6536690" cy="4070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21"/>
          <w:szCs w:val="21"/>
          <w:b w:val="1"/>
          <w:bCs w:val="1"/>
          <w:color w:val="auto"/>
        </w:rPr>
        <w:t>Ex-Filing Fees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CALCULATION OF FILING FEE TABLES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CID HoldCo,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1393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166370</wp:posOffset>
            </wp:positionV>
            <wp:extent cx="71393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Table 1: Newly Registered and Carry Forward Securities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vMerge w:val="restart"/>
          </w:tcPr>
          <w:p>
            <w:pPr>
              <w:spacing w:after="0"/>
              <w:rPr>
                <w:sz w:val="12"/>
                <w:szCs w:val="12"/>
                <w:color w:val="auto"/>
              </w:rPr>
            </w:pPr>
          </w:p>
        </w:tc>
        <w:tc>
          <w:tcPr>
            <w:tcW w:w="1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20" w:type="dxa"/>
            <w:vAlign w:val="bottom"/>
            <w:vMerge w:val="restart"/>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Calculation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Registration</w:t>
            </w:r>
          </w:p>
        </w:tc>
        <w:tc>
          <w:tcPr>
            <w:tcW w:w="0" w:type="dxa"/>
            <w:vAlign w:val="bottom"/>
          </w:tcPr>
          <w:p>
            <w:pPr>
              <w:spacing w:after="0"/>
              <w:rPr>
                <w:sz w:val="1"/>
                <w:szCs w:val="1"/>
                <w:color w:val="auto"/>
              </w:rPr>
            </w:pPr>
          </w:p>
        </w:tc>
      </w:tr>
      <w:tr>
        <w:trPr>
          <w:trHeight w:val="165"/>
        </w:trPr>
        <w:tc>
          <w:tcPr>
            <w:tcW w:w="1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Rule</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gridSpan w:val="8"/>
          </w:tcPr>
          <w:p>
            <w:pPr>
              <w:ind w:left="1560"/>
              <w:spacing w:after="0"/>
              <w:rPr>
                <w:sz w:val="20"/>
                <w:szCs w:val="20"/>
                <w:color w:val="auto"/>
              </w:rPr>
            </w:pPr>
            <w:r>
              <w:rPr>
                <w:rFonts w:ascii="Times New Roman" w:cs="Times New Roman" w:eastAsia="Times New Roman" w:hAnsi="Times New Roman"/>
                <w:sz w:val="17"/>
                <w:szCs w:val="17"/>
                <w:i w:val="1"/>
                <w:iCs w:val="1"/>
                <w:color w:val="auto"/>
              </w:rPr>
              <w:t>Newly Registered Securities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457(o)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3"/>
          </w:tcPr>
          <w:p>
            <w:pPr>
              <w:jc w:val="right"/>
              <w:ind w:right="49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1,381.00</w:t>
            </w: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Pre-funded Warrants to</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common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457(o)</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underlying the Pre-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funded Warrants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A-1 Warrants to</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common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457(o)</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1,381.00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underlying the Series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A-1 Warrants to</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common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A-2 Warrants to</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common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457(o)</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1,381.00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underlying the Series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A-2 Warrants to</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common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Placement Agent</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 to purchase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457(o)</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3"/>
          </w:tcPr>
          <w:p>
            <w:pPr>
              <w:jc w:val="right"/>
              <w:ind w:right="49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812,500.00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0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underlying the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Placement Agent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 to purchase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84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Total Offering Amounts:</w:t>
            </w: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40" w:type="dxa"/>
            <w:vAlign w:val="bottom"/>
            <w:gridSpan w:val="5"/>
            <w:vMerge w:val="continue"/>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30,812,500.00</w:t>
            </w:r>
          </w:p>
        </w:tc>
        <w:tc>
          <w:tcPr>
            <w:tcW w:w="1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4,255.21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gridSpan w:val="7"/>
          </w:tcPr>
          <w:p>
            <w:pPr>
              <w:jc w:val="right"/>
              <w:ind w:right="100"/>
              <w:spacing w:after="0"/>
              <w:rPr>
                <w:sz w:val="20"/>
                <w:szCs w:val="20"/>
                <w:color w:val="auto"/>
              </w:rPr>
            </w:pPr>
            <w:r>
              <w:rPr>
                <w:rFonts w:ascii="Times New Roman" w:cs="Times New Roman" w:eastAsia="Times New Roman" w:hAnsi="Times New Roman"/>
                <w:sz w:val="17"/>
                <w:szCs w:val="17"/>
                <w:color w:val="auto"/>
              </w:rPr>
              <w:t>Total Fees Previously Paid: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Total Fee Offsets: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w w:val="99"/>
              </w:rPr>
              <w:t>Net Fee Due: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4,255.21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73" w:lineRule="exact"/>
        <w:rPr>
          <w:sz w:val="20"/>
          <w:szCs w:val="20"/>
          <w:color w:val="auto"/>
        </w:rPr>
      </w:pPr>
    </w:p>
    <w:p>
      <w:pPr>
        <w:ind w:left="340" w:hanging="280"/>
        <w:spacing w:after="0" w:line="284" w:lineRule="auto"/>
        <w:tabs>
          <w:tab w:leader="none" w:pos="34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152" w:lineRule="exact"/>
        <w:rPr>
          <w:rFonts w:ascii="Times New Roman" w:cs="Times New Roman" w:eastAsia="Times New Roman" w:hAnsi="Times New Roman"/>
          <w:sz w:val="17"/>
          <w:szCs w:val="17"/>
          <w:color w:val="auto"/>
        </w:rPr>
      </w:pPr>
    </w:p>
    <w:p>
      <w:pPr>
        <w:jc w:val="both"/>
        <w:ind w:left="34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 under the Securities Act, this Registration Statement shall also cover additional shares of common stock, par value $0.0001 per share, of CID HoldCo, Inc. (the “Company”), which may become issuable by reason of any stock split, stock dividend, recapitalization or other similar transaction effected without consideration which results in an increase in the number of the Company’s outstanding shares of common stock.</w:t>
      </w:r>
    </w:p>
    <w:p>
      <w:pPr>
        <w:spacing w:after="0" w:line="63" w:lineRule="exact"/>
        <w:rPr>
          <w:rFonts w:ascii="Times New Roman" w:cs="Times New Roman" w:eastAsia="Times New Roman" w:hAnsi="Times New Roman"/>
          <w:sz w:val="17"/>
          <w:szCs w:val="17"/>
          <w:color w:val="auto"/>
        </w:rPr>
      </w:pPr>
    </w:p>
    <w:p>
      <w:pPr>
        <w:ind w:left="340" w:hanging="280"/>
        <w:spacing w:after="0" w:line="284" w:lineRule="auto"/>
        <w:tabs>
          <w:tab w:leader="none" w:pos="34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152" w:lineRule="exact"/>
        <w:rPr>
          <w:rFonts w:ascii="Times New Roman" w:cs="Times New Roman" w:eastAsia="Times New Roman" w:hAnsi="Times New Roman"/>
          <w:sz w:val="17"/>
          <w:szCs w:val="17"/>
          <w:color w:val="auto"/>
        </w:rPr>
      </w:pPr>
    </w:p>
    <w:p>
      <w:pPr>
        <w:jc w:val="both"/>
        <w:ind w:left="3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aggregate offering price of the common stock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common stock issued in the offering. Accordingly, the proposed maximum aggregate offering price of the common stock and pre-funded warrants (including the common stock issuable upon exercise of the pre-funded warrants), if any, is $10,000,000.</w:t>
      </w:r>
    </w:p>
    <w:p>
      <w:pPr>
        <w:spacing w:after="0" w:line="277" w:lineRule="exact"/>
        <w:rPr>
          <w:rFonts w:ascii="Times New Roman" w:cs="Times New Roman" w:eastAsia="Times New Roman" w:hAnsi="Times New Roman"/>
          <w:sz w:val="17"/>
          <w:szCs w:val="17"/>
          <w:color w:val="auto"/>
        </w:rPr>
      </w:pPr>
    </w:p>
    <w:p>
      <w:pPr>
        <w:ind w:left="340" w:hanging="280"/>
        <w:spacing w:after="0" w:line="284" w:lineRule="auto"/>
        <w:tabs>
          <w:tab w:leader="none" w:pos="34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152" w:lineRule="exact"/>
        <w:rPr>
          <w:rFonts w:ascii="Times New Roman" w:cs="Times New Roman" w:eastAsia="Times New Roman" w:hAnsi="Times New Roman"/>
          <w:sz w:val="17"/>
          <w:szCs w:val="17"/>
          <w:color w:val="auto"/>
        </w:rPr>
      </w:pPr>
    </w:p>
    <w:p>
      <w:pPr>
        <w:jc w:val="both"/>
        <w:ind w:left="3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aggregate offering price of the common stock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common stock issued in the offering. Accordingly, the proposed maximum aggregate offering price of the common stock and pre-funded warrants (including the common stock issuable upon exercise of the pre-funded warrants), if any, is $10,000,000.</w:t>
      </w:r>
    </w:p>
    <w:p>
      <w:pPr>
        <w:spacing w:after="0" w:line="277" w:lineRule="exact"/>
        <w:rPr>
          <w:rFonts w:ascii="Times New Roman" w:cs="Times New Roman" w:eastAsia="Times New Roman" w:hAnsi="Times New Roman"/>
          <w:sz w:val="17"/>
          <w:szCs w:val="17"/>
          <w:color w:val="auto"/>
        </w:rPr>
      </w:pPr>
    </w:p>
    <w:p>
      <w:pPr>
        <w:ind w:left="340" w:hanging="280"/>
        <w:spacing w:after="0" w:line="284" w:lineRule="auto"/>
        <w:tabs>
          <w:tab w:leader="none" w:pos="34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152"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separate registration fee is payable pursuant to Rule 457(g) under the Securities Act.</w:t>
      </w:r>
    </w:p>
    <w:p>
      <w:pPr>
        <w:sectPr>
          <w:pgSz w:w="11900" w:h="16838" w:orient="portrait"/>
          <w:cols w:equalWidth="0" w:num="1">
            <w:col w:w="11240"/>
          </w:cols>
          <w:pgMar w:left="320" w:top="110" w:right="339" w:bottom="0" w:gutter="0" w:footer="0" w:header="0"/>
        </w:sectPr>
      </w:pPr>
    </w:p>
    <w:bookmarkStart w:id="292" w:name="page293"/>
    <w:bookmarkEnd w:id="292"/>
    <w:p>
      <w:pPr>
        <w:ind w:left="280" w:hanging="280"/>
        <w:spacing w:after="0" w:line="284" w:lineRule="auto"/>
        <w:tabs>
          <w:tab w:leader="none" w:pos="2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50" w:lineRule="exact"/>
        <w:rPr>
          <w:rFonts w:ascii="Times New Roman" w:cs="Times New Roman" w:eastAsia="Times New Roman" w:hAnsi="Times New Roman"/>
          <w:sz w:val="17"/>
          <w:szCs w:val="17"/>
          <w:color w:val="auto"/>
        </w:rPr>
      </w:pPr>
    </w:p>
    <w:p>
      <w:pPr>
        <w:ind w:left="280" w:hanging="280"/>
        <w:spacing w:after="0" w:line="284" w:lineRule="auto"/>
        <w:tabs>
          <w:tab w:leader="none" w:pos="2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152" w:lineRule="exact"/>
        <w:rPr>
          <w:rFonts w:ascii="Times New Roman" w:cs="Times New Roman" w:eastAsia="Times New Roman" w:hAnsi="Times New Roman"/>
          <w:sz w:val="17"/>
          <w:szCs w:val="17"/>
          <w:color w:val="auto"/>
        </w:rPr>
      </w:pPr>
    </w:p>
    <w:p>
      <w:pPr>
        <w:ind w:left="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separate registration fee is payable pursuant to Rule 457(g) under the Securities Act.</w:t>
      </w:r>
    </w:p>
    <w:p>
      <w:pPr>
        <w:spacing w:after="0" w:line="112" w:lineRule="exact"/>
        <w:rPr>
          <w:rFonts w:ascii="Times New Roman" w:cs="Times New Roman" w:eastAsia="Times New Roman" w:hAnsi="Times New Roman"/>
          <w:sz w:val="17"/>
          <w:szCs w:val="17"/>
          <w:color w:val="auto"/>
        </w:rPr>
      </w:pPr>
    </w:p>
    <w:p>
      <w:pPr>
        <w:ind w:left="280" w:hanging="280"/>
        <w:spacing w:after="0" w:line="284" w:lineRule="auto"/>
        <w:tabs>
          <w:tab w:leader="none" w:pos="2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50" w:lineRule="exact"/>
        <w:rPr>
          <w:rFonts w:ascii="Times New Roman" w:cs="Times New Roman" w:eastAsia="Times New Roman" w:hAnsi="Times New Roman"/>
          <w:sz w:val="17"/>
          <w:szCs w:val="17"/>
          <w:color w:val="auto"/>
        </w:rPr>
      </w:pPr>
    </w:p>
    <w:p>
      <w:pPr>
        <w:ind w:left="280" w:hanging="280"/>
        <w:spacing w:after="0" w:line="284" w:lineRule="auto"/>
        <w:tabs>
          <w:tab w:leader="none" w:pos="2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p>
      <w:pPr>
        <w:spacing w:after="0" w:line="152" w:lineRule="exact"/>
        <w:rPr>
          <w:rFonts w:ascii="Times New Roman" w:cs="Times New Roman" w:eastAsia="Times New Roman" w:hAnsi="Times New Roman"/>
          <w:sz w:val="17"/>
          <w:szCs w:val="17"/>
          <w:color w:val="auto"/>
        </w:rPr>
      </w:pPr>
    </w:p>
    <w:p>
      <w:pPr>
        <w:ind w:left="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separate registration fee is payable pursuant to Rule 457(g) under the Securities Act.</w:t>
      </w:r>
    </w:p>
    <w:p>
      <w:pPr>
        <w:spacing w:after="0" w:line="214" w:lineRule="exact"/>
        <w:rPr>
          <w:rFonts w:ascii="Times New Roman" w:cs="Times New Roman" w:eastAsia="Times New Roman" w:hAnsi="Times New Roman"/>
          <w:sz w:val="17"/>
          <w:szCs w:val="17"/>
          <w:color w:val="auto"/>
        </w:rPr>
      </w:pPr>
    </w:p>
    <w:p>
      <w:pPr>
        <w:jc w:val="both"/>
        <w:ind w:left="28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warrants issuable to the placement agent, or its designees, to purchase a number of shares of common stock equal to 6.5% of the aggregate number of shares of common stock and pre-funded warrants being offered in this offering, at an exercise price equal to 125% of the combined public offering price per share of common stock and accompanying warrants. As estimated solely for the purpose of calculating the registration fee pursuant to Rule 457(o) under the Securities Act, the proposed maximum aggregate offering price is $812,500, which is equal to 125% of $650,000 (6.5% of $10,000,000).</w:t>
      </w:r>
    </w:p>
    <w:p>
      <w:pPr>
        <w:spacing w:after="0" w:line="69" w:lineRule="exact"/>
        <w:rPr>
          <w:rFonts w:ascii="Times New Roman" w:cs="Times New Roman" w:eastAsia="Times New Roman" w:hAnsi="Times New Roman"/>
          <w:sz w:val="17"/>
          <w:szCs w:val="17"/>
          <w:color w:val="auto"/>
        </w:rPr>
      </w:pPr>
    </w:p>
    <w:p>
      <w:pPr>
        <w:ind w:left="280" w:hanging="280"/>
        <w:spacing w:after="0" w:line="284" w:lineRule="auto"/>
        <w:tabs>
          <w:tab w:leader="none" w:pos="2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amount of the registration fee pursuant to Rule 457(o) under the Securities Act of 1933, as amended (the “Securities Act”).</w:t>
      </w:r>
    </w:p>
    <w:sectPr>
      <w:pgSz w:w="11900" w:h="16838" w:orient="portrait"/>
      <w:cols w:equalWidth="0" w:num="1">
        <w:col w:w="11180"/>
      </w:cols>
      <w:pgMar w:left="38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D5E18F8"/>
    <w:multiLevelType w:val="hybridMultilevel"/>
    <w:lvl w:ilvl="0">
      <w:lvlJc w:val="left"/>
      <w:lvlText w:val="(%1)"/>
      <w:numFmt w:val="lowerRoman"/>
      <w:start w:val="1"/>
    </w:lvl>
  </w:abstractNum>
  <w:abstractNum w:abstractNumId="1">
    <w:nsid w:val="5F3534A4"/>
    <w:multiLevelType w:val="hybridMultilevel"/>
    <w:lvl w:ilvl="0">
      <w:lvlJc w:val="left"/>
      <w:lvlText w:val="(%1)"/>
      <w:numFmt w:val="decimal"/>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2">
    <w:nsid w:val="415E286C"/>
    <w:multiLevelType w:val="hybridMultilevel"/>
    <w:lvl w:ilvl="0">
      <w:lvlJc w:val="left"/>
      <w:lvlText w:val="\emdash "/>
      <w:numFmt w:val="bullet"/>
      <w:start w:val="1"/>
    </w:lvl>
  </w:abstractNum>
  <w:abstractNum w:abstractNumId="23">
    <w:nsid w:val="7C58FD05"/>
    <w:multiLevelType w:val="hybridMultilevel"/>
    <w:lvl w:ilvl="0">
      <w:lvlJc w:val="left"/>
      <w:lvlText w:val="%1."/>
      <w:numFmt w:val="decimal"/>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1)"/>
      <w:numFmt w:val="decimal"/>
      <w:start w:val="1"/>
    </w:lvl>
  </w:abstractNum>
  <w:abstractNum w:abstractNumId="27">
    <w:nsid w:val="E7FFA2B"/>
    <w:multiLevelType w:val="hybridMultilevel"/>
    <w:lvl w:ilvl="0">
      <w:lvlJc w:val="left"/>
      <w:lvlText w:val="\emdash "/>
      <w:numFmt w:val="bullet"/>
      <w:start w:val="1"/>
    </w:lvl>
  </w:abstractNum>
  <w:abstractNum w:abstractNumId="28">
    <w:nsid w:val="3C5991AA"/>
    <w:multiLevelType w:val="hybridMultilevel"/>
    <w:lvl w:ilvl="0">
      <w:lvlJc w:val="left"/>
      <w:lvlText w:val="\emdash "/>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
      <w:numFmt w:val="bullet"/>
      <w:start w:val="1"/>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1)"/>
      <w:numFmt w:val="decimal"/>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1)"/>
      <w:numFmt w:val="decimal"/>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1)"/>
      <w:numFmt w:val="decimal"/>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1)"/>
      <w:numFmt w:val="decimal"/>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1)"/>
      <w:numFmt w:val="lowerRoman"/>
      <w:start w:val="7"/>
    </w:lvl>
  </w:abstractNum>
  <w:abstractNum w:abstractNumId="48">
    <w:nsid w:val="34FD6B4F"/>
    <w:multiLevelType w:val="hybridMultilevel"/>
    <w:lvl w:ilvl="0">
      <w:lvlJc w:val="left"/>
      <w:lvlText w:val="●"/>
      <w:numFmt w:val="bullet"/>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
      <w:numFmt w:val="bullet"/>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
      <w:numFmt w:val="bullet"/>
      <w:start w:val="1"/>
    </w:lvl>
  </w:abstractNum>
  <w:abstractNum w:abstractNumId="55">
    <w:nsid w:val="5046B5A9"/>
    <w:multiLevelType w:val="hybridMultilevel"/>
    <w:lvl w:ilvl="0">
      <w:lvlJc w:val="left"/>
      <w:lvlText w:val="%1)"/>
      <w:numFmt w:val="lowerLetter"/>
      <w:start w:val="1"/>
    </w:lvl>
  </w:abstractNum>
  <w:abstractNum w:abstractNumId="56">
    <w:nsid w:val="5D888A08"/>
    <w:multiLevelType w:val="hybridMultilevel"/>
    <w:lvl w:ilvl="0">
      <w:lvlJc w:val="left"/>
      <w:lvlText w:val="%1"/>
      <w:numFmt w:val="decimal"/>
      <w:start w:val="581"/>
    </w:lvl>
  </w:abstractNum>
  <w:abstractNum w:abstractNumId="57">
    <w:nsid w:val="2A082C70"/>
    <w:multiLevelType w:val="hybridMultilevel"/>
    <w:lvl w:ilvl="0">
      <w:lvlJc w:val="left"/>
      <w:lvlText w:val="%1)"/>
      <w:numFmt w:val="lowerLetter"/>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
      <w:numFmt w:val="bullet"/>
      <w:start w:val="1"/>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
      <w:numFmt w:val="bullet"/>
      <w:start w:val="1"/>
    </w:lvl>
  </w:abstractNum>
  <w:abstractNum w:abstractNumId="63">
    <w:nsid w:val="20EE1348"/>
    <w:multiLevelType w:val="hybridMultilevel"/>
    <w:lvl w:ilvl="0">
      <w:lvlJc w:val="left"/>
      <w:lvlText w:val="$"/>
      <w:numFmt w:val="bullet"/>
      <w:start w:val="1"/>
    </w:lvl>
  </w:abstractNum>
  <w:abstractNum w:abstractNumId="64">
    <w:nsid w:val="4427069A"/>
    <w:multiLevelType w:val="hybridMultilevel"/>
    <w:lvl w:ilvl="0">
      <w:lvlJc w:val="left"/>
      <w:lvlText w:val="$"/>
      <w:numFmt w:val="bullet"/>
      <w:start w:val="1"/>
    </w:lvl>
  </w:abstractNum>
  <w:abstractNum w:abstractNumId="65">
    <w:nsid w:val="B37E80A"/>
    <w:multiLevelType w:val="hybridMultilevel"/>
    <w:lvl w:ilvl="0">
      <w:lvlJc w:val="left"/>
      <w:lvlText w:val="*"/>
      <w:numFmt w:val="bullet"/>
      <w:start w:val="1"/>
    </w:lvl>
  </w:abstractNum>
  <w:abstractNum w:abstractNumId="66">
    <w:nsid w:val="2157F6BC"/>
    <w:multiLevelType w:val="hybridMultilevel"/>
    <w:lvl w:ilvl="0">
      <w:lvlJc w:val="left"/>
      <w:lvlText w:val="**"/>
      <w:numFmt w:val="bullet"/>
      <w:start w:val="1"/>
    </w:lvl>
  </w:abstractNum>
  <w:abstractNum w:abstractNumId="67">
    <w:nsid w:val="704E1DD5"/>
    <w:multiLevelType w:val="hybridMultilevel"/>
    <w:lvl w:ilvl="0">
      <w:lvlJc w:val="left"/>
      <w:lvlText w:val="***"/>
      <w:numFmt w:val="bullet"/>
      <w:start w:val="1"/>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1"/>
      <w:numFmt w:val="decimal"/>
      <w:start w:val="104"/>
    </w:lvl>
  </w:abstractNum>
  <w:abstractNum w:abstractNumId="70">
    <w:nsid w:val="E3E47A8"/>
    <w:multiLevelType w:val="hybridMultilevel"/>
    <w:lvl w:ilvl="0">
      <w:lvlJc w:val="left"/>
      <w:lvlText w:val="*"/>
      <w:numFmt w:val="bullet"/>
      <w:start w:val="1"/>
    </w:lvl>
  </w:abstractNum>
  <w:abstractNum w:abstractNumId="71">
    <w:nsid w:val="2E48F044"/>
    <w:multiLevelType w:val="hybridMultilevel"/>
    <w:lvl w:ilvl="0">
      <w:lvlJc w:val="left"/>
      <w:lvlText w:val="+"/>
      <w:numFmt w:val="bullet"/>
      <w:start w:val="1"/>
    </w:lvl>
  </w:abstractNum>
  <w:abstractNum w:abstractNumId="72">
    <w:nsid w:val="49D0FEAC"/>
    <w:multiLevelType w:val="hybridMultilevel"/>
    <w:lvl w:ilvl="0">
      <w:lvlJc w:val="left"/>
      <w:lvlText w:val="(%1)"/>
      <w:numFmt w:val="lowerRoman"/>
      <w:start w:val="1"/>
    </w:lvl>
  </w:abstractNum>
  <w:abstractNum w:abstractNumId="73">
    <w:nsid w:val="4BEE5A5B"/>
    <w:multiLevelType w:val="hybridMultilevel"/>
    <w:lvl w:ilvl="0">
      <w:lvlJc w:val="left"/>
      <w:lvlText w:val="(%1)"/>
      <w:numFmt w:val="lowerRoman"/>
      <w:start w:val="3"/>
    </w:lvl>
  </w:abstractNum>
  <w:abstractNum w:abstractNumId="74">
    <w:nsid w:val="5551B9F3"/>
    <w:multiLevelType w:val="hybridMultilevel"/>
    <w:lvl w:ilvl="0">
      <w:lvlJc w:val="left"/>
      <w:lvlText w:val="(%1)"/>
      <w:numFmt w:val="lowerRoman"/>
      <w:start w:val="1"/>
    </w:lvl>
  </w:abstractNum>
  <w:abstractNum w:abstractNumId="75">
    <w:nsid w:val="24F6AB8E"/>
    <w:multiLevelType w:val="hybridMultilevel"/>
    <w:lvl w:ilvl="0">
      <w:lvlJc w:val="left"/>
      <w:lvlText w:val="1"/>
      <w:numFmt w:val="bullet"/>
      <w:start w:val="1"/>
    </w:lvl>
  </w:abstractNum>
  <w:abstractNum w:abstractNumId="76">
    <w:nsid w:val="634C574C"/>
    <w:multiLevelType w:val="hybridMultilevel"/>
    <w:lvl w:ilvl="0">
      <w:lvlJc w:val="left"/>
      <w:lvlText w:val="2"/>
      <w:numFmt w:val="bullet"/>
      <w:start w:val="1"/>
    </w:lvl>
  </w:abstractNum>
  <w:abstractNum w:abstractNumId="77">
    <w:nsid w:val="24E99DD7"/>
    <w:multiLevelType w:val="hybridMultilevel"/>
    <w:lvl w:ilvl="0">
      <w:lvlJc w:val="left"/>
      <w:lvlText w:val="%1)"/>
      <w:numFmt w:val="lowerLetter"/>
      <w:start w:val="1"/>
    </w:lvl>
  </w:abstractNum>
  <w:abstractNum w:abstractNumId="78">
    <w:nsid w:val="2A31B62D"/>
    <w:multiLevelType w:val="hybridMultilevel"/>
    <w:lvl w:ilvl="0">
      <w:lvlJc w:val="left"/>
      <w:lvlText w:val="(%1)"/>
      <w:numFmt w:val="upperLetter"/>
      <w:start w:val="1"/>
    </w:lvl>
  </w:abstractNum>
  <w:abstractNum w:abstractNumId="79">
    <w:nsid w:val="1849C29B"/>
    <w:multiLevelType w:val="hybridMultilevel"/>
    <w:lvl w:ilvl="0">
      <w:lvlJc w:val="left"/>
      <w:lvlText w:val="(%1)"/>
      <w:numFmt w:val="upperLetter"/>
      <w:start w:val="24"/>
    </w:lvl>
  </w:abstractNum>
  <w:abstractNum w:abstractNumId="80">
    <w:nsid w:val="7DFF9D09"/>
    <w:multiLevelType w:val="hybridMultilevel"/>
    <w:lvl w:ilvl="0">
      <w:lvlJc w:val="left"/>
      <w:lvlText w:val="%1)"/>
      <w:numFmt w:val="lowerLetter"/>
      <w:start w:val="4"/>
    </w:lvl>
    <w:lvl w:ilvl="1">
      <w:lvlJc w:val="left"/>
      <w:lvlText w:val="%2."/>
      <w:numFmt w:val="lowerRoman"/>
      <w:start w:val="1"/>
    </w:lvl>
  </w:abstractNum>
  <w:abstractNum w:abstractNumId="81">
    <w:nsid w:val="754342"/>
    <w:multiLevelType w:val="hybridMultilevel"/>
    <w:lvl w:ilvl="0">
      <w:lvlJc w:val="left"/>
      <w:lvlText w:val="%1."/>
      <w:numFmt w:val="lowerRoman"/>
      <w:start w:val="2"/>
    </w:lvl>
  </w:abstractNum>
  <w:abstractNum w:abstractNumId="82">
    <w:nsid w:val="69E7F3E5"/>
    <w:multiLevelType w:val="hybridMultilevel"/>
    <w:lvl w:ilvl="0">
      <w:lvlJc w:val="left"/>
      <w:lvlText w:val="%1."/>
      <w:numFmt w:val="lowerRoman"/>
      <w:start w:val="4"/>
    </w:lvl>
  </w:abstractNum>
  <w:abstractNum w:abstractNumId="83">
    <w:nsid w:val="2A6DE806"/>
    <w:multiLevelType w:val="hybridMultilevel"/>
    <w:lvl w:ilvl="0">
      <w:lvlJc w:val="left"/>
      <w:lvlText w:val="%1"/>
      <w:numFmt w:val="lowerLetter"/>
      <w:start w:val="1"/>
    </w:lvl>
    <w:lvl w:ilvl="1">
      <w:lvlJc w:val="left"/>
      <w:lvlText w:val="%2."/>
      <w:numFmt w:val="lowerRoman"/>
      <w:start w:val="7"/>
    </w:lvl>
  </w:abstractNum>
  <w:abstractNum w:abstractNumId="84">
    <w:nsid w:val="1816F8C4"/>
    <w:multiLevelType w:val="hybridMultilevel"/>
    <w:lvl w:ilvl="0">
      <w:lvlJc w:val="left"/>
      <w:lvlText w:val="%1)"/>
      <w:numFmt w:val="lowerLetter"/>
      <w:start w:val="5"/>
    </w:lvl>
    <w:lvl w:ilvl="1">
      <w:lvlJc w:val="left"/>
      <w:lvlText w:val="%2"/>
      <w:numFmt w:val="lowerRoman"/>
      <w:start w:val="1"/>
    </w:lvl>
  </w:abstractNum>
  <w:abstractNum w:abstractNumId="85">
    <w:nsid w:val="37DF2233"/>
    <w:multiLevelType w:val="hybridMultilevel"/>
    <w:lvl w:ilvl="0">
      <w:lvlJc w:val="left"/>
      <w:lvlText w:val="%1)"/>
      <w:numFmt w:val="lowerLetter"/>
      <w:start w:val="1"/>
    </w:lvl>
  </w:abstractNum>
  <w:abstractNum w:abstractNumId="86">
    <w:nsid w:val="7AB49DAF"/>
    <w:multiLevelType w:val="hybridMultilevel"/>
    <w:lvl w:ilvl="0">
      <w:lvlJc w:val="left"/>
      <w:lvlText w:val="%1"/>
      <w:numFmt w:val="lowerRoman"/>
      <w:start w:val="1"/>
    </w:lvl>
    <w:lvl w:ilvl="1">
      <w:lvlJc w:val="left"/>
      <w:lvlText w:val="%2)"/>
      <w:numFmt w:val="lowerLetter"/>
      <w:start w:val="4"/>
    </w:lvl>
  </w:abstractNum>
  <w:abstractNum w:abstractNumId="87">
    <w:nsid w:val="759F82CD"/>
    <w:multiLevelType w:val="hybridMultilevel"/>
    <w:lvl w:ilvl="0">
      <w:lvlJc w:val="left"/>
      <w:lvlText w:val="(%1)"/>
      <w:numFmt w:val="lowerRoman"/>
      <w:start w:val="5"/>
    </w:lvl>
    <w:lvl w:ilvl="1">
      <w:lvlJc w:val="left"/>
      <w:lvlText w:val="%2"/>
      <w:numFmt w:val="lowerLetter"/>
      <w:start w:val="1"/>
    </w:lvl>
  </w:abstractNum>
  <w:abstractNum w:abstractNumId="88">
    <w:nsid w:val="61E74EA3"/>
    <w:multiLevelType w:val="hybridMultilevel"/>
    <w:lvl w:ilvl="0">
      <w:lvlJc w:val="left"/>
      <w:lvlText w:val="%1)"/>
      <w:numFmt w:val="lowerLetter"/>
      <w:start w:val="5"/>
    </w:lvl>
    <w:lvl w:ilvl="1">
      <w:lvlJc w:val="left"/>
      <w:lvlText w:val="(%2)"/>
      <w:numFmt w:val="upperLetter"/>
      <w:start w:val="2"/>
    </w:lvl>
    <w:lvl w:ilvl="2">
      <w:lvlJc w:val="left"/>
      <w:lvlText w:val="%3."/>
      <w:numFmt w:val="lowerRoman"/>
      <w:start w:val="1"/>
    </w:lvl>
  </w:abstractNum>
  <w:abstractNum w:abstractNumId="89">
    <w:nsid w:val="597B4D84"/>
    <w:multiLevelType w:val="hybridMultilevel"/>
    <w:lvl w:ilvl="0">
      <w:lvlJc w:val="left"/>
      <w:lvlText w:val="%1)"/>
      <w:numFmt w:val="lowerLetter"/>
      <w:start w:val="1"/>
    </w:lvl>
  </w:abstractNum>
  <w:abstractNum w:abstractNumId="90">
    <w:nsid w:val="F819E7F"/>
    <w:multiLevelType w:val="hybridMultilevel"/>
    <w:lvl w:ilvl="0">
      <w:lvlJc w:val="left"/>
      <w:lvlText w:val="%1)"/>
      <w:numFmt w:val="lowerLetter"/>
      <w:start w:val="1"/>
    </w:lvl>
  </w:abstractNum>
  <w:abstractNum w:abstractNumId="91">
    <w:nsid w:val="57C7D42D"/>
    <w:multiLevelType w:val="hybridMultilevel"/>
    <w:lvl w:ilvl="0">
      <w:lvlJc w:val="left"/>
      <w:lvlText w:val="%1)"/>
      <w:numFmt w:val="lowerLetter"/>
      <w:start w:val="3"/>
    </w:lvl>
  </w:abstractNum>
  <w:abstractNum w:abstractNumId="92">
    <w:nsid w:val="312167AD"/>
    <w:multiLevelType w:val="hybridMultilevel"/>
    <w:lvl w:ilvl="0">
      <w:lvlJc w:val="left"/>
      <w:lvlText w:val="%1)"/>
      <w:numFmt w:val="lowerLetter"/>
      <w:start w:val="5"/>
    </w:lvl>
  </w:abstractNum>
  <w:abstractNum w:abstractNumId="93">
    <w:nsid w:val="631B64D4"/>
    <w:multiLevelType w:val="hybridMultilevel"/>
    <w:lvl w:ilvl="0">
      <w:lvlJc w:val="left"/>
      <w:lvlText w:val="%1)"/>
      <w:numFmt w:val="lowerLetter"/>
      <w:start w:val="9"/>
    </w:lvl>
  </w:abstractNum>
  <w:abstractNum w:abstractNumId="94">
    <w:nsid w:val="78B5E776"/>
    <w:multiLevelType w:val="hybridMultilevel"/>
    <w:lvl w:ilvl="0">
      <w:lvlJc w:val="left"/>
      <w:lvlText w:val="(%1)"/>
      <w:numFmt w:val="decimal"/>
      <w:start w:val="1"/>
    </w:lvl>
    <w:lvl w:ilvl="1">
      <w:lvlJc w:val="left"/>
      <w:lvlText w:val="☐"/>
      <w:numFmt w:val="bullet"/>
      <w:start w:val="1"/>
    </w:lvl>
  </w:abstractNum>
  <w:abstractNum w:abstractNumId="95">
    <w:nsid w:val="75486E47"/>
    <w:multiLevelType w:val="hybridMultilevel"/>
    <w:lvl w:ilvl="0">
      <w:lvlJc w:val="left"/>
      <w:lvlText w:val="1"/>
      <w:numFmt w:val="bullet"/>
      <w:start w:val="1"/>
    </w:lvl>
  </w:abstractNum>
  <w:abstractNum w:abstractNumId="96">
    <w:nsid w:val="6E534CDE"/>
    <w:multiLevelType w:val="hybridMultilevel"/>
    <w:lvl w:ilvl="0">
      <w:lvlJc w:val="left"/>
      <w:lvlText w:val="2"/>
      <w:numFmt w:val="bullet"/>
      <w:start w:val="1"/>
    </w:lvl>
  </w:abstractNum>
  <w:abstractNum w:abstractNumId="97">
    <w:nsid w:val="1A0DDE32"/>
    <w:multiLevelType w:val="hybridMultilevel"/>
    <w:lvl w:ilvl="0">
      <w:lvlJc w:val="left"/>
      <w:lvlText w:val="%1)"/>
      <w:numFmt w:val="lowerLetter"/>
      <w:start w:val="1"/>
    </w:lvl>
  </w:abstractNum>
  <w:abstractNum w:abstractNumId="98">
    <w:nsid w:val="65968C1C"/>
    <w:multiLevelType w:val="hybridMultilevel"/>
    <w:lvl w:ilvl="0">
      <w:lvlJc w:val="left"/>
      <w:lvlText w:val="(%1)"/>
      <w:numFmt w:val="upperLetter"/>
      <w:start w:val="1"/>
    </w:lvl>
  </w:abstractNum>
  <w:abstractNum w:abstractNumId="99">
    <w:nsid w:val="46263DEC"/>
    <w:multiLevelType w:val="hybridMultilevel"/>
    <w:lvl w:ilvl="0">
      <w:lvlJc w:val="left"/>
      <w:lvlText w:val="(%1)"/>
      <w:numFmt w:val="upperLetter"/>
      <w:start w:val="24"/>
    </w:lvl>
  </w:abstractNum>
  <w:abstractNum w:abstractNumId="100">
    <w:nsid w:val="260D8C4A"/>
    <w:multiLevelType w:val="hybridMultilevel"/>
    <w:lvl w:ilvl="0">
      <w:lvlJc w:val="left"/>
      <w:lvlText w:val="%1)"/>
      <w:numFmt w:val="lowerLetter"/>
      <w:start w:val="4"/>
    </w:lvl>
    <w:lvl w:ilvl="1">
      <w:lvlJc w:val="left"/>
      <w:lvlText w:val="%2."/>
      <w:numFmt w:val="lowerRoman"/>
      <w:start w:val="1"/>
    </w:lvl>
  </w:abstractNum>
  <w:abstractNum w:abstractNumId="101">
    <w:nsid w:val="73D4D3C4"/>
    <w:multiLevelType w:val="hybridMultilevel"/>
    <w:lvl w:ilvl="0">
      <w:lvlJc w:val="left"/>
      <w:lvlText w:val="%1."/>
      <w:numFmt w:val="lowerRoman"/>
      <w:start w:val="2"/>
    </w:lvl>
  </w:abstractNum>
  <w:abstractNum w:abstractNumId="102">
    <w:nsid w:val="746F2E30"/>
    <w:multiLevelType w:val="hybridMultilevel"/>
    <w:lvl w:ilvl="0">
      <w:lvlJc w:val="left"/>
      <w:lvlText w:val="%1."/>
      <w:numFmt w:val="lowerRoman"/>
      <w:start w:val="4"/>
    </w:lvl>
  </w:abstractNum>
  <w:abstractNum w:abstractNumId="103">
    <w:nsid w:val="6FDE8AF6"/>
    <w:multiLevelType w:val="hybridMultilevel"/>
    <w:lvl w:ilvl="0">
      <w:lvlJc w:val="left"/>
      <w:lvlText w:val="%1"/>
      <w:numFmt w:val="lowerLetter"/>
      <w:start w:val="1"/>
    </w:lvl>
    <w:lvl w:ilvl="1">
      <w:lvlJc w:val="left"/>
      <w:lvlText w:val="%2."/>
      <w:numFmt w:val="lowerRoman"/>
      <w:start w:val="7"/>
    </w:lvl>
  </w:abstractNum>
  <w:abstractNum w:abstractNumId="104">
    <w:nsid w:val="3FC32E20"/>
    <w:multiLevelType w:val="hybridMultilevel"/>
    <w:lvl w:ilvl="0">
      <w:lvlJc w:val="left"/>
      <w:lvlText w:val="%1)"/>
      <w:numFmt w:val="lowerLetter"/>
      <w:start w:val="5"/>
    </w:lvl>
    <w:lvl w:ilvl="1">
      <w:lvlJc w:val="left"/>
      <w:lvlText w:val="%2"/>
      <w:numFmt w:val="lowerRoman"/>
      <w:start w:val="1"/>
    </w:lvl>
  </w:abstractNum>
  <w:abstractNum w:abstractNumId="105">
    <w:nsid w:val="49C0E823"/>
    <w:multiLevelType w:val="hybridMultilevel"/>
    <w:lvl w:ilvl="0">
      <w:lvlJc w:val="left"/>
      <w:lvlText w:val="%1)"/>
      <w:numFmt w:val="lowerLetter"/>
      <w:start w:val="1"/>
    </w:lvl>
  </w:abstractNum>
  <w:abstractNum w:abstractNumId="106">
    <w:nsid w:val="14D53685"/>
    <w:multiLevelType w:val="hybridMultilevel"/>
    <w:lvl w:ilvl="0">
      <w:lvlJc w:val="left"/>
      <w:lvlText w:val="%1"/>
      <w:numFmt w:val="lowerRoman"/>
      <w:start w:val="1"/>
    </w:lvl>
    <w:lvl w:ilvl="1">
      <w:lvlJc w:val="left"/>
      <w:lvlText w:val="%2)"/>
      <w:numFmt w:val="lowerLetter"/>
      <w:start w:val="4"/>
    </w:lvl>
  </w:abstractNum>
  <w:abstractNum w:abstractNumId="107">
    <w:nsid w:val="230F856C"/>
    <w:multiLevelType w:val="hybridMultilevel"/>
    <w:lvl w:ilvl="0">
      <w:lvlJc w:val="left"/>
      <w:lvlText w:val="(%1)"/>
      <w:numFmt w:val="lowerRoman"/>
      <w:start w:val="5"/>
    </w:lvl>
    <w:lvl w:ilvl="1">
      <w:lvlJc w:val="left"/>
      <w:lvlText w:val="%2"/>
      <w:numFmt w:val="lowerLetter"/>
      <w:start w:val="1"/>
    </w:lvl>
  </w:abstractNum>
  <w:abstractNum w:abstractNumId="108">
    <w:nsid w:val="6EAA85FB"/>
    <w:multiLevelType w:val="hybridMultilevel"/>
    <w:lvl w:ilvl="0">
      <w:lvlJc w:val="left"/>
      <w:lvlText w:val="%1)"/>
      <w:numFmt w:val="lowerLetter"/>
      <w:start w:val="5"/>
    </w:lvl>
    <w:lvl w:ilvl="1">
      <w:lvlJc w:val="left"/>
      <w:lvlText w:val="(%2)"/>
      <w:numFmt w:val="upperLetter"/>
      <w:start w:val="2"/>
    </w:lvl>
    <w:lvl w:ilvl="2">
      <w:lvlJc w:val="left"/>
      <w:lvlText w:val="%3."/>
      <w:numFmt w:val="lowerRoman"/>
      <w:start w:val="1"/>
    </w:lvl>
  </w:abstractNum>
  <w:abstractNum w:abstractNumId="109">
    <w:nsid w:val="3F06ECB2"/>
    <w:multiLevelType w:val="hybridMultilevel"/>
    <w:lvl w:ilvl="0">
      <w:lvlJc w:val="left"/>
      <w:lvlText w:val="%1)"/>
      <w:numFmt w:val="lowerLetter"/>
      <w:start w:val="1"/>
    </w:lvl>
  </w:abstractNum>
  <w:abstractNum w:abstractNumId="110">
    <w:nsid w:val="3B594807"/>
    <w:multiLevelType w:val="hybridMultilevel"/>
    <w:lvl w:ilvl="0">
      <w:lvlJc w:val="left"/>
      <w:lvlText w:val="%1)"/>
      <w:numFmt w:val="lowerLetter"/>
      <w:start w:val="1"/>
    </w:lvl>
  </w:abstractNum>
  <w:abstractNum w:abstractNumId="111">
    <w:nsid w:val="6CAA2304"/>
    <w:multiLevelType w:val="hybridMultilevel"/>
    <w:lvl w:ilvl="0">
      <w:lvlJc w:val="left"/>
      <w:lvlText w:val="%1)"/>
      <w:numFmt w:val="lowerLetter"/>
      <w:start w:val="3"/>
    </w:lvl>
  </w:abstractNum>
  <w:abstractNum w:abstractNumId="112">
    <w:nsid w:val="3F7C2FF4"/>
    <w:multiLevelType w:val="hybridMultilevel"/>
    <w:lvl w:ilvl="0">
      <w:lvlJc w:val="left"/>
      <w:lvlText w:val="%1)"/>
      <w:numFmt w:val="lowerLetter"/>
      <w:start w:val="5"/>
    </w:lvl>
  </w:abstractNum>
  <w:abstractNum w:abstractNumId="113">
    <w:nsid w:val="25413BEC"/>
    <w:multiLevelType w:val="hybridMultilevel"/>
    <w:lvl w:ilvl="0">
      <w:lvlJc w:val="left"/>
      <w:lvlText w:val="%1)"/>
      <w:numFmt w:val="lowerLetter"/>
      <w:start w:val="9"/>
    </w:lvl>
  </w:abstractNum>
  <w:abstractNum w:abstractNumId="114">
    <w:nsid w:val="17180B0B"/>
    <w:multiLevelType w:val="hybridMultilevel"/>
    <w:lvl w:ilvl="0">
      <w:lvlJc w:val="left"/>
      <w:lvlText w:val="(%1)"/>
      <w:numFmt w:val="decimal"/>
      <w:start w:val="1"/>
    </w:lvl>
    <w:lvl w:ilvl="1">
      <w:lvlJc w:val="left"/>
      <w:lvlText w:val="☐"/>
      <w:numFmt w:val="bullet"/>
      <w:start w:val="1"/>
    </w:lvl>
  </w:abstractNum>
  <w:abstractNum w:abstractNumId="115">
    <w:nsid w:val="579328B9"/>
    <w:multiLevelType w:val="hybridMultilevel"/>
    <w:lvl w:ilvl="0">
      <w:lvlJc w:val="left"/>
      <w:lvlText w:val="%1)"/>
      <w:numFmt w:val="lowerLetter"/>
      <w:start w:val="1"/>
    </w:lvl>
  </w:abstractNum>
  <w:abstractNum w:abstractNumId="116">
    <w:nsid w:val="5D205E20"/>
    <w:multiLevelType w:val="hybridMultilevel"/>
    <w:lvl w:ilvl="0">
      <w:lvlJc w:val="left"/>
      <w:lvlText w:val="%1)"/>
      <w:numFmt w:val="lowerLetter"/>
      <w:start w:val="2"/>
    </w:lvl>
    <w:lvl w:ilvl="1">
      <w:lvlJc w:val="left"/>
      <w:lvlText w:val="(%2)"/>
      <w:numFmt w:val="upperLetter"/>
      <w:start w:val="1"/>
    </w:lvl>
  </w:abstractNum>
  <w:abstractNum w:abstractNumId="117">
    <w:nsid w:val="11CCA8BA"/>
    <w:multiLevelType w:val="hybridMultilevel"/>
    <w:lvl w:ilvl="0">
      <w:lvlJc w:val="left"/>
      <w:lvlText w:val="(%1)"/>
      <w:numFmt w:val="upperLetter"/>
      <w:start w:val="24"/>
    </w:lvl>
  </w:abstractNum>
  <w:abstractNum w:abstractNumId="118">
    <w:nsid w:val="4D32AB86"/>
    <w:multiLevelType w:val="hybridMultilevel"/>
    <w:lvl w:ilvl="0">
      <w:lvlJc w:val="left"/>
      <w:lvlText w:val="%1)"/>
      <w:numFmt w:val="lowerLetter"/>
      <w:start w:val="4"/>
    </w:lvl>
    <w:lvl w:ilvl="1">
      <w:lvlJc w:val="left"/>
      <w:lvlText w:val="%2."/>
      <w:numFmt w:val="lowerRoman"/>
      <w:start w:val="1"/>
    </w:lvl>
  </w:abstractNum>
  <w:abstractNum w:abstractNumId="119">
    <w:nsid w:val="3F07ACC3"/>
    <w:multiLevelType w:val="hybridMultilevel"/>
    <w:lvl w:ilvl="0">
      <w:lvlJc w:val="left"/>
      <w:lvlText w:val="%1."/>
      <w:numFmt w:val="lowerRoman"/>
      <w:start w:val="2"/>
    </w:lvl>
  </w:abstractNum>
  <w:abstractNum w:abstractNumId="120">
    <w:nsid w:val="6B47F63E"/>
    <w:multiLevelType w:val="hybridMultilevel"/>
    <w:lvl w:ilvl="0">
      <w:lvlJc w:val="left"/>
      <w:lvlText w:val="%1."/>
      <w:numFmt w:val="lowerRoman"/>
      <w:start w:val="4"/>
    </w:lvl>
  </w:abstractNum>
  <w:abstractNum w:abstractNumId="121">
    <w:nsid w:val="5CB44A05"/>
    <w:multiLevelType w:val="hybridMultilevel"/>
    <w:lvl w:ilvl="0">
      <w:lvlJc w:val="left"/>
      <w:lvlText w:val="%1)"/>
      <w:numFmt w:val="lowerLetter"/>
      <w:start w:val="5"/>
    </w:lvl>
  </w:abstractNum>
  <w:abstractNum w:abstractNumId="122">
    <w:nsid w:val="16CF80F1"/>
    <w:multiLevelType w:val="hybridMultilevel"/>
    <w:lvl w:ilvl="0">
      <w:lvlJc w:val="left"/>
      <w:lvlText w:val="%1)"/>
      <w:numFmt w:val="lowerLetter"/>
      <w:start w:val="1"/>
    </w:lvl>
  </w:abstractNum>
  <w:abstractNum w:abstractNumId="123">
    <w:nsid w:val="1C695DEC"/>
    <w:multiLevelType w:val="hybridMultilevel"/>
    <w:lvl w:ilvl="0">
      <w:lvlJc w:val="left"/>
      <w:lvlText w:val="%1"/>
      <w:numFmt w:val="lowerRoman"/>
      <w:start w:val="1"/>
    </w:lvl>
    <w:lvl w:ilvl="1">
      <w:lvlJc w:val="left"/>
      <w:lvlText w:val="%2)"/>
      <w:numFmt w:val="lowerLetter"/>
      <w:start w:val="4"/>
    </w:lvl>
  </w:abstractNum>
  <w:abstractNum w:abstractNumId="124">
    <w:nsid w:val="3FCFAED9"/>
    <w:multiLevelType w:val="hybridMultilevel"/>
    <w:lvl w:ilvl="0">
      <w:lvlJc w:val="left"/>
      <w:lvlText w:val="(%1)"/>
      <w:numFmt w:val="lowerRoman"/>
      <w:start w:val="5"/>
    </w:lvl>
    <w:lvl w:ilvl="1">
      <w:lvlJc w:val="left"/>
      <w:lvlText w:val="%2"/>
      <w:numFmt w:val="lowerLetter"/>
      <w:start w:val="1"/>
    </w:lvl>
  </w:abstractNum>
  <w:abstractNum w:abstractNumId="125">
    <w:nsid w:val="F856867"/>
    <w:multiLevelType w:val="hybridMultilevel"/>
    <w:lvl w:ilvl="0">
      <w:lvlJc w:val="left"/>
      <w:lvlText w:val="%1)"/>
      <w:numFmt w:val="lowerLetter"/>
      <w:start w:val="5"/>
    </w:lvl>
    <w:lvl w:ilvl="1">
      <w:lvlJc w:val="left"/>
      <w:lvlText w:val="(%2)"/>
      <w:numFmt w:val="upperLetter"/>
      <w:start w:val="2"/>
    </w:lvl>
    <w:lvl w:ilvl="2">
      <w:lvlJc w:val="left"/>
      <w:lvlText w:val="%3."/>
      <w:numFmt w:val="lowerRoman"/>
      <w:start w:val="1"/>
    </w:lvl>
  </w:abstractNum>
  <w:abstractNum w:abstractNumId="126">
    <w:nsid w:val="11B1CC33"/>
    <w:multiLevelType w:val="hybridMultilevel"/>
    <w:lvl w:ilvl="0">
      <w:lvlJc w:val="left"/>
      <w:lvlText w:val="%1)"/>
      <w:numFmt w:val="lowerLetter"/>
      <w:start w:val="1"/>
    </w:lvl>
  </w:abstractNum>
  <w:abstractNum w:abstractNumId="127">
    <w:nsid w:val="2E22FBB7"/>
    <w:multiLevelType w:val="hybridMultilevel"/>
    <w:lvl w:ilvl="0">
      <w:lvlJc w:val="left"/>
      <w:lvlText w:val="%1)"/>
      <w:numFmt w:val="lowerLetter"/>
      <w:start w:val="1"/>
    </w:lvl>
  </w:abstractNum>
  <w:abstractNum w:abstractNumId="128">
    <w:nsid w:val="29934699"/>
    <w:multiLevelType w:val="hybridMultilevel"/>
    <w:lvl w:ilvl="0">
      <w:lvlJc w:val="left"/>
      <w:lvlText w:val="%1)"/>
      <w:numFmt w:val="lowerLetter"/>
      <w:start w:val="5"/>
    </w:lvl>
  </w:abstractNum>
  <w:abstractNum w:abstractNumId="129">
    <w:nsid w:val="77485850"/>
    <w:multiLevelType w:val="hybridMultilevel"/>
    <w:lvl w:ilvl="0">
      <w:lvlJc w:val="left"/>
      <w:lvlText w:val="%1)"/>
      <w:numFmt w:val="lowerLetter"/>
      <w:start w:val="6"/>
    </w:lvl>
  </w:abstractNum>
  <w:abstractNum w:abstractNumId="130">
    <w:nsid w:val="744939A3"/>
    <w:multiLevelType w:val="hybridMultilevel"/>
    <w:lvl w:ilvl="0">
      <w:lvlJc w:val="left"/>
      <w:lvlText w:val="%1)"/>
      <w:numFmt w:val="lowerLetter"/>
      <w:start w:val="10"/>
    </w:lvl>
  </w:abstractNum>
  <w:abstractNum w:abstractNumId="131">
    <w:nsid w:val="4FA0D2E3"/>
    <w:multiLevelType w:val="hybridMultilevel"/>
    <w:lvl w:ilvl="0">
      <w:lvlJc w:val="left"/>
      <w:lvlText w:val="(%1)"/>
      <w:numFmt w:val="decimal"/>
      <w:start w:val="1"/>
    </w:lvl>
    <w:lvl w:ilvl="1">
      <w:lvlJc w:val="left"/>
      <w:lvlText w:val="☐"/>
      <w:numFmt w:val="bullet"/>
      <w:start w:val="1"/>
    </w:lvl>
  </w:abstractNum>
  <w:abstractNum w:abstractNumId="132">
    <w:nsid w:val="6B1D2C14"/>
    <w:multiLevelType w:val="hybridMultilevel"/>
    <w:lvl w:ilvl="0">
      <w:lvlJc w:val="left"/>
      <w:lvlText w:val="1"/>
      <w:numFmt w:val="bullet"/>
      <w:start w:val="1"/>
    </w:lvl>
  </w:abstractNum>
  <w:abstractNum w:abstractNumId="133">
    <w:nsid w:val="68B867D3"/>
    <w:multiLevelType w:val="hybridMultilevel"/>
    <w:lvl w:ilvl="0">
      <w:lvlJc w:val="left"/>
      <w:lvlText w:val="2"/>
      <w:numFmt w:val="bullet"/>
      <w:start w:val="1"/>
    </w:lvl>
  </w:abstractNum>
  <w:abstractNum w:abstractNumId="134">
    <w:nsid w:val="3F7F5DD9"/>
    <w:multiLevelType w:val="hybridMultilevel"/>
    <w:lvl w:ilvl="0">
      <w:lvlJc w:val="left"/>
      <w:lvlText w:val="3"/>
      <w:numFmt w:val="bullet"/>
      <w:start w:val="1"/>
    </w:lvl>
  </w:abstractNum>
  <w:abstractNum w:abstractNumId="135">
    <w:nsid w:val="2AE05A34"/>
    <w:multiLevelType w:val="hybridMultilevel"/>
    <w:lvl w:ilvl="0">
      <w:lvlJc w:val="left"/>
      <w:lvlText w:val="%1)"/>
      <w:numFmt w:val="lowerLetter"/>
      <w:start w:val="1"/>
    </w:lvl>
  </w:abstractNum>
  <w:abstractNum w:abstractNumId="136">
    <w:nsid w:val="32794FF7"/>
    <w:multiLevelType w:val="hybridMultilevel"/>
    <w:lvl w:ilvl="0">
      <w:lvlJc w:val="left"/>
      <w:lvlText w:val="(%1)"/>
      <w:numFmt w:val="upperLetter"/>
      <w:start w:val="1"/>
    </w:lvl>
  </w:abstractNum>
  <w:abstractNum w:abstractNumId="137">
    <w:nsid w:val="5454945E"/>
    <w:multiLevelType w:val="hybridMultilevel"/>
    <w:lvl w:ilvl="0">
      <w:lvlJc w:val="left"/>
      <w:lvlText w:val="(%1)"/>
      <w:numFmt w:val="upperLetter"/>
      <w:start w:val="24"/>
    </w:lvl>
  </w:abstractNum>
  <w:abstractNum w:abstractNumId="138">
    <w:nsid w:val="4DEFDFA0"/>
    <w:multiLevelType w:val="hybridMultilevel"/>
    <w:lvl w:ilvl="0">
      <w:lvlJc w:val="left"/>
      <w:lvlText w:val="%1)"/>
      <w:numFmt w:val="lowerLetter"/>
      <w:start w:val="4"/>
    </w:lvl>
    <w:lvl w:ilvl="1">
      <w:lvlJc w:val="left"/>
      <w:lvlText w:val="%2."/>
      <w:numFmt w:val="lowerRoman"/>
      <w:start w:val="1"/>
    </w:lvl>
  </w:abstractNum>
  <w:abstractNum w:abstractNumId="139">
    <w:nsid w:val="2123D5F2"/>
    <w:multiLevelType w:val="hybridMultilevel"/>
    <w:lvl w:ilvl="0">
      <w:lvlJc w:val="left"/>
      <w:lvlText w:val="%1."/>
      <w:numFmt w:val="lowerRoman"/>
      <w:start w:val="2"/>
    </w:lvl>
  </w:abstractNum>
  <w:abstractNum w:abstractNumId="140">
    <w:nsid w:val="135B8110"/>
    <w:multiLevelType w:val="hybridMultilevel"/>
    <w:lvl w:ilvl="0">
      <w:lvlJc w:val="left"/>
      <w:lvlText w:val="%1."/>
      <w:numFmt w:val="lowerRoman"/>
      <w:start w:val="3"/>
    </w:lvl>
  </w:abstractNum>
  <w:abstractNum w:abstractNumId="141">
    <w:nsid w:val="94927A8"/>
    <w:multiLevelType w:val="hybridMultilevel"/>
    <w:lvl w:ilvl="0">
      <w:lvlJc w:val="left"/>
      <w:lvlText w:val="%1"/>
      <w:numFmt w:val="lowerLetter"/>
      <w:start w:val="1"/>
    </w:lvl>
    <w:lvl w:ilvl="1">
      <w:lvlJc w:val="left"/>
      <w:lvlText w:val="%2."/>
      <w:numFmt w:val="lowerRoman"/>
      <w:start w:val="7"/>
    </w:lvl>
  </w:abstractNum>
  <w:abstractNum w:abstractNumId="142">
    <w:nsid w:val="DCDF8F6"/>
    <w:multiLevelType w:val="hybridMultilevel"/>
    <w:lvl w:ilvl="0">
      <w:lvlJc w:val="left"/>
      <w:lvlText w:val="%1)"/>
      <w:numFmt w:val="lowerLetter"/>
      <w:start w:val="5"/>
    </w:lvl>
    <w:lvl w:ilvl="1">
      <w:lvlJc w:val="left"/>
      <w:lvlText w:val="%2"/>
      <w:numFmt w:val="lowerRoman"/>
      <w:start w:val="1"/>
    </w:lvl>
  </w:abstractNum>
  <w:abstractNum w:abstractNumId="143">
    <w:nsid w:val="52D7B105"/>
    <w:multiLevelType w:val="hybridMultilevel"/>
    <w:lvl w:ilvl="0">
      <w:lvlJc w:val="left"/>
      <w:lvlText w:val="%1)"/>
      <w:numFmt w:val="lowerLetter"/>
      <w:start w:val="1"/>
    </w:lvl>
  </w:abstractNum>
  <w:abstractNum w:abstractNumId="144">
    <w:nsid w:val="2E8A6394"/>
    <w:multiLevelType w:val="hybridMultilevel"/>
    <w:lvl w:ilvl="0">
      <w:lvlJc w:val="left"/>
      <w:lvlText w:val="%1"/>
      <w:numFmt w:val="lowerRoman"/>
      <w:start w:val="1"/>
    </w:lvl>
    <w:lvl w:ilvl="1">
      <w:lvlJc w:val="left"/>
      <w:lvlText w:val="%2)"/>
      <w:numFmt w:val="lowerLetter"/>
      <w:start w:val="4"/>
    </w:lvl>
  </w:abstractNum>
  <w:abstractNum w:abstractNumId="145">
    <w:nsid w:val="24E60401"/>
    <w:multiLevelType w:val="hybridMultilevel"/>
    <w:lvl w:ilvl="0">
      <w:lvlJc w:val="left"/>
      <w:lvlText w:val="(%1)"/>
      <w:numFmt w:val="lowerRoman"/>
      <w:start w:val="5"/>
    </w:lvl>
    <w:lvl w:ilvl="1">
      <w:lvlJc w:val="left"/>
      <w:lvlText w:val="%2"/>
      <w:numFmt w:val="lowerLetter"/>
      <w:start w:val="1"/>
    </w:lvl>
  </w:abstractNum>
  <w:abstractNum w:abstractNumId="146">
    <w:nsid w:val="2A6AD9BE"/>
    <w:multiLevelType w:val="hybridMultilevel"/>
    <w:lvl w:ilvl="0">
      <w:lvlJc w:val="left"/>
      <w:lvlText w:val="%1)"/>
      <w:numFmt w:val="lowerLetter"/>
      <w:start w:val="5"/>
    </w:lvl>
    <w:lvl w:ilvl="1">
      <w:lvlJc w:val="left"/>
      <w:lvlText w:val="(%2)"/>
      <w:numFmt w:val="upperLetter"/>
      <w:start w:val="2"/>
    </w:lvl>
    <w:lvl w:ilvl="2">
      <w:lvlJc w:val="left"/>
      <w:lvlText w:val="%3."/>
      <w:numFmt w:val="lowerRoman"/>
      <w:start w:val="1"/>
    </w:lvl>
  </w:abstractNum>
  <w:abstractNum w:abstractNumId="147">
    <w:nsid w:val="BAAC1B4"/>
    <w:multiLevelType w:val="hybridMultilevel"/>
    <w:lvl w:ilvl="0">
      <w:lvlJc w:val="left"/>
      <w:lvlText w:val="%1)"/>
      <w:numFmt w:val="lowerLetter"/>
      <w:start w:val="7"/>
    </w:lvl>
  </w:abstractNum>
  <w:abstractNum w:abstractNumId="148">
    <w:nsid w:val="36B2ACBC"/>
    <w:multiLevelType w:val="hybridMultilevel"/>
    <w:lvl w:ilvl="0">
      <w:lvlJc w:val="left"/>
      <w:lvlText w:val="%1)"/>
      <w:numFmt w:val="lowerLetter"/>
      <w:start w:val="1"/>
    </w:lvl>
  </w:abstractNum>
  <w:abstractNum w:abstractNumId="149">
    <w:nsid w:val="779D8544"/>
    <w:multiLevelType w:val="hybridMultilevel"/>
    <w:lvl w:ilvl="0">
      <w:lvlJc w:val="left"/>
      <w:lvlText w:val="(%1)"/>
      <w:numFmt w:val="lowerRoman"/>
      <w:start w:val="1"/>
    </w:lvl>
  </w:abstractNum>
  <w:abstractNum w:abstractNumId="150">
    <w:nsid w:val="4AB26E78"/>
    <w:multiLevelType w:val="hybridMultilevel"/>
    <w:lvl w:ilvl="0">
      <w:lvlJc w:val="left"/>
      <w:lvlText w:val="(%1)"/>
      <w:numFmt w:val="lowerRoman"/>
      <w:start w:val="6"/>
    </w:lvl>
  </w:abstractNum>
  <w:abstractNum w:abstractNumId="151">
    <w:nsid w:val="21FAA2FA"/>
    <w:multiLevelType w:val="hybridMultilevel"/>
    <w:lvl w:ilvl="0">
      <w:lvlJc w:val="left"/>
      <w:lvlText w:val="%1)"/>
      <w:numFmt w:val="lowerLetter"/>
      <w:start w:val="2"/>
    </w:lvl>
  </w:abstractNum>
  <w:abstractNum w:abstractNumId="152">
    <w:nsid w:val="5451CF49"/>
    <w:multiLevelType w:val="hybridMultilevel"/>
    <w:lvl w:ilvl="0">
      <w:lvlJc w:val="left"/>
      <w:lvlText w:val="%1)"/>
      <w:numFmt w:val="lowerLetter"/>
      <w:start w:val="1"/>
    </w:lvl>
  </w:abstractNum>
  <w:abstractNum w:abstractNumId="153">
    <w:nsid w:val="6181EF69"/>
    <w:multiLevelType w:val="hybridMultilevel"/>
    <w:lvl w:ilvl="0">
      <w:lvlJc w:val="left"/>
      <w:lvlText w:val="%1)"/>
      <w:numFmt w:val="lowerLetter"/>
      <w:start w:val="5"/>
    </w:lvl>
  </w:abstractNum>
  <w:abstractNum w:abstractNumId="154">
    <w:nsid w:val="3E6400E6"/>
    <w:multiLevelType w:val="hybridMultilevel"/>
    <w:lvl w:ilvl="0">
      <w:lvlJc w:val="left"/>
      <w:lvlText w:val="%1)"/>
      <w:numFmt w:val="lowerLetter"/>
      <w:start w:val="6"/>
    </w:lvl>
  </w:abstractNum>
  <w:abstractNum w:abstractNumId="155">
    <w:nsid w:val="14217E23"/>
    <w:multiLevelType w:val="hybridMultilevel"/>
    <w:lvl w:ilvl="0">
      <w:lvlJc w:val="left"/>
      <w:lvlText w:val="%1)"/>
      <w:numFmt w:val="lowerLetter"/>
      <w:start w:val="10"/>
    </w:lvl>
  </w:abstractNum>
  <w:abstractNum w:abstractNumId="156">
    <w:nsid w:val="710757D0"/>
    <w:multiLevelType w:val="hybridMultilevel"/>
    <w:lvl w:ilvl="0">
      <w:lvlJc w:val="left"/>
      <w:lvlText w:val="(%1)"/>
      <w:numFmt w:val="decimal"/>
      <w:start w:val="1"/>
    </w:lvl>
    <w:lvl w:ilvl="1">
      <w:lvlJc w:val="left"/>
      <w:lvlText w:val="☐"/>
      <w:numFmt w:val="bullet"/>
      <w:start w:val="1"/>
    </w:lvl>
  </w:abstractNum>
  <w:abstractNum w:abstractNumId="157">
    <w:nsid w:val="5015CD1A"/>
    <w:multiLevelType w:val="hybridMultilevel"/>
    <w:lvl w:ilvl="0">
      <w:lvlJc w:val="left"/>
      <w:lvlText w:val="(%1)"/>
      <w:numFmt w:val="lowerRoman"/>
      <w:start w:val="5"/>
    </w:lvl>
  </w:abstractNum>
  <w:abstractNum w:abstractNumId="158">
    <w:nsid w:val="424479DA"/>
    <w:multiLevelType w:val="hybridMultilevel"/>
    <w:lvl w:ilvl="0">
      <w:lvlJc w:val="left"/>
      <w:lvlText w:val="(%1)"/>
      <w:numFmt w:val="lowerRoman"/>
      <w:start w:val="1"/>
    </w:lvl>
  </w:abstractNum>
  <w:abstractNum w:abstractNumId="159">
    <w:nsid w:val="1A9A9E69"/>
    <w:multiLevelType w:val="hybridMultilevel"/>
    <w:lvl w:ilvl="0">
      <w:lvlJc w:val="left"/>
      <w:lvlText w:val="(%1)"/>
      <w:numFmt w:val="lowerLetter"/>
      <w:start w:val="4"/>
    </w:lvl>
  </w:abstractNum>
  <w:abstractNum w:abstractNumId="160">
    <w:nsid w:val="475E256A"/>
    <w:multiLevelType w:val="hybridMultilevel"/>
    <w:lvl w:ilvl="0">
      <w:lvlJc w:val="left"/>
      <w:lvlText w:val="%1."/>
      <w:numFmt w:val="decimal"/>
      <w:start w:val="1"/>
    </w:lvl>
  </w:abstractNum>
  <w:abstractNum w:abstractNumId="161">
    <w:nsid w:val="368DB37E"/>
    <w:multiLevelType w:val="hybridMultilevel"/>
    <w:lvl w:ilvl="0">
      <w:lvlJc w:val="left"/>
      <w:lvlText w:val="(%1)"/>
      <w:numFmt w:val="lowerLetter"/>
      <w:start w:val="1"/>
    </w:lvl>
  </w:abstractNum>
  <w:abstractNum w:abstractNumId="162">
    <w:nsid w:val="6A3B714C"/>
    <w:multiLevelType w:val="hybridMultilevel"/>
    <w:lvl w:ilvl="0">
      <w:lvlJc w:val="left"/>
      <w:lvlText w:val="(%1)"/>
      <w:numFmt w:val="lowerLetter"/>
      <w:start w:val="1"/>
    </w:lvl>
  </w:abstractNum>
  <w:abstractNum w:abstractNumId="163">
    <w:nsid w:val="327B517E"/>
    <w:multiLevelType w:val="hybridMultilevel"/>
    <w:lvl w:ilvl="0">
      <w:lvlJc w:val="left"/>
      <w:lvlText w:val="(%1)"/>
      <w:numFmt w:val="lowerLetter"/>
      <w:start w:val="3"/>
    </w:lvl>
  </w:abstractNum>
  <w:abstractNum w:abstractNumId="164">
    <w:nsid w:val="1F461B51"/>
    <w:multiLevelType w:val="hybridMultilevel"/>
    <w:lvl w:ilvl="0">
      <w:lvlJc w:val="left"/>
      <w:lvlText w:val="1"/>
      <w:numFmt w:val="bullet"/>
      <w:start w:val="1"/>
    </w:lvl>
  </w:abstractNum>
  <w:abstractNum w:abstractNumId="165">
    <w:nsid w:val="29BACF25"/>
    <w:multiLevelType w:val="hybridMultilevel"/>
    <w:lvl w:ilvl="0">
      <w:lvlJc w:val="left"/>
      <w:lvlText w:val="2"/>
      <w:numFmt w:val="bullet"/>
      <w:start w:val="1"/>
    </w:lvl>
  </w:abstractNum>
  <w:abstractNum w:abstractNumId="166">
    <w:nsid w:val="5D5BABB3"/>
    <w:multiLevelType w:val="hybridMultilevel"/>
    <w:lvl w:ilvl="0">
      <w:lvlJc w:val="left"/>
      <w:lvlText w:val="3"/>
      <w:numFmt w:val="bullet"/>
      <w:start w:val="1"/>
    </w:lvl>
  </w:abstractNum>
  <w:abstractNum w:abstractNumId="167">
    <w:nsid w:val="51BF6B48"/>
    <w:multiLevelType w:val="hybridMultilevel"/>
    <w:lvl w:ilvl="0">
      <w:lvlJc w:val="left"/>
      <w:lvlText w:val="(%1)"/>
      <w:numFmt w:val="lowerLetter"/>
      <w:start w:val="1"/>
    </w:lvl>
    <w:lvl w:ilvl="1">
      <w:lvlJc w:val="left"/>
      <w:lvlText w:val="(%2)"/>
      <w:numFmt w:val="lowerRoman"/>
      <w:start w:val="1"/>
    </w:lvl>
  </w:abstractNum>
  <w:abstractNum w:abstractNumId="168">
    <w:nsid w:val="7E0F6384"/>
    <w:multiLevelType w:val="hybridMultilevel"/>
    <w:lvl w:ilvl="0">
      <w:lvlJc w:val="left"/>
      <w:lvlText w:val="%1"/>
      <w:numFmt w:val="lowerLetter"/>
      <w:start w:val="1"/>
    </w:lvl>
    <w:lvl w:ilvl="1">
      <w:lvlJc w:val="left"/>
      <w:lvlText w:val="(%2)"/>
      <w:numFmt w:val="lowerRoman"/>
      <w:start w:val="6"/>
    </w:lvl>
  </w:abstractNum>
  <w:abstractNum w:abstractNumId="169">
    <w:nsid w:val="2B4B8B53"/>
    <w:multiLevelType w:val="hybridMultilevel"/>
    <w:lvl w:ilvl="0">
      <w:lvlJc w:val="left"/>
      <w:lvlText w:val="(%1)"/>
      <w:numFmt w:val="lowerLetter"/>
      <w:start w:val="2"/>
    </w:lvl>
    <w:lvl w:ilvl="1">
      <w:lvlJc w:val="left"/>
      <w:lvlText w:val="(%2)"/>
      <w:numFmt w:val="lowerRoman"/>
      <w:start w:val="1"/>
    </w:lvl>
  </w:abstractNum>
  <w:abstractNum w:abstractNumId="170">
    <w:nsid w:val="72E3413A"/>
    <w:multiLevelType w:val="hybridMultilevel"/>
    <w:lvl w:ilvl="0">
      <w:lvlJc w:val="left"/>
      <w:lvlText w:val="(%1)"/>
      <w:numFmt w:val="lowerLetter"/>
      <w:start w:val="1"/>
    </w:lvl>
    <w:lvl w:ilvl="1">
      <w:lvlJc w:val="left"/>
      <w:lvlText w:val="(%2)"/>
      <w:numFmt w:val="lowerRoman"/>
      <w:start w:val="1"/>
    </w:lvl>
  </w:abstractNum>
  <w:abstractNum w:abstractNumId="171">
    <w:nsid w:val="116AE494"/>
    <w:multiLevelType w:val="hybridMultilevel"/>
    <w:lvl w:ilvl="0">
      <w:lvlJc w:val="left"/>
      <w:lvlText w:val="(%1)"/>
      <w:numFmt w:val="lowerLetter"/>
      <w:start w:val="2"/>
    </w:lvl>
    <w:lvl w:ilvl="1">
      <w:lvlJc w:val="left"/>
      <w:lvlText w:val="(%2)"/>
      <w:numFmt w:val="lowerRoman"/>
      <w:start w:val="1"/>
    </w:lvl>
  </w:abstractNum>
  <w:abstractNum w:abstractNumId="172">
    <w:nsid w:val="3494B2FB"/>
    <w:multiLevelType w:val="hybridMultilevel"/>
    <w:lvl w:ilvl="0">
      <w:lvlJc w:val="left"/>
      <w:lvlText w:val="(%1)"/>
      <w:numFmt w:val="lowerLetter"/>
      <w:start w:val="1"/>
    </w:lvl>
  </w:abstractNum>
  <w:abstractNum w:abstractNumId="173">
    <w:nsid w:val="B13A31"/>
    <w:multiLevelType w:val="hybridMultilevel"/>
    <w:lvl w:ilvl="0">
      <w:lvlJc w:val="left"/>
      <w:lvlText w:val="(%1)"/>
      <w:numFmt w:val="lowerLetter"/>
      <w:start w:val="2"/>
    </w:lvl>
  </w:abstractNum>
  <w:abstractNum w:abstractNumId="174">
    <w:nsid w:val="64429599"/>
    <w:multiLevelType w:val="hybridMultilevel"/>
    <w:lvl w:ilvl="0">
      <w:lvlJc w:val="left"/>
      <w:lvlText w:val="(%1)"/>
      <w:numFmt w:val="lowerLetter"/>
      <w:start w:val="5"/>
    </w:lvl>
  </w:abstractNum>
  <w:abstractNum w:abstractNumId="175">
    <w:nsid w:val="631F1690"/>
    <w:multiLevelType w:val="hybridMultilevel"/>
    <w:lvl w:ilvl="0">
      <w:lvlJc w:val="left"/>
      <w:lvlText w:val="4"/>
      <w:numFmt w:val="bullet"/>
      <w:start w:val="1"/>
    </w:lvl>
  </w:abstractNum>
  <w:abstractNum w:abstractNumId="176">
    <w:nsid w:val="25973E32"/>
    <w:multiLevelType w:val="hybridMultilevel"/>
    <w:lvl w:ilvl="0">
      <w:lvlJc w:val="left"/>
      <w:lvlText w:val="(%1)"/>
      <w:numFmt w:val="lowerLetter"/>
      <w:start w:val="7"/>
    </w:lvl>
  </w:abstractNum>
  <w:abstractNum w:abstractNumId="177">
    <w:nsid w:val="EAD6F57"/>
    <w:multiLevelType w:val="hybridMultilevel"/>
    <w:lvl w:ilvl="0">
      <w:lvlJc w:val="left"/>
      <w:lvlText w:val="(%1)"/>
      <w:numFmt w:val="lowerLetter"/>
      <w:start w:val="8"/>
    </w:lvl>
  </w:abstractNum>
  <w:abstractNum w:abstractNumId="178">
    <w:nsid w:val="6EC9D844"/>
    <w:multiLevelType w:val="hybridMultilevel"/>
    <w:lvl w:ilvl="0">
      <w:lvlJc w:val="left"/>
      <w:lvlText w:val="(%1)"/>
      <w:numFmt w:val="lowerLetter"/>
      <w:start w:val="10"/>
    </w:lvl>
  </w:abstractNum>
  <w:abstractNum w:abstractNumId="179">
    <w:nsid w:val="5C49EAEE"/>
    <w:multiLevelType w:val="hybridMultilevel"/>
    <w:lvl w:ilvl="0">
      <w:lvlJc w:val="left"/>
      <w:lvlText w:val="(%1)"/>
      <w:numFmt w:val="lowerLetter"/>
      <w:start w:val="9"/>
    </w:lvl>
  </w:abstractNum>
  <w:abstractNum w:abstractNumId="180">
    <w:nsid w:val="64AF49B"/>
    <w:multiLevelType w:val="hybridMultilevel"/>
    <w:lvl w:ilvl="0">
      <w:lvlJc w:val="left"/>
      <w:lvlText w:val="(%1)"/>
      <w:numFmt w:val="lowerLetter"/>
      <w:start w:val="11"/>
    </w:lvl>
  </w:abstractNum>
  <w:abstractNum w:abstractNumId="181">
    <w:nsid w:val="397C46BC"/>
    <w:multiLevelType w:val="hybridMultilevel"/>
    <w:lvl w:ilvl="0">
      <w:lvlJc w:val="left"/>
      <w:lvlText w:val="(%1)"/>
      <w:numFmt w:val="lowerLetter"/>
      <w:start w:val="13"/>
    </w:lvl>
  </w:abstractNum>
  <w:abstractNum w:abstractNumId="182">
    <w:nsid w:val="7E448DE9"/>
    <w:multiLevelType w:val="hybridMultilevel"/>
    <w:lvl w:ilvl="0">
      <w:lvlJc w:val="left"/>
      <w:lvlText w:val="(%1)"/>
      <w:numFmt w:val="lowerLetter"/>
      <w:start w:val="9"/>
    </w:lvl>
  </w:abstractNum>
  <w:abstractNum w:abstractNumId="183">
    <w:nsid w:val="5A9CC3E5"/>
    <w:multiLevelType w:val="hybridMultilevel"/>
    <w:lvl w:ilvl="0">
      <w:lvlJc w:val="left"/>
      <w:lvlText w:val="(%1)"/>
      <w:numFmt w:val="lowerLetter"/>
      <w:start w:val="16"/>
    </w:lvl>
  </w:abstractNum>
  <w:abstractNum w:abstractNumId="184">
    <w:nsid w:val="1AFE3625"/>
    <w:multiLevelType w:val="hybridMultilevel"/>
    <w:lvl w:ilvl="0">
      <w:lvlJc w:val="left"/>
      <w:lvlText w:val="(%1)"/>
      <w:numFmt w:val="lowerLetter"/>
      <w:start w:val="17"/>
    </w:lvl>
  </w:abstractNum>
  <w:abstractNum w:abstractNumId="185">
    <w:nsid w:val="3CA88ECF"/>
    <w:multiLevelType w:val="hybridMultilevel"/>
    <w:lvl w:ilvl="0">
      <w:lvlJc w:val="left"/>
      <w:lvlText w:val="(%1)"/>
      <w:numFmt w:val="lowerLetter"/>
      <w:start w:val="20"/>
    </w:lvl>
  </w:abstractNum>
  <w:abstractNum w:abstractNumId="186">
    <w:nsid w:val="6EBE4208"/>
    <w:multiLevelType w:val="hybridMultilevel"/>
    <w:lvl w:ilvl="0">
      <w:lvlJc w:val="left"/>
      <w:lvlText w:val="(%1)"/>
      <w:numFmt w:val="lowerLetter"/>
      <w:start w:val="25"/>
    </w:lvl>
  </w:abstractNum>
  <w:abstractNum w:abstractNumId="187">
    <w:nsid w:val="C058DF5"/>
    <w:multiLevelType w:val="hybridMultilevel"/>
    <w:lvl w:ilvl="0">
      <w:lvlJc w:val="left"/>
      <w:lvlText w:val="(%1)"/>
      <w:numFmt w:val="lowerLetter"/>
      <w:start w:val="27"/>
    </w:lvl>
  </w:abstractNum>
  <w:abstractNum w:abstractNumId="188">
    <w:nsid w:val="CBE5BE9"/>
    <w:multiLevelType w:val="hybridMultilevel"/>
    <w:lvl w:ilvl="0">
      <w:lvlJc w:val="left"/>
      <w:lvlText w:val="(%1)"/>
      <w:numFmt w:val="lowerLetter"/>
      <w:start w:val="28"/>
    </w:lvl>
  </w:abstractNum>
  <w:abstractNum w:abstractNumId="189">
    <w:nsid w:val="3102BBE2"/>
    <w:multiLevelType w:val="hybridMultilevel"/>
    <w:lvl w:ilvl="0">
      <w:lvlJc w:val="left"/>
      <w:lvlText w:val="(%1)"/>
      <w:numFmt w:val="lowerLetter"/>
      <w:start w:val="32"/>
    </w:lvl>
  </w:abstractNum>
  <w:abstractNum w:abstractNumId="190">
    <w:nsid w:val="26A02C5E"/>
    <w:multiLevelType w:val="hybridMultilevel"/>
    <w:lvl w:ilvl="0">
      <w:lvlJc w:val="left"/>
      <w:lvlText w:val="(%1)"/>
      <w:numFmt w:val="lowerLetter"/>
      <w:start w:val="35"/>
    </w:lvl>
  </w:abstractNum>
  <w:abstractNum w:abstractNumId="191">
    <w:nsid w:val="541C8153"/>
    <w:multiLevelType w:val="hybridMultilevel"/>
    <w:lvl w:ilvl="0">
      <w:lvlJc w:val="left"/>
      <w:lvlText w:val="(%1)"/>
      <w:numFmt w:val="lowerLetter"/>
      <w:start w:val="37"/>
    </w:lvl>
  </w:abstractNum>
  <w:abstractNum w:abstractNumId="192">
    <w:nsid w:val="67906F60"/>
    <w:multiLevelType w:val="hybridMultilevel"/>
    <w:lvl w:ilvl="0">
      <w:lvlJc w:val="left"/>
      <w:lvlText w:val="(%1)"/>
      <w:numFmt w:val="lowerLetter"/>
      <w:start w:val="1"/>
    </w:lvl>
  </w:abstractNum>
  <w:abstractNum w:abstractNumId="193">
    <w:nsid w:val="10DB9DAA"/>
    <w:multiLevelType w:val="hybridMultilevel"/>
    <w:lvl w:ilvl="0">
      <w:lvlJc w:val="left"/>
      <w:lvlText w:val="(%1)"/>
      <w:numFmt w:val="lowerLetter"/>
      <w:start w:val="4"/>
    </w:lvl>
  </w:abstractNum>
  <w:abstractNum w:abstractNumId="194">
    <w:nsid w:val="697D2D2"/>
    <w:multiLevelType w:val="hybridMultilevel"/>
    <w:lvl w:ilvl="0">
      <w:lvlJc w:val="left"/>
      <w:lvlText w:val="(%1)"/>
      <w:numFmt w:val="lowerLetter"/>
      <w:start w:val="1"/>
    </w:lvl>
  </w:abstractNum>
  <w:abstractNum w:abstractNumId="195">
    <w:nsid w:val="6D68AB2"/>
    <w:multiLevelType w:val="hybridMultilevel"/>
    <w:lvl w:ilvl="0">
      <w:lvlJc w:val="left"/>
      <w:lvlText w:val="5"/>
      <w:numFmt w:val="bullet"/>
      <w:start w:val="1"/>
    </w:lvl>
  </w:abstractNum>
  <w:abstractNum w:abstractNumId="196">
    <w:nsid w:val="3A966CD0"/>
    <w:multiLevelType w:val="hybridMultilevel"/>
    <w:lvl w:ilvl="0">
      <w:lvlJc w:val="left"/>
      <w:lvlText w:val="(%1)"/>
      <w:numFmt w:val="lowerLetter"/>
      <w:start w:val="3"/>
    </w:lvl>
  </w:abstractNum>
  <w:abstractNum w:abstractNumId="197">
    <w:nsid w:val="63F37E85"/>
    <w:multiLevelType w:val="hybridMultilevel"/>
    <w:lvl w:ilvl="0">
      <w:lvlJc w:val="left"/>
      <w:lvlText w:val="☐"/>
      <w:numFmt w:val="bullet"/>
      <w:start w:val="1"/>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9"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jpe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jpeg"/><Relationship Id="rId370" Type="http://schemas.openxmlformats.org/officeDocument/2006/relationships/image" Target="media/image347.jpeg"/><Relationship Id="rId371" Type="http://schemas.openxmlformats.org/officeDocument/2006/relationships/image" Target="media/image348.png"/><Relationship Id="rId372" Type="http://schemas.openxmlformats.org/officeDocument/2006/relationships/image" Target="media/image349.png"/><Relationship Id="rId207" Type="http://schemas.openxmlformats.org/officeDocument/2006/relationships/hyperlink" Target="http://www.sec.gov/Archives/edgar/data/2033770/000121390025003518/ea0208059-15.htm#T201" TargetMode="External"/><Relationship Id="rId208" Type="http://schemas.openxmlformats.org/officeDocument/2006/relationships/hyperlink" Target="http://www.sec.gov/Archives/edgar/data/2033770/000121390025057972/ea024660701ex3-1_cidhold.htm" TargetMode="External"/><Relationship Id="rId209" Type="http://schemas.openxmlformats.org/officeDocument/2006/relationships/hyperlink" Target="https://www.sec.gov/Archives/edgar/data/2033770/000121390025057972/ea024660701ex3-2_cidhold.htm" TargetMode="External"/><Relationship Id="rId210" Type="http://schemas.openxmlformats.org/officeDocument/2006/relationships/hyperlink" Target="http://www.sec.gov/Archives/edgar/data/2033770/000121390024094562/ea020805905ex4-5_cidhold.htm" TargetMode="External"/><Relationship Id="rId211" Type="http://schemas.openxmlformats.org/officeDocument/2006/relationships/hyperlink" Target="http://www.sec.gov/Archives/edgar/data/2033770/000121390024094562/ea020805905ex4-6_cidhold.htm" TargetMode="External"/><Relationship Id="rId212" Type="http://schemas.openxmlformats.org/officeDocument/2006/relationships/hyperlink" Target="http://www.sec.gov/Archives/edgar/data/1885461/000121390021061326/ea151223ex4-1_shoulderup.htm" TargetMode="External"/><Relationship Id="rId213" Type="http://schemas.openxmlformats.org/officeDocument/2006/relationships/hyperlink" Target="http://www.sec.gov/Archives/edgar/data/2033770/000121390025057972/ea024660701ex4-4_cidhold.htm" TargetMode="External"/><Relationship Id="rId214" Type="http://schemas.openxmlformats.org/officeDocument/2006/relationships/hyperlink" Target="http://www.sec.gov/Archives/edgar/data/2033770/000121390025120713/ea026926301ex4-1_cidhold.htm" TargetMode="External"/><Relationship Id="rId215" Type="http://schemas.openxmlformats.org/officeDocument/2006/relationships/hyperlink" Target="http://www.sec.gov/Archives/edgar/data/2033770/000121390025057972/ea024660701ex10-8_cidhold.htm" TargetMode="External"/><Relationship Id="rId216" Type="http://schemas.openxmlformats.org/officeDocument/2006/relationships/hyperlink" Target="http://www.sec.gov/Archives/edgar/data/2033770/000121390025057972/ea024660701ex10-10_cidhold.htm" TargetMode="External"/><Relationship Id="rId217" Type="http://schemas.openxmlformats.org/officeDocument/2006/relationships/hyperlink" Target="http://www.sec.gov/Archives/edgar/data/2033770/000121390025057972/ea024660701ex10-11_cidhold.htm" TargetMode="External"/><Relationship Id="rId218" Type="http://schemas.openxmlformats.org/officeDocument/2006/relationships/hyperlink" Target="http://www.sec.gov/Archives/edgar/data/2033770/000121390025057972/ea024660701ex10-12_cidhold.htm" TargetMode="External"/><Relationship Id="rId220" Type="http://schemas.openxmlformats.org/officeDocument/2006/relationships/hyperlink" Target="http://www.sec.gov/Archives/edgar/data/2033770/000121390025120713/ea026926301ex10-1_cidhold.htm" TargetMode="External"/><Relationship Id="rId221" Type="http://schemas.openxmlformats.org/officeDocument/2006/relationships/hyperlink" Target="http://www.sec.gov/Archives/edgar/data/2033770/000121390025120713/ea026926301ex10-2_cidhold.htm" TargetMode="External"/><Relationship Id="rId222" Type="http://schemas.openxmlformats.org/officeDocument/2006/relationships/hyperlink" Target="http://www.sec.gov/Archives/edgar/data/2033770/000121390025120713/ea026926301ex10-3_cidhold.htm" TargetMode="External"/><Relationship Id="rId223" Type="http://schemas.openxmlformats.org/officeDocument/2006/relationships/hyperlink" Target="https://www.sec.gov/Archives/edgar/data/2033770/000121390025057972/ea024660701ex21-1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2026-01-29T05:24:12Z</dcterms:created>
  <dcterms:modified xsi:type="dcterms:W3CDTF">2026-01-29T05:24:12Z</dcterms:modified>
</cp:coreProperties>
</file>