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6876-8k_cidhold.htm"/>
      <w:bookmarkStart w:id="1" w:name="ksea0286876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41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April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2210"/>
        <w:gridCol w:w="60"/>
        <w:gridCol w:w="2615"/>
        <w:gridCol w:w="60"/>
        <w:gridCol w:w="1535"/>
      </w:tblGrid>
      <w:tr>
        <w:trPr/>
        <w:tc>
          <w:tcPr>
            <w:tcW w:w="2210" w:type="dxa"/>
            <w:tcBorders>
              <w:bottom w:val="single" w:sz="12"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3_edei--EntityFileNumber_c20260417"/>
            <w:bookmarkEnd w:id="6"/>
            <w:r>
              <w:rPr>
                <w:b/>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rPr>
            </w:pPr>
            <w:bookmarkStart w:id="7" w:name="xdx_90E_edei--EntityTaxIdentificationNum"/>
            <w:bookmarkEnd w:id="7"/>
            <w:r>
              <w:rPr>
                <w:b/>
              </w:rPr>
              <w:t>99-2578850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bookmarkStart w:id="8" w:name="xdx_90C_edei--EntityAddressAddressLine1_"/>
            <w:bookmarkEnd w:id="8"/>
            <w:r>
              <w:rPr>
                <w:b/>
              </w:rPr>
              <w:t xml:space="preserve">5661 S Cameron St, </w:t>
            </w:r>
            <w:bookmarkStart w:id="9" w:name="xdx_90A_edei--EntityAddressAddressLine2_"/>
            <w:bookmarkEnd w:id="9"/>
            <w:r>
              <w:rPr>
                <w:b/>
              </w:rPr>
              <w:t>Suite 100,</w:t>
              <w:br/>
            </w:r>
            <w:bookmarkStart w:id="10" w:name="xdx_903_edei--EntityAddressCityOrTown_c2"/>
            <w:bookmarkEnd w:id="10"/>
            <w:r>
              <w:rPr>
                <w:b/>
              </w:rPr>
              <w:t xml:space="preserve">Las Vegas, </w:t>
            </w:r>
            <w:bookmarkStart w:id="11" w:name="xdx_90E_edei--EntityAddressStateOrProvin"/>
            <w:bookmarkEnd w:id="11"/>
            <w:r>
              <w:rPr>
                <w:b/>
              </w:rPr>
              <w:t>Nevada</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5_edei--EntityAddressPostalZipCode"/>
            <w:bookmarkEnd w:id="12"/>
            <w:r>
              <w:rPr>
                <w:b/>
              </w:rPr>
              <w:t>89118</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417__20"/>
      <w:bookmarkEnd w:id="13"/>
      <w:r>
        <w:rPr>
          <w:rFonts w:ascii="Times New Roman;Times;Serif" w:hAnsi="Times New Roman;Times;Serif"/>
          <w:b/>
          <w:i w:val="false"/>
          <w:caps w:val="false"/>
          <w:smallCaps w:val="false"/>
          <w:sz w:val="20"/>
        </w:rPr>
        <w:t>303)-</w:t>
      </w:r>
      <w:bookmarkStart w:id="14" w:name="xdx_902_edei--LocalPhoneNumber_c20260417"/>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both"/>
              <w:rPr/>
            </w:pPr>
            <w:bookmarkStart w:id="15" w:name="xdx_906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both"/>
              <w:rPr/>
            </w:pPr>
            <w:bookmarkStart w:id="16" w:name="xdx_900_edei--SolicitingMaterial_c202604"/>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bookmarkStart w:id="17" w:name="xdx_901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bookmarkStart w:id="18" w:name="xdx_90C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53"/>
        <w:gridCol w:w="60"/>
        <w:gridCol w:w="1395"/>
        <w:gridCol w:w="60"/>
        <w:gridCol w:w="2837"/>
      </w:tblGrid>
      <w:tr>
        <w:trPr/>
        <w:tc>
          <w:tcPr>
            <w:tcW w:w="5853"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9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left"/>
              <w:rPr/>
            </w:pPr>
            <w:r>
              <w:rPr/>
              <w:t> </w:t>
            </w:r>
          </w:p>
        </w:tc>
        <w:tc>
          <w:tcPr>
            <w:tcW w:w="2837"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5853" w:type="dxa"/>
            <w:tcBorders/>
            <w:shd w:fill="CCEEFF" w:val="clear"/>
            <w:tcMar>
              <w:bottom w:w="0" w:type="dxa"/>
            </w:tcMar>
            <w:vAlign w:val="center"/>
          </w:tcPr>
          <w:p>
            <w:pPr>
              <w:pStyle w:val="TableContents"/>
              <w:bidi w:val="0"/>
              <w:spacing w:before="0" w:after="283"/>
              <w:jc w:val="center"/>
              <w:rPr/>
            </w:pPr>
            <w:bookmarkStart w:id="19" w:name="xdx_90F_edei--Security12bTitle_c20260417"/>
            <w:bookmarkEnd w:id="19"/>
            <w:r>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5" w:type="dxa"/>
            <w:tcBorders/>
            <w:shd w:fill="CCEEFF" w:val="clear"/>
            <w:tcMar>
              <w:bottom w:w="0" w:type="dxa"/>
            </w:tcMar>
            <w:vAlign w:val="center"/>
          </w:tcPr>
          <w:p>
            <w:pPr>
              <w:pStyle w:val="TableContents"/>
              <w:bidi w:val="0"/>
              <w:spacing w:before="0" w:after="283"/>
              <w:jc w:val="center"/>
              <w:rPr/>
            </w:pPr>
            <w:bookmarkStart w:id="20" w:name="xdx_90B_edei--TradingSymbol_c20260417__2"/>
            <w:bookmarkEnd w:id="20"/>
            <w:r>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7" w:type="dxa"/>
            <w:tcBorders/>
            <w:shd w:fill="CCEEFF" w:val="clear"/>
            <w:tcMar>
              <w:bottom w:w="0" w:type="dxa"/>
            </w:tcMar>
            <w:vAlign w:val="center"/>
          </w:tcPr>
          <w:p>
            <w:pPr>
              <w:pStyle w:val="TableContents"/>
              <w:bidi w:val="0"/>
              <w:spacing w:before="0" w:after="283"/>
              <w:jc w:val="center"/>
              <w:rPr/>
            </w:pPr>
            <w:r>
              <w:rPr/>
              <w:t xml:space="preserve">The </w:t>
            </w:r>
            <w:bookmarkStart w:id="21" w:name="xdx_90B_edei--SecurityExchangeName_c2026"/>
            <w:bookmarkEnd w:id="21"/>
            <w:r>
              <w:rPr/>
              <w:t>Nasdaq Stock Market LLC</w:t>
            </w:r>
          </w:p>
        </w:tc>
      </w:tr>
      <w:tr>
        <w:trPr/>
        <w:tc>
          <w:tcPr>
            <w:tcW w:w="5853" w:type="dxa"/>
            <w:tcBorders/>
            <w:tcMar>
              <w:bottom w:w="0" w:type="dxa"/>
            </w:tcMar>
            <w:vAlign w:val="center"/>
          </w:tcPr>
          <w:p>
            <w:pPr>
              <w:pStyle w:val="TableContents"/>
              <w:bidi w:val="0"/>
              <w:spacing w:before="0" w:after="283"/>
              <w:jc w:val="center"/>
              <w:rPr/>
            </w:pPr>
            <w:bookmarkStart w:id="22" w:name="xdx_906_edei--Security12bTitle_c20260417"/>
            <w:bookmarkEnd w:id="22"/>
            <w:r>
              <w:rPr/>
              <w:t>Warrants, each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283"/>
              <w:jc w:val="center"/>
              <w:rPr/>
            </w:pPr>
            <w:bookmarkStart w:id="23" w:name="xdx_900_edei--TradingSymbol_c20260417__2"/>
            <w:bookmarkEnd w:id="23"/>
            <w:r>
              <w:rPr/>
              <w:t>DAICW</w:t>
            </w:r>
          </w:p>
        </w:tc>
        <w:tc>
          <w:tcPr>
            <w:tcW w:w="60" w:type="dxa"/>
            <w:tcBorders/>
            <w:tcMar>
              <w:bottom w:w="0" w:type="dxa"/>
            </w:tcMar>
            <w:vAlign w:val="center"/>
          </w:tcPr>
          <w:p>
            <w:pPr>
              <w:pStyle w:val="TableContents"/>
              <w:bidi w:val="0"/>
              <w:spacing w:before="0" w:after="283"/>
              <w:jc w:val="left"/>
              <w:rPr/>
            </w:pPr>
            <w:r>
              <w:rPr/>
              <w:t> </w:t>
            </w:r>
          </w:p>
        </w:tc>
        <w:tc>
          <w:tcPr>
            <w:tcW w:w="2837" w:type="dxa"/>
            <w:tcBorders/>
            <w:tcMar>
              <w:bottom w:w="0" w:type="dxa"/>
            </w:tcMar>
            <w:vAlign w:val="center"/>
          </w:tcPr>
          <w:p>
            <w:pPr>
              <w:pStyle w:val="TableContents"/>
              <w:bidi w:val="0"/>
              <w:spacing w:before="0" w:after="283"/>
              <w:jc w:val="center"/>
              <w:rPr/>
            </w:pPr>
            <w:r>
              <w:rPr/>
              <w:t xml:space="preserve">The </w:t>
            </w:r>
            <w:bookmarkStart w:id="24" w:name="xdx_904_edei--SecurityExchangeName_c2026"/>
            <w:bookmarkEnd w:id="24"/>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7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firstLine="72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“Effective Date”), CID Holdco, Inc. (the “Company”) entered into a series of financing agreements (collectively, the “Financing Transaction”) with White Lion Capital, LLC, a Nevada limited liability company (the “Investor”), consisting of, among other documents, (i) a Common Stock Purchase Agreement (the “CSPA”), (ii) a Registration Rights Agreement (the “Registration Rights Agreement”), (iii) a Note Purchase Agreement (the “Note Purchase Agreement”), (iv) a Senior Secured Convertible Promissory Note (the “Note”), and (v) a Common Stock Purchase Warrant (the “Commitment Warrant” and, together with the CSPA, the Registration Rights Agreement, the Note Purchase Agreement, and the Note, the “Transaction Documents”). The material terms of each Transaction Document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CSPA with the Investor, pursuant to which the Company has the right, but not the obligation, to require the Investor to purchase, from time to time, up to $10,000,000 of the Company's common stock, par value $0.0001 per share (the “Common Stock”), during the period commencing on the Effective Date and ending on December 31, 2028 (the “Commitment Period”). The sales of Common Stock by the Company to the Investor will be made in reliance upon the exemption provided by Section 4(a)(2) of the Securities Act of 1933, as amended (the “Securities Act”), and Rule 506(b) of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Rapid Purchase Notices</w:t>
      </w:r>
      <w:r>
        <w:rPr>
          <w:rFonts w:ascii="Times New Roman;Times;Serif" w:hAnsi="Times New Roman;Times;Serif"/>
          <w:b w:val="false"/>
          <w:i w:val="false"/>
          <w:caps w:val="false"/>
          <w:smallCaps w:val="false"/>
          <w:sz w:val="20"/>
        </w:rPr>
        <w:t>. At the Company's sole discretion, the Company may direct the Investor to purchase a specified number of shares of Common Stock by delivering a rapid purchase notice (a “Rapid Purchase Notice”). The purchase price per share (the “Rapid Purchase Price”) equals the average of the three lowest traded prices of the Common Stock during the two-hour period immediately following delivery of the notice. Settlement occurs no later than one business day following delivery of the Rapid Purchase Notice, with the Investor delivering to the Company an amount equal to the number of shares purchased multiplied by the Rapid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VWAP Purchase Notices</w:t>
      </w:r>
      <w:r>
        <w:rPr>
          <w:rFonts w:ascii="Times New Roman;Times;Serif" w:hAnsi="Times New Roman;Times;Serif"/>
          <w:b w:val="false"/>
          <w:i w:val="false"/>
          <w:caps w:val="false"/>
          <w:smallCaps w:val="false"/>
          <w:sz w:val="20"/>
        </w:rPr>
        <w:t>. At the Company's sole discretion, the Company may direct the Investor to purchase a specified number of shares of Common Stock by delivering a VWAP purchase notice (a “VWAP Purchase Notice”). The purchase price per share equals 97% of the lowest daily volume-weighted average price (“VWAP”) of the Common Stock during the three consecutive business days following the notice (the “VWAP Purchase Valuation Period”). Settlement occurs no later than one business day following the VWAP Purchase Valuation Period. Each VWAP Purchase Notice is limited to 60% of the trailing five-day average daily trading volume, subject to waiver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Commitment Shares</w:t>
      </w:r>
      <w:r>
        <w:rPr>
          <w:rFonts w:ascii="Times New Roman;Times;Serif" w:hAnsi="Times New Roman;Times;Serif"/>
          <w:b w:val="false"/>
          <w:i w:val="false"/>
          <w:caps w:val="false"/>
          <w:smallCaps w:val="false"/>
          <w:sz w:val="20"/>
        </w:rPr>
        <w:t>. As consideration for the Investor's execution and delivery of, and agreement to perform under, the CSPA, the Company will issue to the Investor, within three business days following the effectiveness of the registration statement described below, a number of shares of Common Stock (the “Commitment Shares”) equal to a commitment fee amount of $120,000 divided by the closing price of the Common Stock on the trading day immediately preceding the earlier of (i) the date on which the registration statement is declared effective by the U.S. Securities and Exchange Commission (the “SEC”) and (ii) the date that is 180 calendar days following the Effective Date. The Commitment Shares are fully earned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The Investor may not acquire shares that would cause its beneficial ownership to exceed 4.99% of the outstanding Common Stock, subject to increase to 9.99% upon mutual written agreement of the Company and the Investor, effective not less than 61 days after such mutual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Cap</w:t>
      </w:r>
      <w:r>
        <w:rPr>
          <w:rFonts w:ascii="Times New Roman;Times;Serif" w:hAnsi="Times New Roman;Times;Serif"/>
          <w:b w:val="false"/>
          <w:i w:val="false"/>
          <w:caps w:val="false"/>
          <w:smallCaps w:val="false"/>
          <w:sz w:val="20"/>
        </w:rPr>
        <w:t>. Pursuant to the rules of the Nasdaq Capital Market (the “Nasdaq”), the Company may not issue shares of Common Stock under the CSPA and the other Transaction Documents in excess of 19.99% of the Company's outstanding shares of Common Stock as of the Effective Date (the “Exchange Cap”), unless the Company obtains stockholder approval to issue shares in excess of the Exchange Cap (the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w:t>
      </w:r>
      <w:r>
        <w:rPr>
          <w:rFonts w:ascii="Times New Roman;Times;Serif" w:hAnsi="Times New Roman;Times;Serif"/>
          <w:b w:val="false"/>
          <w:i w:val="false"/>
          <w:caps w:val="false"/>
          <w:smallCaps w:val="false"/>
          <w:sz w:val="20"/>
        </w:rPr>
        <w:t>. The Company has agreed to use commercially reasonable efforts to hold a stockholder meeting as soon as reasonably practicable, but in no event later than May 15, 2026, for the purpose of obtaining the Stockholder Approval; provided that the meeting may be adjourned one or more times for purposes of soliciting additional votes for the Stockholder Approval for not more than thirty (30) calendar days. If the Stockholder Approval is not obtained by the first required meeting date, the Company must hold additional stockholder meetings every 180 days thereafter until such approval is obtained, for a period of 720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Variable Rate Transaction Prohibition</w:t>
      </w:r>
      <w:r>
        <w:rPr>
          <w:rFonts w:ascii="Times New Roman;Times;Serif" w:hAnsi="Times New Roman;Times;Serif"/>
          <w:b w:val="false"/>
          <w:i w:val="false"/>
          <w:caps w:val="false"/>
          <w:smallCaps w:val="false"/>
          <w:sz w:val="20"/>
        </w:rPr>
        <w:t>. From the Effective Date until the end of the Commitment Period, the Company is prohibited from effecting or entering into an agreement to effect any variable rate transaction without the Investor's prior written consent. Notwithstanding the foregoing, the Company is permitted to effect (a) a secondary offering of shares of Common Stock or other equity securities of the Company, provided the aggregate amount of such offering does not exceed $10,000,000, (b) a private placement of convertible preferred stock or other securities convertible or exercisable into Common Stock at a fixed conversion or exercise price, provided that the aggregate amount of such offering does not exceed $10,000,000, and/or (c) a transaction backed by a bona fide purchase order that qualifies for factoring by a traditional commercial factor at a factoring rate of less than 3% per month and has a face value of no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Failure Payments</w:t>
      </w:r>
      <w:r>
        <w:rPr>
          <w:rFonts w:ascii="Times New Roman;Times;Serif" w:hAnsi="Times New Roman;Times;Serif"/>
          <w:b w:val="false"/>
          <w:i w:val="false"/>
          <w:caps w:val="false"/>
          <w:smallCaps w:val="false"/>
          <w:sz w:val="20"/>
        </w:rPr>
        <w:t>. If the registration statement described below is not filed within 30 days of the Effective Date, the Company is required to pay the Investor liquidated damages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 Failure Payments</w:t>
      </w:r>
      <w:r>
        <w:rPr>
          <w:rFonts w:ascii="Times New Roman;Times;Serif" w:hAnsi="Times New Roman;Times;Serif"/>
          <w:b w:val="false"/>
          <w:i w:val="false"/>
          <w:caps w:val="false"/>
          <w:smallCaps w:val="false"/>
          <w:sz w:val="20"/>
        </w:rPr>
        <w:t>. If the stockholder meeting is not held on or before May 15, 2026, the Company is required to pay the Investor liquidated damages of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Company may terminate the CSPA upon five trading days' prior written notice to the Investor or concurrently with the closing of any subsequent financing, subject to certain conditions, including that there are no outstanding purchase notices and the Company has paid all amounts owed to the Investor. The CSPA also terminates automatically upon the earlier of the end of the Commitment Period or the commencement of bankruptcy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 and Senior Secured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Note Purchase Agreement with the Investor, pursuant to which the Investor has agreed to purchase from the Company senior secured convertible promissory notes in an aggregate principal amount of up to $2,875,000, reflecting a 20% original issue discount applied to aggregate loan proceeds of up to $2,300,000 (the “Note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 The Note Purchase Price will be funded in up to ten monthly tranches of $230,000 each (each, a “Tranche,” with a corresponding principal amount of $287,500). The first closing under the Note Purchase Agreement will occur within one trading day after the Company's filing of the Registration Statement with the SEC. Neither party is obligated to fund or request any individual Tranche after the first two required subsequent closings; each subsequent funding requires the affirmative, mutual written authorization of both parties. The Company will only accrue principal and original issue discount obligations for Tranches actually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Accelerated Funding.</w:t>
      </w:r>
      <w:r>
        <w:rPr>
          <w:rFonts w:ascii="Times New Roman;Times;Serif" w:hAnsi="Times New Roman;Times;Serif"/>
          <w:b w:val="false"/>
          <w:i w:val="false"/>
          <w:caps w:val="false"/>
          <w:smallCaps w:val="false"/>
          <w:sz w:val="20"/>
        </w:rPr>
        <w:t xml:space="preserve"> The full remaining Note Purchase Price may be funded in a single disbursement at the Company's discretion, provided the Company has received a bona fide purchase order with a face value of at least $5,000,000 that qualifies for factoring at a rate of less than 3% per month. The Company must provide the Investor with written notice and supporting documentation at least five business days before the requested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and Maturity.</w:t>
      </w:r>
      <w:r>
        <w:rPr>
          <w:rFonts w:ascii="Times New Roman;Times;Serif" w:hAnsi="Times New Roman;Times;Serif"/>
          <w:b w:val="false"/>
          <w:i w:val="false"/>
          <w:caps w:val="false"/>
          <w:smallCaps w:val="false"/>
          <w:sz w:val="20"/>
        </w:rPr>
        <w:t xml:space="preserve"> The Note bears interest at 8% per annum on the principal amount, with the interest for the first six months accruing immediately and guaranteed. Each Tranche matures six months after its respective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The Notes will be convertible at the option of the Investor into shares of Common Stock at a variable conversion price equal to 80% of the lowest daily VWAP of the Common Stock during the 15 trading days before the conversion notice.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Default Conversion Price.</w:t>
      </w:r>
      <w:r>
        <w:rPr>
          <w:rFonts w:ascii="Times New Roman;Times;Serif" w:hAnsi="Times New Roman;Times;Serif"/>
          <w:b w:val="false"/>
          <w:i w:val="false"/>
          <w:caps w:val="false"/>
          <w:smallCaps w:val="false"/>
          <w:sz w:val="20"/>
        </w:rPr>
        <w:t xml:space="preserve"> Upon the occurrence of an Event of Default (as described below) that is not cured within ten (10) business days (if curable), the conversion price may, at the Investor's option, be reduced to $0.01 per share (the “Default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xml:space="preserve"> The Note is subject to a beneficial ownership limitation of 4.99%, subject to increase to 9.99% upon 61 days' prior written notice by the Investor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Security Interest.</w:t>
      </w:r>
      <w:r>
        <w:rPr>
          <w:rFonts w:ascii="Times New Roman;Times;Serif" w:hAnsi="Times New Roman;Times;Serif"/>
          <w:b w:val="false"/>
          <w:i w:val="false"/>
          <w:caps w:val="false"/>
          <w:smallCaps w:val="false"/>
          <w:sz w:val="20"/>
        </w:rPr>
        <w:t xml:space="preserve"> The Notes will be senior secured obligations of the Company, with priority over all existing and future indebtedness of the Company. The obligations under the Note are secured by all of the assets, personal property of every kind, intellectual property, claims, products and proceeds of the Company. The Note is currently structured as a second priority lien, subordinated to the Company's obligations to J.J. Astor &amp; Co. (“J.J. Astor”) pursuant to a loan agreement dated December 4, 2025, until those obligations are discharged in full. So long as any obligation under the Note remains outstanding, the Company may not incur or guarantee any indebtedness that is senior to or pari passu with its obligations under the Note, other than the J.J. Astor obligations. In connection with the Note Purchase Agreement, the Company also entered into a security agreement granting the Investor a second priority lien, subordinated to the Company's obligations to J.J. Astor, in all assets of the Company, and an intellectual property security agreement granting the Investor a second priority lien, subordinated to the Company's obligations to J.J. Astor, in all its intellectual property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is required to use the proceeds from the sale of the Notes to make its scheduled monthly payments under the J.J. Astor loan. In addition, while any portion of any Note is outstanding, if the Company receives cash proceeds from the issuance of securities pursuant to the CSPA or from the exercise of the Commitment Warrant, the Investor has the right to require the Company to immediately apply up to 10% of such proceeds to repay outstanding amounts under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 of First Refusal and Roll-Over Rights.</w:t>
      </w:r>
      <w:r>
        <w:rPr>
          <w:rFonts w:ascii="Times New Roman;Times;Serif" w:hAnsi="Times New Roman;Times;Serif"/>
          <w:b w:val="false"/>
          <w:i w:val="false"/>
          <w:caps w:val="false"/>
          <w:smallCaps w:val="false"/>
          <w:sz w:val="20"/>
        </w:rPr>
        <w:t xml:space="preserve"> For so long as any Note remains outstanding, prior to entering into any equity, equity-linked, or debt financing with any third party (a “Subsequent Financing”), the Company must present the terms of such financing to the Investor as a right of first refusal, and the Investor has the option to participate on a pro rata basis. In addition, the Investor has the right to roll over all or any portion of the outstanding principal amount of the Notes, together with accrued but unpaid interest, into the securities issued in a Subsequent Financing on the same terms and conditions applicable to other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Variable Rate Prohibition.</w:t>
      </w:r>
      <w:r>
        <w:rPr>
          <w:rFonts w:ascii="Times New Roman;Times;Serif" w:hAnsi="Times New Roman;Times;Serif"/>
          <w:b w:val="false"/>
          <w:i w:val="false"/>
          <w:caps w:val="false"/>
          <w:smallCaps w:val="false"/>
          <w:sz w:val="20"/>
        </w:rPr>
        <w:t xml:space="preserve"> For so long as any Note remains outstanding, the Company may not enter into, issue, or amend any variable rate transaction or equity-linked financing with price reset or floating conversion features without the Investor's prior written consent, except where the proceeds are used to repay all of the Notes in full. Notwithstanding the foregoing, the Company is permitted to effect (a) a secondary offering of shares of Common Stock or other equity securities of the Company, provided the aggregate amount of such offering does not exceed $10,000,000, (b) a private placement of convertible preferred stock or other securities convertible or exercisable into Common Stock at a fixed conversion or exercise price, provided that the aggregate amount of such offering does not exceed $10,000,000, and/or (c) a transaction backed by a bona fide purchase order that qualifies for factoring by a traditional commercial factor at a factoring rate of less than 3% per month and has a face value of no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xml:space="preserve"> Events of Default under the Note include, among others: (i) failure to pay principal or interest when due; (ii) failure to deliver conversion shares; (iii) breach of any covenant or representation in the Note or any Transaction Document; (iv) bankruptcy, insolvency, or liquidation; (v) delisting of the Common Stock from Nasdaq; (vi) failure to timely comply with Exchange Act reporting requirements; (vii) loss of DTC/FAST eligibility; (viii) cessation of operations; (ix) entry into a Section 3(a)(9) or 3(a)(10) transaction (other than permitted transactions); and (x) cross-default with all other agreements between the Company and the Investor, including the CSPA, the Commitment Warrant, and the Registration Rights Agreement. Upon an Event of Default, the outstanding principal, accrued interest, and all other amounts owed become immediately due and payable, and the Investor may elect to use the Default Conversion Price of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 Deadline.</w:t>
      </w:r>
      <w:r>
        <w:rPr>
          <w:rFonts w:ascii="Times New Roman;Times;Serif" w:hAnsi="Times New Roman;Times;Serif"/>
          <w:b w:val="false"/>
          <w:i w:val="false"/>
          <w:caps w:val="false"/>
          <w:smallCaps w:val="false"/>
          <w:sz w:val="20"/>
        </w:rPr>
        <w:t xml:space="preserve"> The Company is required to obtain stockholder approval for the issuance of securities under the Financing Transaction documents no later than May 15, 2026 (as such date may be extended if the meeting is adjourned one or more times for purposes of soliciting additional votes for the Stockholder Approval for not more than thirty (30) calendar days). Failure to obtain stockholder approval by such date constitutes an Event of Default under the Note Purchase Agreement, and the Investor may elect to use the Default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Financing Transaction, the Company entered into the Registration Rights Agreement with the Investor, pursuant to which the Company has agreed to file a registration statement on Form S-1 (the “Registration Statement”) with the SEC within 15 business days after the Effective Date, covering the resale by the Investor of the shares of Common Stock issuable under the CSPA, including the Commitment Shares and shares issuable upon exercise of the Commitment Warrant, as well as the shares of Common Stock issuable upon conversion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 consideration for the Investor's execution and delivery of the CSPA, the Company issued to the Investor the Commitment Warrant, which entitles the Investor to purchase up to $2,000,000 of shares of Common Stock at an exercise price per share equal to 99% of the closing sales price of the Common Stock on the trading day prior to the exercise date. The Commitment Warrant has a five-year term from the initial exercise date subject to earlier termination by the Company upon five trading days' prior written notice to the Investor. The Commitment Warrant is fully earned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xml:space="preserve"> The Commitment Warrant is subject to a beneficial ownership limitation of 4.99%, subject to increase to 9.99% upon notice to and with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Limitations.</w:t>
      </w:r>
      <w:r>
        <w:rPr>
          <w:rFonts w:ascii="Times New Roman;Times;Serif" w:hAnsi="Times New Roman;Times;Serif"/>
          <w:b w:val="false"/>
          <w:i w:val="false"/>
          <w:caps w:val="false"/>
          <w:smallCaps w:val="false"/>
          <w:sz w:val="20"/>
        </w:rPr>
        <w:t xml:space="preserve"> Each exercise of the Commitment Warrant is limited to 5% of the greater of the trading volume on the day before or the day of the exercise notice. In addition, the Commitment Warrant may not be exercised if the closing sales price of the Common Stock on the trading day before the notice of exercise is less than the closing sales price on each of the two prior trading days, subject to waiver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Rapid Purchase Notice Override.</w:t>
      </w:r>
      <w:r>
        <w:rPr>
          <w:rFonts w:ascii="Times New Roman;Times;Serif" w:hAnsi="Times New Roman;Times;Serif"/>
          <w:b w:val="false"/>
          <w:i w:val="false"/>
          <w:caps w:val="false"/>
          <w:smallCaps w:val="false"/>
          <w:sz w:val="20"/>
        </w:rPr>
        <w:t xml:space="preserve"> If the Investor delivers a notice of exercise of the Commitment Warrant, the Company may elect within two hours to instead deliver a Rapid Purchase Notice for the same number of shares, in which case the Warrant exercise is deemed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Cashless Exercise.</w:t>
      </w:r>
      <w:r>
        <w:rPr>
          <w:rFonts w:ascii="Times New Roman;Times;Serif" w:hAnsi="Times New Roman;Times;Serif"/>
          <w:b w:val="false"/>
          <w:i w:val="false"/>
          <w:caps w:val="false"/>
          <w:smallCaps w:val="false"/>
          <w:sz w:val="20"/>
        </w:rPr>
        <w:t xml:space="preserve"> The Commitment Warrant includes a cashless exercise provision available after the six-month anniversary of the CSPA if there is no effective registration statement covering the resale of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Transaction Documents do not purport to be complete and are qualified in their entirety by reference to the full text of the CSPA, the Registration Rights Agreement, the Note Purchase Agreement, the Note, and the Commitment Warrant, which are filed as Exhibits 10.1, 10.2, 10.3, 10.4, and 4.1 to this Current Report,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contained in Item 1.01 of this Current Report is incorporated by reference in this Item 2.03.</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contained in Item 1.01 of this Current Report is incorporated by reference in this Item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Commitment Shares and the Commitment Warrant were not registered under the Securities Act in reliance upon the exemptions from registration provided by Section 4(a)(2) of the Securities Act and Rule 506(b) of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37"/>
        <w:gridCol w:w="60"/>
        <w:gridCol w:w="9108"/>
      </w:tblGrid>
      <w:tr>
        <w:trPr/>
        <w:tc>
          <w:tcPr>
            <w:tcW w:w="1037"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108" w:type="dxa"/>
            <w:tcBorders>
              <w:bottom w:val="single" w:sz="12" w:space="0" w:color="000000"/>
            </w:tcBorders>
            <w:vAlign w:val="center"/>
          </w:tcPr>
          <w:p>
            <w:pPr>
              <w:pStyle w:val="TableContents"/>
              <w:bidi w:val="0"/>
              <w:spacing w:before="0" w:after="283"/>
              <w:jc w:val="both"/>
              <w:rPr/>
            </w:pPr>
            <w:r>
              <w:rPr/>
              <w:t>Description</w:t>
            </w:r>
          </w:p>
        </w:tc>
      </w:tr>
      <w:tr>
        <w:trPr/>
        <w:tc>
          <w:tcPr>
            <w:tcW w:w="1037"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08" w:type="dxa"/>
            <w:tcBorders/>
            <w:shd w:fill="CCEEFF" w:val="clear"/>
            <w:tcMar>
              <w:bottom w:w="0" w:type="dxa"/>
            </w:tcMar>
            <w:vAlign w:val="center"/>
          </w:tcPr>
          <w:p>
            <w:pPr>
              <w:pStyle w:val="TableContents"/>
              <w:bidi w:val="0"/>
              <w:spacing w:before="0" w:after="283"/>
              <w:jc w:val="both"/>
              <w:rPr/>
            </w:pPr>
            <w:hyperlink w:anchor="ea028687601_ex4-1.htm">
              <w:r>
                <w:rPr>
                  <w:rStyle w:val="InternetLink"/>
                </w:rPr>
                <w:t>Common Stock Purchase Warrant, dated April 17, 2026, by and between CID Holdco, Inc. and White Lion Capital, LLC</w:t>
              </w:r>
            </w:hyperlink>
          </w:p>
        </w:tc>
      </w:tr>
      <w:tr>
        <w:trPr/>
        <w:tc>
          <w:tcPr>
            <w:tcW w:w="1037" w:type="dxa"/>
            <w:tcBorders/>
            <w:shd w:fill="FFFFFF" w:val="clear"/>
            <w:tcMar>
              <w:bottom w:w="0" w:type="dxa"/>
            </w:tcMar>
            <w:vAlign w:val="center"/>
          </w:tcPr>
          <w:p>
            <w:pPr>
              <w:pStyle w:val="TableContents"/>
              <w:bidi w:val="0"/>
              <w:spacing w:before="0" w:after="283"/>
              <w:jc w:val="lef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08" w:type="dxa"/>
            <w:tcBorders/>
            <w:shd w:fill="FFFFFF" w:val="clear"/>
            <w:tcMar>
              <w:bottom w:w="0" w:type="dxa"/>
            </w:tcMar>
            <w:vAlign w:val="center"/>
          </w:tcPr>
          <w:p>
            <w:pPr>
              <w:pStyle w:val="TableContents"/>
              <w:bidi w:val="0"/>
              <w:spacing w:before="0" w:after="283"/>
              <w:jc w:val="both"/>
              <w:rPr/>
            </w:pPr>
            <w:hyperlink w:anchor="ea028687601_ex10-1.htm">
              <w:r>
                <w:rPr>
                  <w:rStyle w:val="InternetLink"/>
                </w:rPr>
                <w:t>Common Stock Purchase Agreement, dated April 17, 2026, by and between CID Holdco, Inc. and White Lion Capital, LLC</w:t>
              </w:r>
            </w:hyperlink>
          </w:p>
        </w:tc>
      </w:tr>
      <w:tr>
        <w:trPr/>
        <w:tc>
          <w:tcPr>
            <w:tcW w:w="1037"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08" w:type="dxa"/>
            <w:tcBorders/>
            <w:shd w:fill="CCEEFF" w:val="clear"/>
            <w:tcMar>
              <w:bottom w:w="0" w:type="dxa"/>
            </w:tcMar>
            <w:vAlign w:val="center"/>
          </w:tcPr>
          <w:p>
            <w:pPr>
              <w:pStyle w:val="TableContents"/>
              <w:bidi w:val="0"/>
              <w:spacing w:before="0" w:after="283"/>
              <w:jc w:val="both"/>
              <w:rPr/>
            </w:pPr>
            <w:hyperlink w:anchor="ea028687601_ex10-2.htm">
              <w:r>
                <w:rPr>
                  <w:rStyle w:val="InternetLink"/>
                </w:rPr>
                <w:t>Registration Rights Agreement, dated April 17, 2026, by and between CID Holdco, Inc. and White Lion Capital, LLC</w:t>
              </w:r>
            </w:hyperlink>
          </w:p>
        </w:tc>
      </w:tr>
      <w:tr>
        <w:trPr/>
        <w:tc>
          <w:tcPr>
            <w:tcW w:w="1037" w:type="dxa"/>
            <w:tcBorders/>
            <w:shd w:fill="FFFFFF" w:val="clear"/>
            <w:tcMar>
              <w:bottom w:w="0" w:type="dxa"/>
            </w:tcMar>
            <w:vAlign w:val="center"/>
          </w:tcPr>
          <w:p>
            <w:pPr>
              <w:pStyle w:val="TableContents"/>
              <w:bidi w:val="0"/>
              <w:spacing w:before="0" w:after="283"/>
              <w:jc w:val="left"/>
              <w:rPr/>
            </w:pPr>
            <w:r>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08" w:type="dxa"/>
            <w:tcBorders/>
            <w:shd w:fill="FFFFFF" w:val="clear"/>
            <w:tcMar>
              <w:bottom w:w="0" w:type="dxa"/>
            </w:tcMar>
            <w:vAlign w:val="center"/>
          </w:tcPr>
          <w:p>
            <w:pPr>
              <w:pStyle w:val="TableContents"/>
              <w:bidi w:val="0"/>
              <w:spacing w:before="0" w:after="283"/>
              <w:jc w:val="both"/>
              <w:rPr/>
            </w:pPr>
            <w:hyperlink w:anchor="ea028687601_ex10-3.htm">
              <w:r>
                <w:rPr>
                  <w:rStyle w:val="InternetLink"/>
                </w:rPr>
                <w:t>Note Purchase Agreement, dated April 17, 2026, by and between CID Holdco, Inc. and White Lion Capital, LLC</w:t>
              </w:r>
            </w:hyperlink>
          </w:p>
        </w:tc>
      </w:tr>
      <w:tr>
        <w:trPr/>
        <w:tc>
          <w:tcPr>
            <w:tcW w:w="1037"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08" w:type="dxa"/>
            <w:tcBorders/>
            <w:shd w:fill="CCEEFF" w:val="clear"/>
            <w:tcMar>
              <w:bottom w:w="0" w:type="dxa"/>
            </w:tcMar>
            <w:vAlign w:val="center"/>
          </w:tcPr>
          <w:p>
            <w:pPr>
              <w:pStyle w:val="TableContents"/>
              <w:bidi w:val="0"/>
              <w:spacing w:before="0" w:after="283"/>
              <w:jc w:val="both"/>
              <w:rPr/>
            </w:pPr>
            <w:hyperlink w:anchor="ea028687601_ex10-4.htm">
              <w:r>
                <w:rPr>
                  <w:rStyle w:val="InternetLink"/>
                </w:rPr>
                <w:t>Form of Senior Secured Convertible Promissory Note</w:t>
              </w:r>
            </w:hyperlink>
          </w:p>
        </w:tc>
      </w:tr>
      <w:tr>
        <w:trPr/>
        <w:tc>
          <w:tcPr>
            <w:tcW w:w="1037"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08" w:type="dxa"/>
            <w:tcBorders/>
            <w:shd w:fill="FFFF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00"/>
        <w:gridCol w:w="365"/>
        <w:gridCol w:w="3635"/>
      </w:tblGrid>
      <w:tr>
        <w:trPr/>
        <w:tc>
          <w:tcPr>
            <w:tcW w:w="2000" w:type="dxa"/>
            <w:tcBorders/>
            <w:vAlign w:val="center"/>
          </w:tcPr>
          <w:p>
            <w:pPr>
              <w:pStyle w:val="TableContents"/>
              <w:bidi w:val="0"/>
              <w:spacing w:before="0" w:after="283"/>
              <w:jc w:val="both"/>
              <w:rPr/>
            </w:pPr>
            <w:r>
              <w:rPr/>
              <w:t> </w:t>
            </w:r>
          </w:p>
        </w:tc>
        <w:tc>
          <w:tcPr>
            <w:tcW w:w="4000" w:type="dxa"/>
            <w:gridSpan w:val="2"/>
            <w:tcBorders/>
            <w:vAlign w:val="center"/>
          </w:tcPr>
          <w:p>
            <w:pPr>
              <w:pStyle w:val="TableContents"/>
              <w:bidi w:val="0"/>
              <w:spacing w:before="0" w:after="283"/>
              <w:jc w:val="both"/>
              <w:rPr/>
            </w:pPr>
            <w:r>
              <w:rPr/>
              <w:t>CID HoldCo, Inc.</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 </w:t>
            </w:r>
          </w:p>
        </w:tc>
      </w:tr>
      <w:tr>
        <w:trPr/>
        <w:tc>
          <w:tcPr>
            <w:tcW w:w="2000" w:type="dxa"/>
            <w:tcBorders/>
            <w:vAlign w:val="center"/>
          </w:tcPr>
          <w:p>
            <w:pPr>
              <w:pStyle w:val="TableContents"/>
              <w:bidi w:val="0"/>
              <w:spacing w:before="0" w:after="283"/>
              <w:jc w:val="both"/>
              <w:rPr/>
            </w:pPr>
            <w:r>
              <w:rPr/>
              <w:t>Date: April 20, 2026</w:t>
            </w:r>
          </w:p>
        </w:tc>
        <w:tc>
          <w:tcPr>
            <w:tcW w:w="365" w:type="dxa"/>
            <w:tcBorders/>
            <w:vAlign w:val="center"/>
          </w:tcPr>
          <w:p>
            <w:pPr>
              <w:pStyle w:val="TableContents"/>
              <w:bidi w:val="0"/>
              <w:spacing w:before="0" w:after="283"/>
              <w:jc w:val="both"/>
              <w:rPr/>
            </w:pPr>
            <w:r>
              <w:rPr/>
              <w:t>By:</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Edmund Nabrotzky</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8687601_ex4-1.htm"/>
      <w:bookmarkStart w:id="28" w:name="ksea028687601_ex41"/>
      <w:bookmarkEnd w:id="27"/>
      <w:bookmarkEnd w:id="28"/>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UNDER THE SECURITIES ACT OF 1933, AS AMENDED (THE “ACT”), OR UNDER THE SECURITIES LAWS OF ANY OTHER JURISDICTIONS. AS A RESULT, THESE SECURITIES MAY NOT BE OFFERED, TRANSFERRED OR RESOLD EXCEPT AS PERMITTED UNDER THE ACT OR APPLICABLE STATE SECURITIES LAWS (PURSUANT TO REGISTRATION OR EXEMPTION THEREFROM OR IN A TRANSACTION NOT SUBJECT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tbl>
      <w:tblPr>
        <w:tblW w:w="3568" w:type="dxa"/>
        <w:jc w:val="left"/>
        <w:tblInd w:w="0" w:type="dxa"/>
        <w:tblLayout w:type="fixed"/>
        <w:tblCellMar>
          <w:top w:w="0" w:type="dxa"/>
          <w:left w:w="0" w:type="dxa"/>
          <w:bottom w:w="0" w:type="dxa"/>
          <w:right w:w="0" w:type="dxa"/>
        </w:tblCellMar>
      </w:tblPr>
      <w:tblGrid>
        <w:gridCol w:w="38"/>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right"/>
              <w:rPr/>
            </w:pPr>
            <w:r>
              <w:rPr/>
              <w:t>Initial Exercise Date : April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White Lion Capital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April 17, 2026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Termination Date but not thereafter, to subscribe for and purchase from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shares of the Company’s Common Stock, in the amounts and the price per share as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Common Stock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as of April 17, 2026, by and between the Company and the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Warrant,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2(f)(i)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xml:space="preserve">” means the value of the unexercised portion of this Warrant remaining on the date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which value is calculated using the Black Scholes Option Pricing Model obtained from the “OV” function on Bloomberg utilizing (i) an underlying price per share equal to the greater of (1) the highest closing trade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(iii) a risk-free interest rate corresponding to the U.S. Treasury rate for a period equal to the greater of (1) the remaining term of this Warrant as of the date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and (2) the remaining term of this Warrant as of the date of consummation of the applicable Fundamental Transaction or as of the date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if such request is prior to the date of the consummation of the applicable Fundamental Transaction, (iv) a zero cost of borrow, and (v) an expected volatility equal to the greater of 100% and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2(e)(iv)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Sale Price</w:t>
      </w:r>
      <w:r>
        <w:rPr>
          <w:rFonts w:ascii="Times New Roman;Times;Serif" w:hAnsi="Times New Roman;Times;Serif"/>
          <w:b w:val="false"/>
          <w:i w:val="false"/>
          <w:caps w:val="false"/>
          <w:smallCaps w:val="false"/>
          <w:sz w:val="20"/>
        </w:rPr>
        <w:t>” means, for any security as of any date, the last closing trade price for such security on the Trading Market, as reported by Bloomberg, or, if the Trading Market begins to operate on an extended hours basis and does not designate the closing trade price then the last bid price or last trade price, respectively, of such security prior to 4:00:00 p.m., New York time, as reported by Bloomberg, or, if the Trading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5(g). All such determinations shall be appropriately adjusted for any stock splits, stock dividends, stock combinations, recapitalizations, or other similar transactions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CID Holdco,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means any stock, shares,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Value</w:t>
      </w:r>
      <w:r>
        <w:rPr>
          <w:rFonts w:ascii="Times New Roman;Times;Serif" w:hAnsi="Times New Roman;Times;Serif"/>
          <w:b w:val="false"/>
          <w:i w:val="false"/>
          <w:caps w:val="false"/>
          <w:smallCaps w:val="false"/>
          <w:sz w:val="20"/>
        </w:rPr>
        <w:t>” means the number of shares of Common Stock received upon an exercise of this Warrant multiplied by the Exercise Price applicable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White Lion Capital LLC, a Nevada limited liability company, or its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means April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means the highest traded price of the Common Stock during the three hundred sixty-five (365) Trading Days prior to the date of the respective Notice of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means any rights, warrants, options, or restricted share units to subscribe for, purchase, or otherwise acquire shares of Common Stock, or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Notice Shares</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Rapid Purchase Notice</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Equivalents</w:t>
      </w:r>
      <w:r>
        <w:rPr>
          <w:rFonts w:ascii="Times New Roman;Times;Serif" w:hAnsi="Times New Roman;Times;Serif"/>
          <w:b w:val="false"/>
          <w:i w:val="false"/>
          <w:caps w:val="false"/>
          <w:smallCaps w:val="false"/>
          <w:sz w:val="20"/>
        </w:rPr>
        <w:t>” shall mean any securities of the Company or its Subsidiaries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date that is the earliest of (a) the five (5) year anniversary of the Initial Exercise Date, or (b) the date that is fifth Trading Day after the Company gives the Holder prior written notice of termination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 provided, however, that if the Common Stock are not listed or quoted on the Trading Market, then Trading Day shall mean any day except Saturday, Sunday, and any day which shall be a legal holiday or a day on which banking institutions in the State of New York are authorized or required by law or other government action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the NYSE American, The Nasdaq Capital Market, The Nasdaq Global Market, The Nasdaq Global Select Market, the OTCQX Best Market, the OTCQB Venture Market, the OTCID Basic Market, the Pink Limited Market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current transfer agent of the Company,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Trading Market (or, if the Trading Market is not the principal trading market for such security, then on the principal securities exchange or securities market on which such security is then traded), during the period beginning at 9:30 a.m., New York time, and ending at 4:00 p.m., New York time, as determined by the Investor, or if the foregoing does not apply, the dollar volume-weighted average price of such security in any principal quotation system operated by OTC Markets Group Inc. or other principal exchange or recognized quotation system which is at the time the principal trading platform or market for such security during the period beginning at 9:30 a.m., New York time, and ending at 4:00 p.m., New York time, as determined by the Investor, or, if no dollar volume-weighted average price is reported, the average of the highest closing bid price and the lowest closing ask price of any of the market makers for such security as reported by OTC Markets Group Inc. If the VWAP cannot be calculated for such security on such date on any of the foregoing bases, the VWAP of such security shall be the the fair market value of such security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means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shall have the meaning specified in the preamble of this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 Delivery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2(e)(i)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for Warrant Shares represented by this Warrant may be made, in whole or in part, on any day on or after the Initial Exercise Date and on or before the Termination Date (an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by delivery to the Company (or such other office or agency of the Company as it may designate by notice in writing to the registered Holder at the address of the Holder appearing on the books of the Company) of a duly executed notice of exercise in the form annexed hereto as Exhibit A (a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which may be delivered in a .PDF format via electronic mail pursuant to the notice provisions set forth in </w:t>
      </w:r>
      <w:r>
        <w:rPr>
          <w:rFonts w:ascii="Times New Roman;Times;Serif" w:hAnsi="Times New Roman;Times;Serif"/>
          <w:b w:val="false"/>
          <w:i w:val="false"/>
          <w:caps w:val="false"/>
          <w:smallCaps w:val="false"/>
          <w:sz w:val="20"/>
          <w:u w:val="single"/>
        </w:rPr>
        <w:t>Section 5(i)</w:t>
      </w:r>
      <w:r>
        <w:rPr>
          <w:rFonts w:ascii="Times New Roman;Times;Serif" w:hAnsi="Times New Roman;Times;Serif"/>
          <w:b w:val="false"/>
          <w:i w:val="false"/>
          <w:caps w:val="false"/>
          <w:smallCaps w:val="false"/>
          <w:sz w:val="20"/>
        </w:rPr>
        <w:t xml:space="preserve">. Within one (1) Trading Day of the date on which the Company delivers the Warrant Shares subject to said Notice of Exercise pursuant to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below, the Company shall have received payment of the aggregate Exercise Price of the Warrant Shares thereby purchased by wire transfer or cashier’s check drawn on a United States bank, unless such exercise is made pursuant Section 2(g) below. No ink-original Notice of Exercise shall be required, nor shall any medallion guarantee (or other type of guarantee or notarization) of any Notice of Exercise form be required. The Company shall be entitled to conclusively assume the genuineness of any signature on any Notice of Exercise delivered to the Company pursuant to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the legal capacity and competency of all natural persons signing any Notice of Exercise so delivered, the authenticity of any Notice of Exercise so delivered, the conformity to an authentic original of any Notice of Exercise so delivered as certified, authenticated, conformed, photostatic, facsimile, or electronic and the authenticity of the original of such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Warrant Shares</w:t>
      </w:r>
      <w:r>
        <w:rPr>
          <w:rFonts w:ascii="Times New Roman;Times;Serif" w:hAnsi="Times New Roman;Times;Serif"/>
          <w:b w:val="false"/>
          <w:i w:val="false"/>
          <w:caps w:val="false"/>
          <w:smallCaps w:val="false"/>
          <w:sz w:val="20"/>
        </w:rPr>
        <w:t>. Subject to the terms and conditions set forth herein, the aggregate number of Warrant Shares that Holder shall have the right to purchase from the Company hereunder shall be a number of Warrant Shares equal to the quotient obtained by dividing (i) $2,000,000 less the Exercise Value of all partial exercises of this Warrant in accordance with Section 2(a) prior to the Exercise Date, by (ii) the 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shall be 99% multiplied by the Closing Sales Price of the Common Stock on the Trading Day prior to the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Restrictive Legend; Legend Removal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Restrictive Legend</w:t>
      </w:r>
      <w:r>
        <w:rPr>
          <w:rFonts w:ascii="Times New Roman;Times;Serif" w:hAnsi="Times New Roman;Times;Serif"/>
          <w:b w:val="false"/>
          <w:i w:val="false"/>
          <w:caps w:val="false"/>
          <w:smallCaps w:val="false"/>
          <w:sz w:val="20"/>
        </w:rPr>
        <w:t>. The certificate(s) or book-entry statement(s) representing any Warrant Shares issued hereunder, except as set forth below, shall bear a restrictive legend in substantially the following form (and stop transfer instructions may be placed against transfer of any such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UNDERLYING THE SECURITIES REPRESENTED HEREBY HAVE NOT BEEN REGISTERED UNDER THE SECURITIES ACT OF 1933, AS AMENDED (THE “ACT”), OR UNDER THE SECURITIES LAWS OF ANY OTHER JURISDICTIONS. AS A RESULT THESE SECURITIES MAY NOT BE TRANSFERRED OR RESOLD EXCEPT AS PERMITTED UNDER THE ACT OR APPLICABLE STATE SECURITIES LAWS (PURSUANT TO REGISTRATION OR EXEMPTION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xml:space="preserve">. Upon the written request by the Holder to the Company if, at the time of such request, the Holder covenants and agrees that it has resold or will resell the Warrant Shares only (A)(i) pursuant to an effective registration statement registering the issuance of the Warrant Shares to, or resale of the Warrant Shares by, the Holder under the Securities Act, in a manner described under the caption “Plan of Distribution” in such registration statement, in a manner in compliance with all applicable U.S. federal and state securities laws, rules, and regulations, including, without limitation, any applicable prospectus delivery requirements of the Securities Act, or (ii) in compliance with an available exemption under the Securities Act, and (B) concurrently with such request, the Holder delivers to the Company, its counsel, and the Transfer Agent a customary written certification that the requirements set forth in clause (a) are accurate, and if the Holder resold the Warrant Shares under (A)(ii), to the extent the Company’s counsel or the Transfer Agent requires, additional customary requirements to qualify for the applicable exemption under the Securities Act, the Company shall, no later than one (1) Trading Day following the delivery by the Holder to the Transfer Agent, as applicable, of one or more legended certificates or book-entry statements representing any Securities subject to such request, together with such other documentation from the Holder and its designated broker-dealer as the Transfer Agent, as applicable, deem reasonably necessary and appropriate, instruct the Transfer Agent, as applicable, to remove the Securities Act restrictive legend (and any stop transfer instructions placed against transfer thereof) contemplated by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affixed to the Warrant Shares (as applicable) subject to such request. At the times the Company authorizes the removal of the Securities Act restrictive legends on the Warrant Shares subject to such request (and any stop transfer instructions placed against transfer thereof) pursuant to this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xml:space="preserve">), the Company shall, at its sole expense, use its commercially reasonable efforts to cause its legal counsel to issue to the Transfer Agent, as applicable, a legal opinion or direction letter authorizing the Transfer Agent, as applicable, to remove the Securities Act restrictive legends contemplated by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on the Warrant Shares (as applicable) subject to such request (which legal opinion or direction letter may be delivered to the Transfer Agent, as applicable, in advance setting forth the conditions to the removal of such legends). The Company shall be responsible for the fees of its Transfer Agent and the Company’s legal counsel associated with any such legend removals. If counsel to the Company fails to provide a legal opinion reasonably satisfactory to the Transfer Agent, as applicable, in accordance with this Section, the Holder shall have the right to provide an opinion of counsel selected by the Holder, the cost of which shall be borne by the Company.</w:t>
      </w:r>
    </w:p>
    <w:p>
      <w:pPr>
        <w:pStyle w:val="TextBody"/>
        <w:bidi w:val="0"/>
        <w:spacing w:before="0" w:after="0"/>
        <w:ind w:left="0" w:right="0" w:firstLine="806"/>
        <w:jc w:val="both"/>
        <w:rPr>
          <w:caps w:val="false"/>
          <w:smallCaps w:val="false"/>
        </w:rPr>
      </w:pPr>
      <w:r>
        <w:rPr>
          <w:caps w:val="false"/>
          <w:smallCaps w:val="false"/>
        </w:rPr>
        <w:t> </w:t>
      </w:r>
    </w:p>
    <w:p>
      <w:pPr>
        <w:pStyle w:val="TextBody"/>
        <w:bidi w:val="0"/>
        <w:spacing w:before="0" w:after="0"/>
        <w:ind w:left="0" w:right="0" w:firstLine="8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Upon delivery by the Holder of a Notice of Exercise in accordance with Section 2(a), the Company shall cause the Warrant Shares purchased hereunder to be transmitted by the Transfer Agent to the Holder by crediting the account of the Holder’s or its designee’s balance account with The Depository Trust Company through the deliver order (DO) system maintained by DTC (or any similar program hereafter adopted by DTC performing substantially the same function) or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if the Company is then a participant in such system and either (A) the legend has been properly removed from the Warrant in accordance with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xml:space="preserve"> or (B) there is an effective registration statement permitting the issuance of the Warrant Shares to or resale of the Warrant Shares by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In any case, the Company will instruct the Transfer Agent to make delivery by the date that is the earlier of (i) one (1) Trading Day after the delivery to the Company of the Notice of Exercise and (ii) the number of Trading Days comprising the Standard Settlement Period after the delivery to the Company of the Notice of Exercise (provided that delivery shall be two (2) Trading Days after delivery to the Company of said Notice of Exercise if the Company receives the Notice of Exercise after 12 p.m. EST on such day) (such date, the “</w:t>
      </w:r>
      <w:r>
        <w:rPr>
          <w:rFonts w:ascii="Times New Roman;Times;Serif" w:hAnsi="Times New Roman;Times;Serif"/>
          <w:b w:val="false"/>
          <w:i w:val="false"/>
          <w:caps w:val="false"/>
          <w:smallCaps w:val="false"/>
          <w:sz w:val="20"/>
          <w:u w:val="single"/>
        </w:rPr>
        <w:t>Warrant Shares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by the Warrant Shares Delivery Date. If the Company fails for any reason to deliver to the Holder the Warrant Shares subject to a Notice of Exercise by the Warrant Shares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fourth Trading Day after the Warrant Shares Delivery Date) for each Trading Day after such Warrant Shares Delivery Date until such Warrant Shares are delivered or Holder rescinds such exercise. The Company agrees to maintain a transfer agent that is a participant in the DTC/FAST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shares of Common Stok as in effect on the date of delivery of the Notice of Exercise. Notwithstanding the foregoing that the Company shall not be obligated to make any payment or provide any remedy under this Section 2(e)(i) to the extent that the failure to deliver the Warrant Shares to the Holder is directly attributable to a delay or failure by the Transfer Agent or is otherwise outside the reasonable control of the Company, including any delay arising from a systems failure, force majeure event, or other circumstance affecting the Transfer Agent over which the Company has no authority or influence, so long as the Company has used commercially reasonable efforts to cause the Transfer Agent to timely deliver such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xml:space="preserve">. If the Holder fails to make payment of the aggregate Exercise Price of the Warrant Shares pursuant to a Notice of Exercise within two (2) Trading Days of the date said Notice of Exercise is delivered to the Company by wire transfer or cashier’s check drawn on a United States bank, then the Company will have the right to rescind such exercise. If the Company fails to cause the Transfer Agent to transmit to the Holder the Warrant Shares pursuant to </w:t>
      </w:r>
      <w:r>
        <w:rPr>
          <w:rFonts w:ascii="Times New Roman;Times;Serif" w:hAnsi="Times New Roman;Times;Serif"/>
          <w:b w:val="false"/>
          <w:i w:val="false"/>
          <w:caps w:val="false"/>
          <w:smallCaps w:val="false"/>
          <w:sz w:val="20"/>
          <w:u w:val="single"/>
        </w:rPr>
        <w:t>Section 2(e)(i)</w:t>
      </w:r>
      <w:r>
        <w:rPr>
          <w:rFonts w:ascii="Times New Roman;Times;Serif" w:hAnsi="Times New Roman;Times;Serif"/>
          <w:b w:val="false"/>
          <w:i w:val="false"/>
          <w:caps w:val="false"/>
          <w:smallCaps w:val="false"/>
          <w:sz w:val="20"/>
        </w:rPr>
        <w:t xml:space="preserve"> by the Warrant Shares Delivery Date, then the Holder will have the right to rescind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w:t>
      </w:r>
      <w:r>
        <w:rPr>
          <w:rFonts w:ascii="Times New Roman;Times;Serif" w:hAnsi="Times New Roman;Times;Serif"/>
          <w:b w:val="false"/>
          <w:i w:val="false"/>
          <w:caps w:val="false"/>
          <w:smallCaps w:val="false"/>
          <w:sz w:val="20"/>
          <w:u w:val="single"/>
        </w:rPr>
        <w:t>Section 2(e)(i)</w:t>
      </w:r>
      <w:r>
        <w:rPr>
          <w:rFonts w:ascii="Times New Roman;Times;Serif" w:hAnsi="Times New Roman;Times;Serif"/>
          <w:b w:val="false"/>
          <w:i w:val="false"/>
          <w:caps w:val="false"/>
          <w:smallCaps w:val="false"/>
          <w:sz w:val="20"/>
        </w:rPr>
        <w:t xml:space="preserve"> above pursuant to an exercise on or before the Warrant Shares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Notwithstanding the foregoing that the Company shall not be obligated to make any payment or provide any remedy under this Section 2(e)(iv) to the extent that the failure to deliver the Warrant Shares to the Holder is directly attributable to a delay or failure by the Transfer Agent or is otherwise outside the reasonable control of the Company, including any delay arising from a systems failure, force majeure event, or other circumstance affecting the Transfer Agent over which the Company has no authority or influence, so long as the Company has used commercially reasonable efforts to cause the Transfer Agent to timely deliver such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of Common Stock or scrip representing fractional shares of Common Stock shall be issued upon the exercise of this Warrant. As to any fraction of a share of Common Stock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shall be made without charge to the Holder for any issue or transfer tax or other incidental expense in respect of the issuance of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fees charged by the Transfer Agent and the Depository Trust Company (or other established clearing corporation) required for processing of any Notice of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not effect any exercise of this Warrant, and a Holder shall not have the right to exercise any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in excess of the Beneficial Ownership Limitation (as defined below). For purposes of calculating “beneficial ownership” under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Share Equivalents) subject to a limitation on conversion or exercise analogous to the limitation contained herein beneficially owned by the Holder or any of its Affiliates. Except as set forth in the preceding sentence, for purposes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exercises of this Warrant that are in non-compliance with the Beneficial Ownership Limitation, it being understood that the Company has the right to confirm that any exercise does not result in “holdings” of the Holder exceeding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in determining the number of outstanding shares of Common Stock, a Holder may rely on the number of outstanding shares of Common Stock as reflected in (A) the Company’s most recent Annual Report on Form 10-K, Report on Form 8-K or other public filings filed with the Commission, as the case may be, (B) a more recent public announcement by the Company, or (C) a more recent written notice by the Company OR the Transfer Agent setting forth the number of shares of Common Stock outstanding. Upon the written request of a Holder (which, for clarity, includes electronic mail),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4.99% of the number of shares of Common Stock outstanding immediately after giving effect to the issuance of shares of Common Stock issuable upon exercise of this Warrant. The Holder, upon notice to and with the consent of the Company, may increase or decrease the Beneficial Ownership Limitation provisions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provided that the Beneficial Ownership Limitation in no event exceeds 9.99% of the number of shares of Common Stock outstanding immediately after giving effect to the issuance of shares of Common Stock upon exercise of this Warrant held by the Holder and the provisions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shall continue to apply. Any change in the Beneficial Ownership Limitation will not be effective until the 61st day after such notice is delivered to the Company.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extent the exercise of any portion of this Warrant requires the Company to receive the approval of the Company’s shareholders pursuant to the rules of the applicable Trading Market, the Company shall not effect such exercise of this Warrant, and a Holder shall not have the right to exercise any such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unless and until such approval has been received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shall not effect any exercise of this Warrant, and a Holder shall not have the right to exercise any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to the extent that the number of Warrant Shares to be issued on any Trading Day would exceed five percent (5%) of the greater of (A) the trading volume of the Common Stock (as reported on Bloomberg) on the Trading Day before the Exercise Date and (B) the trading volume of the Common Stock (as reported on Bloomberg) on the Exercise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not effect any exercise of this Warrant, and a Holder shall not have the right to exercise any portion of this Warrant, pursuant to Section 2 or otherwise, to the extent that the Closing Sales Price of the Common Stock on the Trading Day before the Notice of Exercise is less than the Closing Sales Price of the Common Stock on the each of the two prior Trading Days. For the avoidance of doubt, this restriction shall apply where the Closing Sales Price of the Common Stock has declined over each of the two Trading Days prior to the date of the Notice of Exercise. Notwithstanding the foregoing, the restriction set forth in this section may be waived by the Company in its sole discretion, which waiver may be granted or withheld for any reason or no reason, and shall be effective upon written notice from the Company to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Company shall not effect any exercise of this Warrant, and a Holder shall not have the right to exercise any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if, within two (2) hours of the Holder’s delivery of a Notice of Exercise, the Company delivers a Rapid Purchase Notice to the Holder pursuant to the Purchase Agreement for a number of Purchase Notice Shares greater than or equal to the number of Warrant Shares set forth in the Notice of Exercise. Such Rapid Purchase Notice shall be deemed delivered and accepted at the same time as the Holder’s delivery of the Notice of Exercise. Upon the Company’s delivery of a Rapid Purchase Notice as set forth in this </w:t>
      </w:r>
      <w:r>
        <w:rPr>
          <w:rFonts w:ascii="Times New Roman;Times;Serif" w:hAnsi="Times New Roman;Times;Serif"/>
          <w:b w:val="false"/>
          <w:i w:val="false"/>
          <w:caps w:val="false"/>
          <w:smallCaps w:val="false"/>
          <w:sz w:val="20"/>
          <w:u w:val="single"/>
        </w:rPr>
        <w:t>Section 2(f)(v)</w:t>
      </w:r>
      <w:r>
        <w:rPr>
          <w:rFonts w:ascii="Times New Roman;Times;Serif" w:hAnsi="Times New Roman;Times;Serif"/>
          <w:b w:val="false"/>
          <w:i w:val="false"/>
          <w:caps w:val="false"/>
          <w:smallCaps w:val="false"/>
          <w:sz w:val="20"/>
        </w:rPr>
        <w:t xml:space="preserve">, the Notice of Exercise shall be deemed rescinded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after the six month anniversary of the date of the Purchase Agreement, there is no effective Registration Statement registering, or no current prospectus available for, the resale by the Holder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1440" w:right="0" w:hanging="634"/>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72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(A)  =  </w:t>
            </w:r>
          </w:p>
        </w:tc>
        <w:tc>
          <w:tcPr>
            <w:tcW w:w="1655" w:type="dxa"/>
            <w:tcBorders/>
            <w:vAlign w:val="center"/>
          </w:tcPr>
          <w:p>
            <w:pPr>
              <w:pStyle w:val="TableContents"/>
              <w:bidi w:val="0"/>
              <w:spacing w:before="0" w:after="283"/>
              <w:jc w:val="both"/>
              <w:rPr/>
            </w:pPr>
            <w:r>
              <w:rPr/>
              <w:t>the Market Price;</w:t>
            </w:r>
          </w:p>
        </w:tc>
      </w:tr>
    </w:tbl>
    <w:p>
      <w:pPr>
        <w:pStyle w:val="TextBody"/>
        <w:bidi w:val="0"/>
        <w:spacing w:before="0" w:after="0"/>
        <w:ind w:left="1440" w:right="0" w:hanging="634"/>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7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(B)  =  </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1440" w:right="0" w:hanging="6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85"/>
        <w:gridCol w:w="9582"/>
      </w:tblGrid>
      <w:tr>
        <w:trPr/>
        <w:tc>
          <w:tcPr>
            <w:tcW w:w="3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pPr>
            <w:r>
              <w:rPr/>
              <w:t>(X)  =  </w:t>
            </w:r>
          </w:p>
        </w:tc>
        <w:tc>
          <w:tcPr>
            <w:tcW w:w="9582"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Assuming (i) the Holder is not an Affiliate of the Company, and (ii) all of the applicable conditions of Section 4(a)(1)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and/or Rule 144 promulgated thereunder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xml:space="preserve">”) with respect to Holder and the Warrant Shares are met, in the case of such a cashless exercise, the Company agrees that the Company will either (A) cause the Transfer Agent to issue such Warrant Shares without any restrictive legend in accordance with Section 5(b)(ii) below, or (B) if such Warrant Shares are issued with a restrictive legend, use commercially reasonable efforts to cause the removal of the legend from such Warrant Shares (including by delivering an opinion of the Company’s counsel to the Transfer Agent at its own expense to ensure the foregoing), and the Company agrees that the Holder is under no obligation to sell the Warrant Shares issuable upon the exercise of the Warrant prior to removing the legend. The Company expressly acknowledges that Rule 144(d)(3)(ii), as currently in effect, provides that Warrant Shares issued solely upon a cashless exercise shall be deemed to have been acquired at the same time as the Warrant. The Company agrees not to take any position contrary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The Company shall pay all costs associated with any required opinions of counsel, and counsel to the Company shall provide all opinions with respect to any resales pursuant to Section 4(a)(1) of the Securities Act and/or Rule 144 or otherwise at the sole cost of the Company, and the Company shall provide confirmation to the Transfer Agent that all such opinions are acceptable. If counsel to the Company fails to provide a legal opinion reasonably satisfactory to the Company in accordance with this Section, the Holder shall have the right to provide an opinion of counsel selected by the Holder, the cost of which shall be borne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xml:space="preserve">. If the Company, at any time while this Warrant is outstanding: (i) pays a share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of Common Stock, (iii) combines (including by way of reverse share split) outstanding shares of Common Stock into a smaller number of shares of Common Stock, or (iv) issues by reclassification of shares of Common Stock or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Warrant Shares issuable upon exercise of this Warrant shall be proportionately adjusted such that the aggregate Exercise Price of this Warrant shall remain unchanged. Any adjustment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(other than for the purpose of changing the jurisdiction of incorporation of the Company or a holding company for the Company), (ii) the Company, directly or indirectly, effects any sale, lease, license, assignment, transfer, conveyance or other disposition of all or substantially all of its assets (on a consolidated basis) in one or a series of related transactions, (iii) any, direct or indirect, purchase offer, tender offer or exchange offer (whether by the Company or another Person) is completed pursuant to which holders of shares of Common Stock are permitted to sell, tender or exchange their shares for other securities, cash or property and has been accepted by the holders of greater than 50% of the voting power of the outstanding securities of the Company, (iv) the Company, directly or indirectly, in one or more related transactions effects any reclassification, reorganization or recapitalization of the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outstanding securities of the Company (not including any shares of Common Stock held by the other Person or other Persons making or party to, or associated or affiliated with the other Persons making or party to, such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on the exercise of this Warrant), the number of shares of Common Stock or other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shares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to assume in writing all of the obligations of the Company under this Warrant in accordance with the provisions of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Notwithstanding the foregoing provisions of this Section 3(d), at the request of the Holder delivered at any time commencing on the earliest to occur of (x) the public disclosure of any Change of Control,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number of shares of Common Stock deemed to be issued and outstanding as of a given date shall be the sum of the number of shares of Common Stock (excluding treasury shares of Common Stock,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xml:space="preserve">. Whenever the Exercise Price is adjusted pursuant to any provision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shall promptly deliver via electronic mail to the Holder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shares of Common Stock, (C) the Company shall authorize the granting to all holders of Common Stock rights or warrants to subscribe for or purchase any shares of capital stock of any class or of any rights, (D) the approval of any shareholders of the Company shall be required in connection with any reclassification of the shares of Common Stock, any consolidation or merger to which the Company (or any of its Subsidiaries) is a party, any sale or transfer of all or substantially all of its assets,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via electronic mail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tab/>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provisions below,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Exhibit B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to provide to the Company an opinion of counsel selected by the transferor and reasonably acceptable to the Company, the cost of which shall be borne by the Company and the form and substance of which opinion shall be reasonably satisfactory to the Company, to the effect that such transfer does not require registration of such transferred Warrants or Warrant Shares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provided, however, that the Investor reserves the right to dispose of the Warrant Shares at any time in accordance with federal and state securities laws and the applicable securities laws of any jurisdiction relevant to such disposition and subject to compliance with the terms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w:t>
      </w:r>
      <w:r>
        <w:rPr>
          <w:rFonts w:ascii="Times New Roman;Times;Serif" w:hAnsi="Times New Roman;Times;Serif"/>
          <w:b w:val="false"/>
          <w:i w:val="false"/>
          <w:caps w:val="false"/>
          <w:smallCaps w:val="false"/>
          <w:sz w:val="20"/>
        </w:rPr>
        <w:t xml:space="preserve">. This Warrant does not entitle the Holder to any voting rights, dividends or other rights as a shareholder of the Company prior to the exercise hereof as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shares of Common Stock a sufficient number of shares to provide for the deposit of shares of Common Stock for the issuance of the Warrant Shares upon the exercise of any purchase rights under this Warrant (the “</w:t>
      </w:r>
      <w:r>
        <w:rPr>
          <w:rFonts w:ascii="Times New Roman;Times;Serif" w:hAnsi="Times New Roman;Times;Serif"/>
          <w:b w:val="false"/>
          <w:i w:val="false"/>
          <w:caps w:val="false"/>
          <w:smallCaps w:val="false"/>
          <w:sz w:val="20"/>
          <w:u w:val="single"/>
        </w:rPr>
        <w:t>Required Reserve Amount</w:t>
      </w:r>
      <w:r>
        <w:rPr>
          <w:rFonts w:ascii="Times New Roman;Times;Serif" w:hAnsi="Times New Roman;Times;Serif"/>
          <w:b w:val="false"/>
          <w:i w:val="false"/>
          <w:caps w:val="false"/>
          <w:smallCaps w:val="false"/>
          <w:sz w:val="20"/>
        </w:rPr>
        <w: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covenants and agrees that it will, at all times during the period the Warrant is outstanding, maintain a duly qualified independent Transfer Agent. The Company represents and covenants that it has issued irrevocable instructions to its Transfer Agent (and will issue such irrevocable instructions to each Transfer Agent appointed thereafter), in the form approved by the Holder, to issue certificates, registered in the name of the Holder or its nominee, for the Warrant Shares in such amounts as specified from time to time by the Holder to the Company upon exercise of this Warrant in accordance with the terms thereof and to irrevocably reserve the Required Reserve Amount (the “</w:t>
      </w:r>
      <w:r>
        <w:rPr>
          <w:rFonts w:ascii="Times New Roman;Times;Serif" w:hAnsi="Times New Roman;Times;Serif"/>
          <w:b w:val="false"/>
          <w:i w:val="false"/>
          <w:caps w:val="false"/>
          <w:smallCaps w:val="false"/>
          <w:sz w:val="20"/>
          <w:u w:val="single"/>
        </w:rPr>
        <w:t>Irrevocable Transfer Agent Instructions</w:t>
      </w:r>
      <w:r>
        <w:rPr>
          <w:rFonts w:ascii="Times New Roman;Times;Serif" w:hAnsi="Times New Roman;Times;Serif"/>
          <w:b w:val="false"/>
          <w:i w:val="false"/>
          <w:caps w:val="false"/>
          <w:smallCaps w:val="false"/>
          <w:sz w:val="20"/>
        </w:rPr>
        <w:t>”). The Company represents and covenants that the Irrevocable Transfer Agent Instructions have been signed by the Transfer Agent and by the Company as of the date of the Initial Exercise Date. The Company warrants that (i) no instruction other than the Irrevocable Transfer Agent Instructions referred to in this Section 5(e), and stop transfer instructions to give effect to Section 5(g) (prior to registration of the Warrant Shares under the Securities Act or the date on which the Warrant Shares may be sold pursuant to Rule 144 without any restriction as to the number of Securities as of a particular date that can then be immediately sold), will be given by the Company to its Transfer Agent and that the Warrant Shares shall otherwise be freely transferable on the books and records of the Company as and to the extent provided in this Warrant and the Purchase Agreement, (ii) it will not direct its Transfer Agent not to transfer or delay, impair, and/or hinder its Transfer Agent in transferring (or issuing)(electronically or in certificated form) any certificate for Warrant Shares to be issued to the Holder upon exercise of or otherwise pursuant to this Warrant as and when required by this Warrant and the Purchase Agreement, and (iii) it will not fail to remove (or direct its Transfer Agent not to remove or impair, delay, and/or hinder its Transfer Agent from removing) any restrictive legend (or to withdraw any stop transfer instructions in respect thereof) on any certificate for any Warrant Shares issued to the Holder upon exercise of or otherwise pursuant to this Warrant as and when required by this Warrant and the Purchase Agreement. Nothing in this Section shall affect in any way the Holder’s obligations to comply with all applicable prospectus delivery requirements, if any, upon resale of the Warrant Shares. If a Holder provides the Company, at the cost of the Holder, with an opinion of counsel in form, substance, and scope customary for opinions in comparable transactions, to the effect that a public sale or transfer of such Warrant Shares may be made without registration under the Securities Act and such sale or transfer is effected, the Company shall permit the transfer, and, in the case of the Warrant Shares, promptly instruct its Transfer Agent to issue one or more certificates, free from restrictive legend, in such name and in such denominations as specified by the Holder. The Company acknowledges that a breach by it of its obligations hereunder will cause irreparable harm to the Holder, by vitiating the intent and purpose of the transactions contemplated hereby. Accordingly, the Company acknowledges that the remedy at law for a breach of its obligations under this Section 5(e) may be inadequate and agrees, in the event of a breach or threatened breach by the Company of the provisions of this Section, that the Holder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Variable Rate Transactions</w:t>
      </w:r>
      <w:r>
        <w:rPr>
          <w:rFonts w:ascii="Times New Roman;Times;Serif" w:hAnsi="Times New Roman;Times;Serif"/>
          <w:b w:val="false"/>
          <w:i w:val="false"/>
          <w:caps w:val="false"/>
          <w:smallCaps w:val="false"/>
          <w:sz w:val="20"/>
        </w:rPr>
        <w:t>. From the Initial Exercise Date until the earlier of the Termination Date or when this Warrant is exercised in full, without the Investor’s prior written consent, the Company shall be prohibited from effecting or entering into an agreement to effect any Subsequent Placement involving any Variable Rate Transaction. The Investor shall be entitled to obtain injunctive relief against the Company and its Subsidiaries to preclude any such issuance, which remedy shall be in addition to any right to collect damages. Notwithstanding the foregoing, the Company shall be permitted to effect a secondary offering of shares of Common Stock or other equity securities of the Company, provided the aggregate amount such offering does not exceed $10,000,000, (b) a private placement of convertible preferred stock or other securities convertible or exercisable, as applicable, into Common Stock at a fixed conversion or exercise price, as applicable, provided that the aggregate amount of such offering does not exceed $10,000,000, and/or (c) a bona fide purchase order that qualifies for factoring by a traditional commercial factor at a factoring rate of less than 3% per month has a face value of no less than $5,000,000.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Nevada, without regard to the principles of conflicts of law thereof. Each party hereby irrevocably submits that any dispute, controversy, or claim arising out of or relating to this Warrant shall be submitted to the exclusive jurisdiction of the District Court of the State of Nevada, County of Clark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Judicial District) and the United States District Court for the District of Nevada. Each party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Warrant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HEREWITH OR ARISING OUT OF THIS AGREEMENT OR ANY TRANSACTION CONTEMPLATED HEREBY. The Company and the Holder agree that all dispute resolution proceedings in accordance with this </w:t>
      </w:r>
      <w:r>
        <w:rPr>
          <w:rFonts w:ascii="Times New Roman;Times;Serif" w:hAnsi="Times New Roman;Times;Serif"/>
          <w:b w:val="false"/>
          <w:i w:val="false"/>
          <w:caps w:val="false"/>
          <w:smallCaps w:val="false"/>
          <w:sz w:val="20"/>
          <w:u w:val="single"/>
        </w:rPr>
        <w:t>Section 5(g)</w:t>
      </w:r>
      <w:r>
        <w:rPr>
          <w:rFonts w:ascii="Times New Roman;Times;Serif" w:hAnsi="Times New Roman;Times;Serif"/>
          <w:b w:val="false"/>
          <w:i w:val="false"/>
          <w:caps w:val="false"/>
          <w:smallCaps w:val="false"/>
          <w:sz w:val="20"/>
        </w:rPr>
        <w:t xml:space="preserve"> may be conducted in a virtual setting.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that all rights hereunder terminate on the Termination Date. If the Company willfully or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or by e-mail, addressed to the Company, at 5661 S. Cameron St, Suite 100, Las Vegas, NV 89118, Attention: Charles Maddox, email address: charlie@daic.ai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4:30 p.m. (New York City time) on any date, (ii) the next Trading Day after the time of transmission, if such notice or communication is delivered via e-mail at the e-mail address set forth in this Section on a day that is not a Trading Day or later than 4:30 p.m. (New York City time) on any Trading Day or (iii)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shareholder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without the necessity of showing economic loss and without any bond or other security being required. The Company agrees that monetary damages may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Initial Exercise Date.</w:t>
      </w:r>
    </w:p>
    <w:p>
      <w:pPr>
        <w:pStyle w:val="TextBody"/>
        <w:bidi w:val="0"/>
        <w:spacing w:before="0" w:after="0"/>
        <w:ind w:left="43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bl>
      <w:tblPr>
        <w:tblW w:w="2890" w:type="dxa"/>
        <w:jc w:val="left"/>
        <w:tblInd w:w="0" w:type="dxa"/>
        <w:tblLayout w:type="fixed"/>
        <w:tblCellMar>
          <w:top w:w="0" w:type="dxa"/>
          <w:left w:w="0" w:type="dxa"/>
          <w:bottom w:w="0" w:type="dxa"/>
          <w:right w:w="0" w:type="dxa"/>
        </w:tblCellMar>
      </w:tblPr>
      <w:tblGrid>
        <w:gridCol w:w="75"/>
        <w:gridCol w:w="635"/>
        <w:gridCol w:w="2180"/>
      </w:tblGrid>
      <w:tr>
        <w:trPr/>
        <w:tc>
          <w:tcPr>
            <w:tcW w:w="75" w:type="dxa"/>
            <w:tcBorders/>
            <w:vAlign w:val="center"/>
          </w:tcPr>
          <w:p>
            <w:pPr>
              <w:pStyle w:val="TableContents"/>
              <w:bidi w:val="0"/>
              <w:spacing w:before="0" w:after="283"/>
              <w:jc w:val="both"/>
              <w:rPr/>
            </w:pPr>
            <w:r>
              <w:rPr/>
              <w:t> </w:t>
            </w:r>
          </w:p>
        </w:tc>
        <w:tc>
          <w:tcPr>
            <w:tcW w:w="2815" w:type="dxa"/>
            <w:gridSpan w:val="2"/>
            <w:tcBorders/>
            <w:vAlign w:val="center"/>
          </w:tcPr>
          <w:p>
            <w:pPr>
              <w:pStyle w:val="TableContents"/>
              <w:bidi w:val="0"/>
              <w:spacing w:before="0" w:after="283"/>
              <w:jc w:val="both"/>
              <w:rPr>
                <w:sz w:val="20"/>
              </w:rPr>
            </w:pPr>
            <w:r>
              <w:rPr>
                <w:sz w:val="20"/>
              </w:rPr>
              <w:t>CID HOLDCO, INC.</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By:</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 xml:space="preserve">Name:  </w:t>
            </w:r>
          </w:p>
        </w:tc>
        <w:tc>
          <w:tcPr>
            <w:tcW w:w="2180" w:type="dxa"/>
            <w:tcBorders/>
            <w:vAlign w:val="center"/>
          </w:tcPr>
          <w:p>
            <w:pPr>
              <w:pStyle w:val="TableContents"/>
              <w:bidi w:val="0"/>
              <w:spacing w:before="0" w:after="283"/>
              <w:jc w:val="both"/>
              <w:rPr/>
            </w:pPr>
            <w:r>
              <w:rPr/>
              <w:t>Edmund Nabrotzky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18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665"/>
        <w:gridCol w:w="1754"/>
        <w:gridCol w:w="75"/>
      </w:tblGrid>
      <w:tr>
        <w:trPr/>
        <w:tc>
          <w:tcPr>
            <w:tcW w:w="2419" w:type="dxa"/>
            <w:gridSpan w:val="2"/>
            <w:tcBorders/>
            <w:vAlign w:val="center"/>
          </w:tcPr>
          <w:p>
            <w:pPr>
              <w:pStyle w:val="TableContents"/>
              <w:bidi w:val="0"/>
              <w:spacing w:before="0" w:after="283"/>
              <w:jc w:val="left"/>
              <w:rPr>
                <w:b/>
                <w:sz w:val="20"/>
              </w:rPr>
            </w:pPr>
            <w:r>
              <w:rPr>
                <w:b/>
                <w:sz w:val="20"/>
              </w:rPr>
              <w:t>Holder:</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sz w:val="20"/>
              </w:rPr>
            </w:pPr>
            <w:r>
              <w:rPr>
                <w:sz w:val="20"/>
              </w:rPr>
              <w:t>WHITE LION CAPITAL LLC</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By:</w:t>
            </w:r>
          </w:p>
        </w:tc>
        <w:tc>
          <w:tcPr>
            <w:tcW w:w="1754" w:type="dxa"/>
            <w:tcBorders>
              <w:bottom w:val="single" w:sz="12" w:space="0" w:color="000000"/>
            </w:tcBorders>
            <w:tcMar>
              <w:bottom w:w="28" w:type="dxa"/>
            </w:tcMar>
            <w:vAlign w:val="center"/>
          </w:tcPr>
          <w:p>
            <w:pPr>
              <w:pStyle w:val="TableContents"/>
              <w:bidi w:val="0"/>
              <w:spacing w:before="0" w:after="283"/>
              <w:jc w:val="left"/>
              <w:rPr/>
            </w:pPr>
            <w:r>
              <w:rPr/>
              <w:t>/s/ Yash Thukral</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Name: </w:t>
            </w:r>
          </w:p>
        </w:tc>
        <w:tc>
          <w:tcPr>
            <w:tcW w:w="1754" w:type="dxa"/>
            <w:tcBorders/>
            <w:vAlign w:val="center"/>
          </w:tcPr>
          <w:p>
            <w:pPr>
              <w:pStyle w:val="TableContents"/>
              <w:bidi w:val="0"/>
              <w:spacing w:before="0" w:after="283"/>
              <w:jc w:val="left"/>
              <w:rPr>
                <w:sz w:val="20"/>
              </w:rPr>
            </w:pPr>
            <w:r>
              <w:rPr>
                <w:sz w:val="20"/>
              </w:rPr>
              <w:t>Yash Thukral, JD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 xml:space="preserve">Title: </w:t>
            </w:r>
          </w:p>
        </w:tc>
        <w:tc>
          <w:tcPr>
            <w:tcW w:w="1754"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41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caps/>
              </w:rPr>
            </w:pPr>
            <w:r>
              <w:rPr>
                <w:caps/>
              </w:rPr>
              <w:t>To:</w:t>
            </w:r>
          </w:p>
        </w:tc>
        <w:tc>
          <w:tcPr>
            <w:tcW w:w="2240" w:type="dxa"/>
            <w:tcBorders/>
            <w:vAlign w:val="center"/>
          </w:tcPr>
          <w:p>
            <w:pPr>
              <w:pStyle w:val="TableContents"/>
              <w:bidi w:val="0"/>
              <w:spacing w:before="0" w:after="283"/>
              <w:jc w:val="both"/>
              <w:rPr>
                <w:b/>
                <w:caps/>
              </w:rPr>
            </w:pPr>
            <w:r>
              <w:rPr>
                <w:b/>
                <w:caps/>
              </w:rPr>
              <w:t>CID Holdco,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284" w:right="0" w:firstLine="446"/>
        <w:jc w:val="both"/>
        <w:rPr>
          <w:caps w:val="false"/>
          <w:smallCaps w:val="false"/>
        </w:rPr>
      </w:pPr>
      <w:r>
        <w:rPr>
          <w:caps w:val="false"/>
          <w:smallCaps w:val="false"/>
        </w:rPr>
        <w:t> </w:t>
      </w:r>
    </w:p>
    <w:p>
      <w:pPr>
        <w:pStyle w:val="TextBody"/>
        <w:bidi w:val="0"/>
        <w:spacing w:before="0" w:after="0"/>
        <w:ind w:left="284" w:right="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w:t>
      </w:r>
    </w:p>
    <w:p>
      <w:pPr>
        <w:pStyle w:val="TextBody"/>
        <w:bidi w:val="0"/>
        <w:spacing w:before="0" w:after="0"/>
        <w:ind w:left="270" w:right="0" w:firstLine="446"/>
        <w:jc w:val="both"/>
        <w:rPr>
          <w:caps w:val="false"/>
          <w:smallCaps w:val="false"/>
        </w:rPr>
      </w:pPr>
      <w:r>
        <w:rPr>
          <w:caps w:val="false"/>
          <w:smallCaps w:val="false"/>
        </w:rPr>
        <w:t> </w:t>
      </w:r>
    </w:p>
    <w:p>
      <w:pPr>
        <w:pStyle w:val="TextBody"/>
        <w:bidi w:val="0"/>
        <w:spacing w:before="0" w:after="0"/>
        <w:ind w:left="270" w:right="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Shares in the name of the undersigned or in such other name as is specified below:</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274" w:right="0" w:hanging="0"/>
        <w:jc w:val="both"/>
        <w:rPr>
          <w:caps w:val="false"/>
          <w:smallCaps w:val="false"/>
        </w:rPr>
      </w:pPr>
      <w:r>
        <w:rPr>
          <w:caps w:val="false"/>
          <w:smallCaps w:val="false"/>
        </w:rPr>
        <w:t> </w:t>
      </w:r>
    </w:p>
    <w:p>
      <w:pPr>
        <w:pStyle w:val="TextBody"/>
        <w:bidi w:val="0"/>
        <w:spacing w:before="0" w:after="0"/>
        <w:ind w:left="270" w:right="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w:t>
        <w:br/>
        <w:t>to purchase Warrant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4805"/>
        <w:gridCol w:w="60"/>
        <w:gridCol w:w="4595"/>
      </w:tblGrid>
      <w:tr>
        <w:trPr/>
        <w:tc>
          <w:tcPr>
            <w:tcW w:w="480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sz w:val="20"/>
              </w:rPr>
            </w:pPr>
            <w:r>
              <w:rPr>
                <w:sz w:val="20"/>
              </w:rPr>
              <w:t>______________________________________</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sz w:val="20"/>
              </w:rPr>
            </w:pPr>
            <w:r>
              <w:rPr>
                <w:sz w:val="20"/>
              </w:rPr>
              <w:t>(Please Print)</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r>
        <w:trPr/>
        <w:tc>
          <w:tcPr>
            <w:tcW w:w="4805" w:type="dxa"/>
            <w:tcBorders/>
            <w:vAlign w:val="center"/>
          </w:tcPr>
          <w:p>
            <w:pPr>
              <w:pStyle w:val="TableContents"/>
              <w:bidi w:val="0"/>
              <w:spacing w:before="0" w:after="283"/>
              <w:jc w:val="both"/>
              <w:rPr>
                <w:sz w:val="20"/>
              </w:rPr>
            </w:pPr>
            <w:r>
              <w:rPr>
                <w:sz w:val="20"/>
              </w:rPr>
              <w:t>Address:</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______________________________________</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(Please Print)</w:t>
            </w:r>
          </w:p>
        </w:tc>
      </w:tr>
      <w:tr>
        <w:trPr/>
        <w:tc>
          <w:tcPr>
            <w:tcW w:w="4805"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______________________________________</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______________________________________</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sz w:val="20"/>
              </w:rPr>
            </w:pPr>
            <w:r>
              <w:rPr>
                <w:sz w:val="20"/>
              </w:rPr>
              <w:t>Dated: _______________ __, ______</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r>
        <w:trPr/>
        <w:tc>
          <w:tcPr>
            <w:tcW w:w="4805" w:type="dxa"/>
            <w:tcBorders/>
            <w:vAlign w:val="center"/>
          </w:tcPr>
          <w:p>
            <w:pPr>
              <w:pStyle w:val="TableContents"/>
              <w:bidi w:val="0"/>
              <w:spacing w:before="0" w:after="283"/>
              <w:jc w:val="both"/>
              <w:rPr>
                <w:sz w:val="20"/>
              </w:rPr>
            </w:pPr>
            <w:r>
              <w:rPr>
                <w:sz w:val="20"/>
              </w:rPr>
              <w:t>Holder’s Signature: ______________________________</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r>
        <w:trPr/>
        <w:tc>
          <w:tcPr>
            <w:tcW w:w="4805" w:type="dxa"/>
            <w:tcBorders/>
            <w:vAlign w:val="center"/>
          </w:tcPr>
          <w:p>
            <w:pPr>
              <w:pStyle w:val="TableContents"/>
              <w:bidi w:val="0"/>
              <w:spacing w:before="0" w:after="283"/>
              <w:jc w:val="both"/>
              <w:rPr>
                <w:sz w:val="20"/>
              </w:rPr>
            </w:pPr>
            <w:r>
              <w:rPr>
                <w:sz w:val="20"/>
              </w:rPr>
              <w:t>Holder’s Address: _______________________________</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both"/>
              <w:rPr/>
            </w:pPr>
            <w:r>
              <w:rPr/>
              <w:t> </w:t>
            </w:r>
          </w:p>
        </w:tc>
      </w:tr>
    </w:tbl>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8687601_ex10-1.htm"/>
      <w:bookmarkStart w:id="30" w:name="ksea028687601_ex101"/>
      <w:bookmarkEnd w:id="29"/>
      <w:bookmarkEnd w:id="30"/>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is dated as of April 17, 2026 (the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CID Holdco,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White Lion Capital, LLC, a Nevada limited liability company (the “</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contained herein, the Investor shall purchase, from time to time, as provided herein, and the Company shall issue and sell up to Ten Million Dollars ($10,000,000) of the Company’s Common Stock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such sales of Common Stock by the Company to the Investor will be made in reliance upon the exemption provided by Section 4(a)(2) of the Securities Act (“</w:t>
      </w:r>
      <w:r>
        <w:rPr>
          <w:rFonts w:ascii="Times New Roman;Times;Serif" w:hAnsi="Times New Roman;Times;Serif"/>
          <w:b/>
          <w:i w:val="false"/>
          <w:caps w:val="false"/>
          <w:smallCaps w:val="false"/>
          <w:sz w:val="20"/>
          <w:u w:val="single"/>
        </w:rPr>
        <w:t>Section 4(a)(2)</w:t>
      </w:r>
      <w:r>
        <w:rPr>
          <w:rFonts w:ascii="Times New Roman;Times;Serif" w:hAnsi="Times New Roman;Times;Serif"/>
          <w:b w:val="false"/>
          <w:i w:val="false"/>
          <w:caps w:val="false"/>
          <w:smallCaps w:val="false"/>
          <w:sz w:val="20"/>
        </w:rPr>
        <w:t>”) and Rule 506(b) of Regulation D (“</w:t>
      </w:r>
      <w:r>
        <w:rPr>
          <w:rFonts w:ascii="Times New Roman;Times;Serif" w:hAnsi="Times New Roman;Times;Serif"/>
          <w:b/>
          <w:i w:val="false"/>
          <w:caps w:val="false"/>
          <w:smallCaps w:val="false"/>
          <w:sz w:val="20"/>
          <w:u w:val="single"/>
        </w:rPr>
        <w:t>Regulation D</w:t>
      </w:r>
      <w:r>
        <w:rPr>
          <w:rFonts w:ascii="Times New Roman;Times;Serif" w:hAnsi="Times New Roman;Times;Serif"/>
          <w:b w:val="false"/>
          <w:i w:val="false"/>
          <w:caps w:val="false"/>
          <w:smallCaps w:val="false"/>
          <w:sz w:val="20"/>
        </w:rPr>
        <w:t>”) promulgated thereunder, and upon such other exemption from the registration requirements of the Securities Act as may be available with respect to any or all of the issuances and sales of Common Stock by the Company to the Investor to be made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are concurrently entering into the Registration Rights Agreement (as defined below), pursuant to which the Company shall register the resale of the Registrable Securities (as defined in the Registration Rights Agreement), upon the terms and subject to the conditions set forth therein;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in consideration for the Investor’s execution and delivery of this Agreement, the Company shall issue to the Investor the Commitment Shares (as defined herein), pursuant to and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hereto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CERTAIN 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shall have the following meanings specified or indicated (such meanings to be equally applicable to both the singular and plural forms of the terms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specified in the preamble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Average Daily Trading Volume</w:t>
      </w:r>
      <w:r>
        <w:rPr>
          <w:rFonts w:ascii="Times New Roman;Times;Serif" w:hAnsi="Times New Roman;Times;Serif"/>
          <w:b w:val="false"/>
          <w:i w:val="false"/>
          <w:caps w:val="false"/>
          <w:smallCaps w:val="false"/>
          <w:sz w:val="20"/>
        </w:rPr>
        <w:t>” shall mean the median daily trading volume of the Company’s Common Stock over the most recent five (5) Business Days immediately preceding the date of delivery of a Purchase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Bankruptcy Law</w:t>
      </w:r>
      <w:r>
        <w:rPr>
          <w:rFonts w:ascii="Times New Roman;Times;Serif" w:hAnsi="Times New Roman;Times;Serif"/>
          <w:b w:val="false"/>
          <w:i w:val="false"/>
          <w:caps w:val="false"/>
          <w:smallCaps w:val="false"/>
          <w:sz w:val="20"/>
        </w:rPr>
        <w:t>” shall mean Title 11, U.S. Code,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full day on which the Principal Market is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Clearing Costs</w:t>
      </w:r>
      <w:r>
        <w:rPr>
          <w:rFonts w:ascii="Times New Roman;Times;Serif" w:hAnsi="Times New Roman;Times;Serif"/>
          <w:b w:val="false"/>
          <w:i w:val="false"/>
          <w:caps w:val="false"/>
          <w:smallCaps w:val="false"/>
          <w:sz w:val="20"/>
        </w:rPr>
        <w:t>” shall mean the Investor’s broker and Transfer Agent costs with respect to each deposit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mean the closing of a purchase and sale of shares of Common Stock as described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Amount</w:t>
      </w:r>
      <w:r>
        <w:rPr>
          <w:rFonts w:ascii="Times New Roman;Times;Serif" w:hAnsi="Times New Roman;Times;Serif"/>
          <w:b w:val="false"/>
          <w:i w:val="false"/>
          <w:caps w:val="false"/>
          <w:smallCaps w:val="false"/>
          <w:sz w:val="20"/>
        </w:rPr>
        <w:t>” shall mean Ten Million Dollars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Fee Amount</w:t>
      </w:r>
      <w:r>
        <w:rPr>
          <w:rFonts w:ascii="Times New Roman;Times;Serif" w:hAnsi="Times New Roman;Times;Serif"/>
          <w:b w:val="false"/>
          <w:i w:val="false"/>
          <w:caps w:val="false"/>
          <w:smallCaps w:val="false"/>
          <w:sz w:val="20"/>
        </w:rPr>
        <w:t>” shall mean One Hundred Twenty Thousand Dollars ($120,000), subject to adjustment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Fee Price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shall mean the closing price of the Common Stock on the Trading Day immediately preceding the earlier of (i) the date on which the Registration Statement is declared effective by the SEC and (ii) the date that is 180 calendar days following the date hereof (or if such date is not a Trading Day, the immediately preceding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Period</w:t>
      </w:r>
      <w:r>
        <w:rPr>
          <w:rFonts w:ascii="Times New Roman;Times;Serif" w:hAnsi="Times New Roman;Times;Serif"/>
          <w:b w:val="false"/>
          <w:i w:val="false"/>
          <w:caps w:val="false"/>
          <w:smallCaps w:val="false"/>
          <w:sz w:val="20"/>
        </w:rPr>
        <w:t>” shall mean the period commencing on the Effective Date and ending on December 31,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Shares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Commitment Warrant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Company’s common stock, $0.0001 par value, and any shares of any other class of ordinary shares, whether now or hereafter authorized, having the right to participate in the distribution of dividends (as and when declared) and assets (upon liquidation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mean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Convertible Securities</w:t>
      </w:r>
      <w:r>
        <w:rPr>
          <w:rFonts w:ascii="Times New Roman;Times;Serif" w:hAnsi="Times New Roman;Times;Serif"/>
          <w:b w:val="false"/>
          <w:i w:val="false"/>
          <w:caps w:val="false"/>
          <w:smallCaps w:val="false"/>
          <w:sz w:val="20"/>
        </w:rPr>
        <w:t>” shall mean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specified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Current Report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Custodian</w:t>
      </w:r>
      <w:r>
        <w:rPr>
          <w:rFonts w:ascii="Times New Roman;Times;Serif" w:hAnsi="Times New Roman;Times;Serif"/>
          <w:b w:val="false"/>
          <w:i w:val="false"/>
          <w:caps w:val="false"/>
          <w:smallCaps w:val="false"/>
          <w:sz w:val="20"/>
        </w:rPr>
        <w:t>” shall mean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Damages</w:t>
      </w:r>
      <w:r>
        <w:rPr>
          <w:rFonts w:ascii="Times New Roman;Times;Serif" w:hAnsi="Times New Roman;Times;Serif"/>
          <w:b w:val="false"/>
          <w:i w:val="false"/>
          <w:caps w:val="false"/>
          <w:smallCaps w:val="false"/>
          <w:sz w:val="20"/>
        </w:rPr>
        <w:t>” shall mean any loss, claim, damage, liability, cost, and expense (including, without limitation, reasonable attorneys’ fees and disbursements and costs and expenses of expert witnesses and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Designated Brokerage Account</w:t>
      </w:r>
      <w:r>
        <w:rPr>
          <w:rFonts w:ascii="Times New Roman;Times;Serif" w:hAnsi="Times New Roman;Times;Serif"/>
          <w:b w:val="false"/>
          <w:i w:val="false"/>
          <w:caps w:val="false"/>
          <w:smallCaps w:val="false"/>
          <w:sz w:val="20"/>
        </w:rPr>
        <w:t>” shall mean the brokerage account provided by the Investor for the delivery of the applicable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Document Preparation Fee</w:t>
      </w:r>
      <w:r>
        <w:rPr>
          <w:rFonts w:ascii="Times New Roman;Times;Serif" w:hAnsi="Times New Roman;Times;Serif"/>
          <w:b w:val="false"/>
          <w:i w:val="false"/>
          <w:caps w:val="false"/>
          <w:smallCaps w:val="false"/>
          <w:sz w:val="20"/>
        </w:rPr>
        <w:t>” shall mean Twenty Thousand Dollars ($20,000).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DTC/FAST Program</w:t>
      </w:r>
      <w:r>
        <w:rPr>
          <w:rFonts w:ascii="Times New Roman;Times;Serif" w:hAnsi="Times New Roman;Times;Serif"/>
          <w:b w:val="false"/>
          <w:i w:val="false"/>
          <w:caps w:val="false"/>
          <w:smallCaps w:val="false"/>
          <w:sz w:val="20"/>
        </w:rPr>
        <w:t>” shall mean the DTC’s Fast Automated Securities Transfer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DTC</w:t>
      </w:r>
      <w:r>
        <w:rPr>
          <w:rFonts w:ascii="Times New Roman;Times;Serif" w:hAnsi="Times New Roman;Times;Serif"/>
          <w:b w:val="false"/>
          <w:i w:val="false"/>
          <w:caps w:val="false"/>
          <w:smallCaps w:val="false"/>
          <w:sz w:val="20"/>
        </w:rPr>
        <w:t>” shall mean The Depository Trust Company, or any successor performing substantially the same function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DWAC Eligible</w:t>
      </w:r>
      <w:r>
        <w:rPr>
          <w:rFonts w:ascii="Times New Roman;Times;Serif" w:hAnsi="Times New Roman;Times;Serif"/>
          <w:b w:val="false"/>
          <w:i w:val="false"/>
          <w:caps w:val="false"/>
          <w:smallCaps w:val="false"/>
          <w:sz w:val="20"/>
        </w:rPr>
        <w:t>” shall mean that (a) the Common Stock are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Securities are otherwise eligible for delivery via DWAC, and (e) the Transfer Agent does not have a policy prohibiting or limiting delivery of the Securities, as applicable, via DWAC.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DWAC Shares</w:t>
      </w:r>
      <w:r>
        <w:rPr>
          <w:rFonts w:ascii="Times New Roman;Times;Serif" w:hAnsi="Times New Roman;Times;Serif"/>
          <w:b w:val="false"/>
          <w:i w:val="false"/>
          <w:caps w:val="false"/>
          <w:smallCaps w:val="false"/>
          <w:sz w:val="20"/>
        </w:rPr>
        <w:t>” shall mean shares of Common Stock that are (i) issued in electronic form, (ii) freely tradable and transferable and without restriction on resale, and (iii) timely credited by the Company to the Investor’s or its designee’s specified DWAC account with DTC under the DTC/FAST Program, or any similar program hereafter adopted by DTC performing substantially the same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shall mean Deposit Withdrawal at Custodian as defined by the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Eligible Market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New York Stock Exchange, the NYSE American, the Nasdaq Global Select Market, the Nasdaq Global Market, or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the first paragraph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Indemnity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Investment Amount</w:t>
      </w:r>
      <w:r>
        <w:rPr>
          <w:rFonts w:ascii="Times New Roman;Times;Serif" w:hAnsi="Times New Roman;Times;Serif"/>
          <w:b w:val="false"/>
          <w:i w:val="false"/>
          <w:caps w:val="false"/>
          <w:smallCaps w:val="false"/>
          <w:sz w:val="20"/>
        </w:rPr>
        <w:t>” shall mean the gross price of the Purchase Notice Shares, less Clearing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specified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Irrevocable Transfer Agent Instructions</w:t>
      </w:r>
      <w:r>
        <w:rPr>
          <w:rFonts w:ascii="Times New Roman;Times;Serif" w:hAnsi="Times New Roman;Times;Serif"/>
          <w:b w:val="false"/>
          <w:i w:val="false"/>
          <w:caps w:val="false"/>
          <w:smallCaps w:val="false"/>
          <w:sz w:val="20"/>
        </w:rPr>
        <w:t>” shall mean a signed form of irrevocable transfer agent instructions, substantially in the form of Exhibit D attached hereto, instructing the Transfer Agent to immediately deliver any Purchase Notice Shares to the Investor upon the Transfer Agent’s receipt of the copy of a Purchase Notice from the Company, without further instruction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Lien</w:t>
      </w:r>
      <w:r>
        <w:rPr>
          <w:rFonts w:ascii="Times New Roman;Times;Serif" w:hAnsi="Times New Roman;Times;Serif"/>
          <w:b w:val="false"/>
          <w:i w:val="false"/>
          <w:caps w:val="false"/>
          <w:smallCaps w:val="false"/>
          <w:sz w:val="20"/>
        </w:rPr>
        <w:t>” shall mean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effect on the business, operations, properties, or financial condition of the Company that is material and adverse to the Company and/or any condition, circumstance, or situation that would prohibit or otherwise materially interfere with the ability of the Company to enter into and perform its obligations under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Note Purchase Agreement</w:t>
      </w:r>
      <w:r>
        <w:rPr>
          <w:rFonts w:ascii="Times New Roman;Times;Serif" w:hAnsi="Times New Roman;Times;Serif"/>
          <w:b w:val="false"/>
          <w:i w:val="false"/>
          <w:caps w:val="false"/>
          <w:smallCaps w:val="false"/>
          <w:sz w:val="20"/>
        </w:rPr>
        <w:t>” shall mean that certain Note Purchase Agreement, dated as of April 17, 2026, by and between the Company and the Investor, pursuant to which the Company has agreed, upon the terms and subject to the conditions of the Note Purchase Agreement, to issue and sell to the Investor senior secured convertible promissory notes of the Company in an aggregate principal amount of $2,875,000 (such notes, together with any note(s) issued in replacement thereof or as a dividend thereon or otherwise with respect thereto in accordance with the terms thereof,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convertible into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of Common Stock, pursuant to the terms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PEA Period</w:t>
      </w:r>
      <w:r>
        <w:rPr>
          <w:rFonts w:ascii="Times New Roman;Times;Serif" w:hAnsi="Times New Roman;Times;Serif"/>
          <w:b w:val="false"/>
          <w:i w:val="false"/>
          <w:caps w:val="false"/>
          <w:smallCaps w:val="false"/>
          <w:sz w:val="20"/>
        </w:rPr>
        <w:t>” shall mean the period commencing at 9:30 a.m., New York City time, on the fifth (5th) Business Day immediately prior to the filing of any post-effective amendment to the Registration Statement or any new registration statement, or any annual and quarterly report, and ending at 9:30 a.m., New York City time, on the Business Day immediately following (i) the effective date of such post-effective amendment of the Registration Statement or such new registration statement, or (ii) the date of filing of such annual and quarterly report,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a corporation, a partnership, an association, a trust or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Principal Market</w:t>
      </w:r>
      <w:r>
        <w:rPr>
          <w:rFonts w:ascii="Times New Roman;Times;Serif" w:hAnsi="Times New Roman;Times;Serif"/>
          <w:b w:val="false"/>
          <w:i w:val="false"/>
          <w:caps w:val="false"/>
          <w:smallCaps w:val="false"/>
          <w:sz w:val="20"/>
        </w:rPr>
        <w:t>” shall mean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Purchase</w:t>
      </w:r>
      <w:r>
        <w:rPr>
          <w:rFonts w:ascii="Times New Roman;Times;Serif" w:hAnsi="Times New Roman;Times;Serif"/>
          <w:b w:val="false"/>
          <w:i w:val="false"/>
          <w:caps w:val="false"/>
          <w:smallCaps w:val="false"/>
          <w:sz w:val="20"/>
        </w:rPr>
        <w:t>” shall mean a purchase of Purchase Notice Shares in accordance with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Purchase Notice</w:t>
      </w:r>
      <w:r>
        <w:rPr>
          <w:rFonts w:ascii="Times New Roman;Times;Serif" w:hAnsi="Times New Roman;Times;Serif"/>
          <w:b w:val="false"/>
          <w:i w:val="false"/>
          <w:caps w:val="false"/>
          <w:smallCaps w:val="false"/>
          <w:sz w:val="20"/>
        </w:rPr>
        <w:t>” shall mean a Rapid Purchase Notice or VWAP Purchase Notice,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Purchase Notice Shares</w:t>
      </w:r>
      <w:r>
        <w:rPr>
          <w:rFonts w:ascii="Times New Roman;Times;Serif" w:hAnsi="Times New Roman;Times;Serif"/>
          <w:b w:val="false"/>
          <w:i w:val="false"/>
          <w:caps w:val="false"/>
          <w:smallCaps w:val="false"/>
          <w:sz w:val="20"/>
        </w:rPr>
        <w:t>” shall mean all shares of Common Stock that the Company shall be entitled to issue as set forth in all applicable Purchase Notices in accordance with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Closing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Purchase Investment Amount</w:t>
      </w:r>
      <w:r>
        <w:rPr>
          <w:rFonts w:ascii="Times New Roman;Times;Serif" w:hAnsi="Times New Roman;Times;Serif"/>
          <w:b w:val="false"/>
          <w:i w:val="false"/>
          <w:caps w:val="false"/>
          <w:smallCaps w:val="false"/>
          <w:sz w:val="20"/>
        </w:rPr>
        <w:t>” shall mean the applicable Purchase Notice Shares referenced in the Rapid Purchase Notice multiplied by the applicable Rapid 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Purchase Notice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Purchase Notice</w:t>
      </w:r>
      <w:r>
        <w:rPr>
          <w:rFonts w:ascii="Times New Roman;Times;Serif" w:hAnsi="Times New Roman;Times;Serif"/>
          <w:b w:val="false"/>
          <w:i w:val="false"/>
          <w:caps w:val="false"/>
          <w:smallCaps w:val="false"/>
          <w:sz w:val="20"/>
        </w:rPr>
        <w:t xml:space="preserve">” shall mean a written notice from Company,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 “</w:t>
      </w:r>
      <w:r>
        <w:rPr>
          <w:rFonts w:ascii="Times New Roman;Times;Serif" w:hAnsi="Times New Roman;Times;Serif"/>
          <w:b/>
          <w:i w:val="false"/>
          <w:caps w:val="false"/>
          <w:smallCaps w:val="false"/>
          <w:sz w:val="20"/>
          <w:u w:val="single"/>
        </w:rPr>
        <w:t>Rapid Purchase Notice Form</w:t>
      </w:r>
      <w:r>
        <w:rPr>
          <w:rFonts w:ascii="Times New Roman;Times;Serif" w:hAnsi="Times New Roman;Times;Serif"/>
          <w:b w:val="false"/>
          <w:i w:val="false"/>
          <w:caps w:val="false"/>
          <w:smallCaps w:val="false"/>
          <w:sz w:val="20"/>
        </w:rPr>
        <w:t>”), to the Investor and the Transfer Agent setting forth the Purchase Notice Shares which the Company requires the Investor to purchase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Purchase Price</w:t>
      </w:r>
      <w:r>
        <w:rPr>
          <w:rFonts w:ascii="Times New Roman;Times;Serif" w:hAnsi="Times New Roman;Times;Serif"/>
          <w:b w:val="false"/>
          <w:i w:val="false"/>
          <w:caps w:val="false"/>
          <w:smallCaps w:val="false"/>
          <w:sz w:val="20"/>
        </w:rPr>
        <w:t>” shall mean the average of the three (3) lowest traded prices of the Common Stock during the Rapid Purchase Valuation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Rapid Purchase Valuation Period</w:t>
      </w:r>
      <w:r>
        <w:rPr>
          <w:rFonts w:ascii="Times New Roman;Times;Serif" w:hAnsi="Times New Roman;Times;Serif"/>
          <w:b w:val="false"/>
          <w:i w:val="false"/>
          <w:caps w:val="false"/>
          <w:smallCaps w:val="false"/>
          <w:sz w:val="20"/>
        </w:rPr>
        <w:t>” shall mean the two (2) hour period immediately following the written confirmation of the acceptance of the Rapid Purchase Notice by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entered into by and among the Company and the Investor,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Regulation D</w:t>
      </w:r>
      <w:r>
        <w:rPr>
          <w:rFonts w:ascii="Times New Roman;Times;Serif" w:hAnsi="Times New Roman;Times;Serif"/>
          <w:b w:val="false"/>
          <w:i w:val="false"/>
          <w:caps w:val="false"/>
          <w:smallCaps w:val="false"/>
          <w:sz w:val="20"/>
        </w:rPr>
        <w:t>” shall mean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Rule 144</w:t>
      </w:r>
      <w:r>
        <w:rPr>
          <w:rFonts w:ascii="Times New Roman;Times;Serif" w:hAnsi="Times New Roman;Times;Serif"/>
          <w:b w:val="false"/>
          <w:i w:val="false"/>
          <w:caps w:val="false"/>
          <w:smallCaps w:val="false"/>
          <w:sz w:val="20"/>
        </w:rPr>
        <w:t>” shall mean Rule 144 under the Securities Act or any similar provision then in force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 Documents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mean (i) the Purchase Notice Shares issued to the Investor by the Company pursuant to this Agreement and (ii) the Commitment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shall mean the Securities Purchase Agreement entered into by and among the Company and the Investor concurrently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Signing Date</w:t>
      </w:r>
      <w:r>
        <w:rPr>
          <w:rFonts w:ascii="Times New Roman;Times;Serif" w:hAnsi="Times New Roman;Times;Serif"/>
          <w:b w:val="false"/>
          <w:i w:val="false"/>
          <w:caps w:val="false"/>
          <w:smallCaps w:val="false"/>
          <w:sz w:val="20"/>
        </w:rPr>
        <w:t>” shall have the meaning set forth in the first paragraph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shall mean any termination outlined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Registration Rights Agreement, the Securities Purchase Agreement, and all schedules and exhibits hereto and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shall mean the transfer agent of the Company as of the Effective Date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“VWAP” function (set to 09:30:01 start time and 15:59:59 end time) or, if the foregoing does not apply, the dollar volume-weighted average price of such security on the OTCQB or OTCQX tiers of OTC Markets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OTCID tier of OTC Markets Group Inc. If the VWAP cannot be calculated for such security on such date on any of the foregoing bases, the VWAP of such security on such date shall be the fair market value as mutually determined by the Company and the Investor. If the Company and the Investor are unable to agree upon the fair market value of such security, then such dispute shall be resolved in accordance with the procedures in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All such determinations shall be appropriately adjusted for any share dividend, share split, share combination, recapitalization, or other similar transaction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Closing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Investment Amount</w:t>
      </w:r>
      <w:r>
        <w:rPr>
          <w:rFonts w:ascii="Times New Roman;Times;Serif" w:hAnsi="Times New Roman;Times;Serif"/>
          <w:b w:val="false"/>
          <w:i w:val="false"/>
          <w:caps w:val="false"/>
          <w:smallCaps w:val="false"/>
          <w:sz w:val="20"/>
        </w:rPr>
        <w:t>” shall mean the applicable Purchase Notice Shares referenced in the VWAP Purchase Notice multiplied by the VWAP 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Notice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Notice</w:t>
      </w:r>
      <w:r>
        <w:rPr>
          <w:rFonts w:ascii="Times New Roman;Times;Serif" w:hAnsi="Times New Roman;Times;Serif"/>
          <w:b w:val="false"/>
          <w:i w:val="false"/>
          <w:caps w:val="false"/>
          <w:smallCaps w:val="false"/>
          <w:sz w:val="20"/>
        </w:rPr>
        <w:t xml:space="preserve">” shall mean a written notice from Company,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 “</w:t>
      </w:r>
      <w:r>
        <w:rPr>
          <w:rFonts w:ascii="Times New Roman;Times;Serif" w:hAnsi="Times New Roman;Times;Serif"/>
          <w:b/>
          <w:i w:val="false"/>
          <w:caps w:val="false"/>
          <w:smallCaps w:val="false"/>
          <w:sz w:val="20"/>
          <w:u w:val="single"/>
        </w:rPr>
        <w:t>VWAP Purchase Notice Form</w:t>
      </w:r>
      <w:r>
        <w:rPr>
          <w:rFonts w:ascii="Times New Roman;Times;Serif" w:hAnsi="Times New Roman;Times;Serif"/>
          <w:b w:val="false"/>
          <w:i w:val="false"/>
          <w:caps w:val="false"/>
          <w:smallCaps w:val="false"/>
          <w:sz w:val="20"/>
        </w:rPr>
        <w:t>”), to the Investor and the Transfer Agent setting forth the Purchase Notice Shares which the Company requires the Investor to purchase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Notice Limit</w:t>
      </w:r>
      <w:r>
        <w:rPr>
          <w:rFonts w:ascii="Times New Roman;Times;Serif" w:hAnsi="Times New Roman;Times;Serif"/>
          <w:b w:val="false"/>
          <w:i w:val="false"/>
          <w:caps w:val="false"/>
          <w:smallCaps w:val="false"/>
          <w:sz w:val="20"/>
        </w:rPr>
        <w:t>” shall mean, for any VWAP Purchase Notice, the maximum amount of Purchase Notice Shares the Company may require the Investor to purchase per each Purchase Notice, which shall not exceed sixty percent (60%) of the Average Daily Trading Volume immediately preceding receipt of the applicable VWAP Purchase Notice. Notwithstanding the foregoing, the Investor may waive the VWAP Purchase Notice Limit at any time to allow the Investor to purchase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Price</w:t>
      </w:r>
      <w:r>
        <w:rPr>
          <w:rFonts w:ascii="Times New Roman;Times;Serif" w:hAnsi="Times New Roman;Times;Serif"/>
          <w:b w:val="false"/>
          <w:i w:val="false"/>
          <w:caps w:val="false"/>
          <w:smallCaps w:val="false"/>
          <w:sz w:val="20"/>
        </w:rPr>
        <w:t>” shall mean (i) ninety-seven percent (97%) multiplied by the lowest daily VWAP of the Common Stock during the VWAP Purchase Valuation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VWAP Purchase Valuation Period</w:t>
      </w:r>
      <w:r>
        <w:rPr>
          <w:rFonts w:ascii="Times New Roman;Times;Serif" w:hAnsi="Times New Roman;Times;Serif"/>
          <w:b w:val="false"/>
          <w:i w:val="false"/>
          <w:caps w:val="false"/>
          <w:smallCaps w:val="false"/>
          <w:sz w:val="20"/>
        </w:rPr>
        <w:t>” shall mean the three (3) consecutive Business Days commencing on and including the VWAP Purchase Notice Date. For the avoidance of doubt, the VWAP Purchase Notice Date shall be the first Business Day in the VWAP Purchase Valuation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PURCHASE AND SALE OF COMMON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PURCHASE NOTICES</w:t>
      </w:r>
      <w:r>
        <w:rPr>
          <w:rFonts w:ascii="Times New Roman;Times;Serif" w:hAnsi="Times New Roman;Times;Serif"/>
          <w:b w:val="false"/>
          <w:i w:val="false"/>
          <w:caps w:val="false"/>
          <w:smallCaps w:val="false"/>
          <w:sz w:val="20"/>
        </w:rPr>
        <w:t xml:space="preserve">. Subject to the terms and conditions set forth herein (including, without limitation, the provisions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shall have the right, but not the obligation, to require the Investor, by its delivery to the Investor of a Purchase Notice, from time to time, with a copy to the Transfer Agent, to purchase Purchase Notice Shares, provided that (i) the amount of Purchase Notice Shares shall not exceed the Beneficial Ownership Limitation set forth in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(each such purchase, a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The Company may not deliver a subsequent Purchase Notice until the Closing of an active Purchase Notice, except if waived by the Investor in writing. Furthermore, the Company shall not deliver any Purchase Notices to the Investor during the PEA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MECHANICS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RAPID PURCHASE NOTICE</w:t>
      </w:r>
      <w:r>
        <w:rPr>
          <w:rFonts w:ascii="Times New Roman;Times;Serif" w:hAnsi="Times New Roman;Times;Serif"/>
          <w:b w:val="false"/>
          <w:i w:val="false"/>
          <w:caps w:val="false"/>
          <w:smallCaps w:val="false"/>
          <w:sz w:val="20"/>
        </w:rPr>
        <w:t xml:space="preserve">. At any time and from time to time during the Commitment Period, except during a PEA Period, and except as otherwise provided in this Agreement, the Company may deliver a Rapid Purchase Notice to Investor, subject to satisfaction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otherwise provided herein. The Company shall provide the Transfer Agent with a copy of such Rapid Purchase Notice concurrently with its delivery to the Investor. The Company shall deliver the Purchase Notice Shares as DWAC Shares to the Designated Brokerage Account alongside the delivery of the Rapid Purchase Notice. A Rapid Purchase Notice shall be deemed delivered on the Business Day (i) a Rapid Purchase Notice Form is received and accepted by email by the Investor and (ii) the DWAC of the applicable Purchase Notice Shares has been initiated and completed as confirmed by the Investor’s Designated Brokerage Account by 6:00 a.m. Pacific time (the “</w:t>
      </w:r>
      <w:r>
        <w:rPr>
          <w:rFonts w:ascii="Times New Roman;Times;Serif" w:hAnsi="Times New Roman;Times;Serif"/>
          <w:b/>
          <w:i w:val="false"/>
          <w:caps w:val="false"/>
          <w:smallCaps w:val="false"/>
          <w:sz w:val="20"/>
          <w:u w:val="single"/>
        </w:rPr>
        <w:t>Rapid Purchase Notice Date</w:t>
      </w:r>
      <w:r>
        <w:rPr>
          <w:rFonts w:ascii="Times New Roman;Times;Serif" w:hAnsi="Times New Roman;Times;Serif"/>
          <w:b w:val="false"/>
          <w:i w:val="false"/>
          <w:caps w:val="false"/>
          <w:smallCaps w:val="false"/>
          <w:sz w:val="20"/>
        </w:rPr>
        <w:t xml:space="preserve">”). If the applicable Rapid Purchase Notice Form is received after 6:00 a.m. Pacific time or the DWAC of the applicable Purchase Notice Shares has not been completed as confirmed by the Investor’s Designated Brokerage Account by 6:00 a.m. Pacific time, then the next Business Day shall be the Rapid Purchase Notice Date, unless waived by the Investor in writing. Each party shall use its commercially reasonable efforts to perform or fulfill all conditions and obligations to be performed or fulfilled by it under this Agreement so that the transactions contemplated hereby shall be consummated as soon as practicable. Each party also agrees that it shall use its commercially reasonable efforts to take, or cause to be taken, all actions and to do, or cause to be done, all things necessary, proper or advisable under applicable laws and regulations to consummate and make effective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 and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RAPID PURCHASE CLOSING</w:t>
      </w:r>
      <w:r>
        <w:rPr>
          <w:rFonts w:ascii="Times New Roman;Times;Serif" w:hAnsi="Times New Roman;Times;Serif"/>
          <w:b w:val="false"/>
          <w:i w:val="false"/>
          <w:caps w:val="false"/>
          <w:smallCaps w:val="false"/>
          <w:sz w:val="20"/>
        </w:rPr>
        <w:t>. The Closing of a Rapid Purchase Notice shall occur no later than one (1) Business Day following the Rapid Purchase Notice Date (the “</w:t>
      </w:r>
      <w:r>
        <w:rPr>
          <w:rFonts w:ascii="Times New Roman;Times;Serif" w:hAnsi="Times New Roman;Times;Serif"/>
          <w:b/>
          <w:i w:val="false"/>
          <w:caps w:val="false"/>
          <w:smallCaps w:val="false"/>
          <w:sz w:val="20"/>
          <w:u w:val="single"/>
        </w:rPr>
        <w:t>Rapid Closing Date</w:t>
      </w:r>
      <w:r>
        <w:rPr>
          <w:rFonts w:ascii="Times New Roman;Times;Serif" w:hAnsi="Times New Roman;Times;Serif"/>
          <w:b w:val="false"/>
          <w:i w:val="false"/>
          <w:caps w:val="false"/>
          <w:smallCaps w:val="false"/>
          <w:sz w:val="20"/>
        </w:rPr>
        <w:t>”), whereby the Investor shall deliver to the Company, by 3:00 p.m. Pacific time on the Rapid Closing Date, the Rapid Purchase Investment Amount in lawful money of the United States of America by wire transfer of immediately available funds to an account designated by the Company, provided that the Investor has received the applicable Purchase Notice Shares as DWAC Shares. The Company shall not issue any fraction of a Common Stock pursuant to any Rapid Purchase Notice. If the issuance would result in the issuance of a fraction of a Common Stock, the Company shall round such fraction of a Common Stock up to the nearest whole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VWAP PURCHASE NOTICE</w:t>
      </w:r>
      <w:r>
        <w:rPr>
          <w:rFonts w:ascii="Times New Roman;Times;Serif" w:hAnsi="Times New Roman;Times;Serif"/>
          <w:b w:val="false"/>
          <w:i w:val="false"/>
          <w:caps w:val="false"/>
          <w:smallCaps w:val="false"/>
          <w:sz w:val="20"/>
        </w:rPr>
        <w:t xml:space="preserve">. At any time and from time to time during the Commitment Period, except during a PEA Period and except as otherwise provided in this Agreement, the Company may deliver a VWAP Purchase Notice to Investor, subject to satisfaction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otherwise provided herein, provided that the amount of Purchase Notice Shares set forth on VWAP Purchase Notice shall not exceed the VWAP Purchase Notice Limit. The Company shall provide the Transfer Agent with a copy of such VWAP Purchase Notice concurrently with its delivery to the Investor. The Company shall deliver the Purchase Notice Shares as DWAC Shares to the Designated Brokerage Account alongside the delivery of the VWAP Purchase Notice. A VWAP Purchase Notice shall be deemed delivered on the Business Day (i) a VWAP Purchase Notice Form is received and confirmed by 6:00 a.m. Pacific time by email by the Investor and (ii) the DWAC of the applicable Purchase Notice Shares has been initiated and completed as confirmed by the Investor’s Designated Brokerage Account by 6:00 a.m. Pacific time (the “</w:t>
      </w:r>
      <w:r>
        <w:rPr>
          <w:rFonts w:ascii="Times New Roman;Times;Serif" w:hAnsi="Times New Roman;Times;Serif"/>
          <w:b/>
          <w:i w:val="false"/>
          <w:caps w:val="false"/>
          <w:smallCaps w:val="false"/>
          <w:sz w:val="20"/>
          <w:u w:val="single"/>
        </w:rPr>
        <w:t>VWAP Purchase Notice Date</w:t>
      </w:r>
      <w:r>
        <w:rPr>
          <w:rFonts w:ascii="Times New Roman;Times;Serif" w:hAnsi="Times New Roman;Times;Serif"/>
          <w:b w:val="false"/>
          <w:i w:val="false"/>
          <w:caps w:val="false"/>
          <w:smallCaps w:val="false"/>
          <w:sz w:val="20"/>
        </w:rPr>
        <w:t xml:space="preserve">”). If the applicable VWAP Purchase Notice Form is received after 6:00 a.m. Pacific time or the DWAC of the applicable Purchase Notice Shares has not been completed as confirmed by the Investor’s Designated Brokerage Account by 6:00 a.m. Pacific time, then the next Business Day shall be the VWAP Purchase Notice Date, unless waived by the Investor in writing. Each party shall use its commercially reasonable efforts to perform or fulfill all conditions and obligations to be performed or fulfilled by it under this Agreement so that the transactions contemplated hereby shall be consummated as soon as practicable. Each party also agrees that it shall use its commercially reasonable efforts to take, or cause to be taken, all actions and to do, or cause to be done, all things necessary, proper or advisable under applicable laws and regulations to consummate and make effective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of this Agreement and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VWAP PURCHASE NOTICE CLOSING</w:t>
      </w:r>
      <w:r>
        <w:rPr>
          <w:rFonts w:ascii="Times New Roman;Times;Serif" w:hAnsi="Times New Roman;Times;Serif"/>
          <w:b w:val="false"/>
          <w:i w:val="false"/>
          <w:caps w:val="false"/>
          <w:smallCaps w:val="false"/>
          <w:sz w:val="20"/>
        </w:rPr>
        <w:t>. The Closing of a VWAP Purchase Notice shall occur no later than one (1) Business Day following the VWAP Purchase Valuation Period (the “</w:t>
      </w:r>
      <w:r>
        <w:rPr>
          <w:rFonts w:ascii="Times New Roman;Times;Serif" w:hAnsi="Times New Roman;Times;Serif"/>
          <w:b/>
          <w:i w:val="false"/>
          <w:caps w:val="false"/>
          <w:smallCaps w:val="false"/>
          <w:sz w:val="20"/>
          <w:u w:val="single"/>
        </w:rPr>
        <w:t>VWAP Purchase Closing Date</w:t>
      </w:r>
      <w:r>
        <w:rPr>
          <w:rFonts w:ascii="Times New Roman;Times;Serif" w:hAnsi="Times New Roman;Times;Serif"/>
          <w:b w:val="false"/>
          <w:i w:val="false"/>
          <w:caps w:val="false"/>
          <w:smallCaps w:val="false"/>
          <w:sz w:val="20"/>
        </w:rPr>
        <w:t>”); whereby the Investor shall deliver to the Company, by 3:00 p.m. Pacific time on the VWAP Purchase Closing Date, the VWAP Purchase Investment Amount in lawful money of the United States of America by wire transfer of immediately available funds to an account designated by the Company, provided that the Investor has received the applicable Purchase Notice Shares as DWAC Shares. The Company shall not issue any fraction of a Common Stock pursuant to any VWAP Purchase Notice. If the issuance would result in the issuance of a fraction of a Common Stock, the Company shall round such fraction of a Common Stock up to the nearest whole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 OF INVESTOR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and warrants the following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INTENT</w:t>
      </w:r>
      <w:r>
        <w:rPr>
          <w:rFonts w:ascii="Times New Roman;Times;Serif" w:hAnsi="Times New Roman;Times;Serif"/>
          <w:b w:val="false"/>
          <w:i w:val="false"/>
          <w:caps w:val="false"/>
          <w:smallCaps w:val="false"/>
          <w:sz w:val="20"/>
        </w:rPr>
        <w:t xml:space="preserve">. The Investor is entering into this Agreement and purchasing the Securities for its own account, and not as nominee or agent, for investment purposes and not with a view towards, or for a sale in connection with, a “distribution” (as such term is defined in the Securities Act), and the Investor has no present arrangement (whether or not legally binding) at any time to sell the Securities to or through any Person in violation of the Securities Act or any applicable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reserves the right to dispose of the Securities at any time in accordance with federal and state securities laws applicable to such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NO LEGAL ADVICE FROM THE COMPANY</w:t>
      </w:r>
      <w:r>
        <w:rPr>
          <w:rFonts w:ascii="Times New Roman;Times;Serif" w:hAnsi="Times New Roman;Times;Serif"/>
          <w:b w:val="false"/>
          <w:i w:val="false"/>
          <w:caps w:val="false"/>
          <w:smallCaps w:val="false"/>
          <w:sz w:val="20"/>
        </w:rPr>
        <w:t>. The Investor acknowledges that it has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ACCREDITED INVESTOR</w:t>
      </w:r>
      <w:r>
        <w:rPr>
          <w:rFonts w:ascii="Times New Roman;Times;Serif" w:hAnsi="Times New Roman;Times;Serif"/>
          <w:b w:val="false"/>
          <w:i w:val="false"/>
          <w:caps w:val="false"/>
          <w:smallCaps w:val="false"/>
          <w:sz w:val="20"/>
        </w:rPr>
        <w:t>. The Investor is an “accredited investor” (as defined in Rule 501(a)(3) of Regulation D), and the Investor has such experience in business and financial matters that it is capable of evaluating the merits and risks of an investment in the Securities. The Investor acknowledges that an investment in the Securities is speculative and involves a high degree of risk. The Investor represents that it is able to bear any loss associated with an investment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The Investor has the requisite power and authority to enter into and perform its obligations under the Transaction Documents and to consummate the transactions contemplated hereby and thereby. The execution and delivery of the Transaction Documents and the consummation by it of the transactions contemplated hereby and thereby have been duly authorized by all necessary action and no further consent or authorization of the Investor is required. The Transaction Documents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val="false"/>
          <w:caps w:val="false"/>
          <w:smallCaps w:val="false"/>
          <w:sz w:val="20"/>
          <w:u w:val="single"/>
        </w:rPr>
        <w:t>NOT AN AFFILIATE</w:t>
      </w:r>
      <w:r>
        <w:rPr>
          <w:rFonts w:ascii="Times New Roman;Times;Serif" w:hAnsi="Times New Roman;Times;Serif"/>
          <w:b w:val="false"/>
          <w:i w:val="false"/>
          <w:caps w:val="false"/>
          <w:smallCaps w:val="false"/>
          <w:sz w:val="20"/>
        </w:rPr>
        <w:t>. The Investor is not an officer, director, or “affiliate” (as that term is defined in Rule 405 of the Securities Act)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3.6 </w:t>
      </w:r>
      <w:r>
        <w:rPr>
          <w:rFonts w:ascii="Times New Roman;Times;Serif" w:hAnsi="Times New Roman;Times;Serif"/>
          <w:b/>
          <w:i w:val="false"/>
          <w:caps w:val="false"/>
          <w:smallCaps w:val="false"/>
          <w:sz w:val="20"/>
          <w:u w:val="single"/>
        </w:rPr>
        <w:t>ORGANIZATION AND STANDING; COMPLIANCE WITH LAWS</w:t>
      </w:r>
      <w:r>
        <w:rPr>
          <w:rFonts w:ascii="Times New Roman;Times;Serif" w:hAnsi="Times New Roman;Times;Serif"/>
          <w:b w:val="false"/>
          <w:i w:val="false"/>
          <w:caps w:val="false"/>
          <w:smallCaps w:val="false"/>
          <w:sz w:val="20"/>
        </w:rPr>
        <w:t>. The Investor is an entity duly incorporated or formed, validly existing and in good standing under the laws of the State of Nevada with full right and limited liability company power and authority to enter into and to consummate the transactions contemplated by the Transaction Documents. The Investor will comply with all U.S. federal securities laws applicable to its purchase and resale of Common Stocks.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3.7 </w:t>
      </w:r>
      <w:r>
        <w:rPr>
          <w:rFonts w:ascii="Times New Roman;Times;Serif" w:hAnsi="Times New Roman;Times;Serif"/>
          <w:b/>
          <w:i w:val="false"/>
          <w:caps w:val="false"/>
          <w:smallCaps w:val="false"/>
          <w:sz w:val="20"/>
          <w:u w:val="single"/>
        </w:rPr>
        <w:t>ABSENCE OF CONFLICTS</w:t>
      </w:r>
      <w:r>
        <w:rPr>
          <w:rFonts w:ascii="Times New Roman;Times;Serif" w:hAnsi="Times New Roman;Times;Serif"/>
          <w:b w:val="false"/>
          <w:i w:val="false"/>
          <w:caps w:val="false"/>
          <w:smallCaps w:val="false"/>
          <w:sz w:val="20"/>
        </w:rPr>
        <w:t>. The execution and delivery of the Transaction Documents and the consummation of the transactions 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3.8 </w:t>
      </w:r>
      <w:r>
        <w:rPr>
          <w:rFonts w:ascii="Times New Roman;Times;Serif" w:hAnsi="Times New Roman;Times;Serif"/>
          <w:b/>
          <w:i w:val="false"/>
          <w:caps w:val="false"/>
          <w:smallCaps w:val="false"/>
          <w:sz w:val="20"/>
          <w:u w:val="single"/>
        </w:rPr>
        <w:t>DISCLOSURE; ACCESS TO INFORMATION</w:t>
      </w:r>
      <w:r>
        <w:rPr>
          <w:rFonts w:ascii="Times New Roman;Times;Serif" w:hAnsi="Times New Roman;Times;Serif"/>
          <w:b w:val="false"/>
          <w:i w:val="false"/>
          <w:caps w:val="false"/>
          <w:smallCaps w:val="false"/>
          <w:sz w:val="20"/>
        </w:rPr>
        <w:t>. The Investor had an opportunity to review copies of the SEC Documents filed on behalf of the Company and has had access to all publicly available information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3.9 </w:t>
      </w:r>
      <w:r>
        <w:rPr>
          <w:rFonts w:ascii="Times New Roman;Times;Serif" w:hAnsi="Times New Roman;Times;Serif"/>
          <w:b/>
          <w:i w:val="false"/>
          <w:caps w:val="false"/>
          <w:smallCaps w:val="false"/>
          <w:sz w:val="20"/>
          <w:u w:val="single"/>
        </w:rPr>
        <w:t>MANNER OF SALE</w:t>
      </w:r>
      <w:r>
        <w:rPr>
          <w:rFonts w:ascii="Times New Roman;Times;Serif" w:hAnsi="Times New Roman;Times;Serif"/>
          <w:b w:val="false"/>
          <w:i w:val="false"/>
          <w:caps w:val="false"/>
          <w:smallCaps w:val="false"/>
          <w:sz w:val="20"/>
        </w:rPr>
        <w:t>. At no time was the Investor presented with or solicited by or through any leaflet, public promotional meeting, television advertisement, or any other form of general solicitation or advertising.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3.10</w:t>
        <w:tab/>
      </w:r>
      <w:r>
        <w:rPr>
          <w:rFonts w:ascii="Times New Roman;Times;Serif" w:hAnsi="Times New Roman;Times;Serif"/>
          <w:b/>
          <w:i w:val="false"/>
          <w:caps w:val="false"/>
          <w:smallCaps w:val="false"/>
          <w:sz w:val="20"/>
          <w:u w:val="single"/>
        </w:rPr>
        <w:t>PRIOR COMMUNICATION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Investor confirms that it is not relying on any communication (written or oral) of the Company or any of its affiliates, as investment or tax advice or as a recommendation to purchase the Common Stock. It is understood that information and explanations related to the terms and conditions of the Securities provided by the Company or any of its affiliates shall not be considered investment or tax advice or a recommendation to purchase the Securities, and that neither the Company nor any of its affiliates is acting or has acted as an advisor to the undersigned in deciding to invest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REPRESENTATIONS AND WARRANTIES OF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Documents, which SEC Documents shall be deemed a part hereof and shall qualify any representation or otherwise made herein, the Company represents and warrants the following to the Investor,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ORGANIZATION OF THE COMPANY</w:t>
      </w:r>
      <w:r>
        <w:rPr>
          <w:rFonts w:ascii="Times New Roman;Times;Serif" w:hAnsi="Times New Roman;Times;Serif"/>
          <w:b w:val="false"/>
          <w:i w:val="false"/>
          <w:caps w:val="false"/>
          <w:smallCaps w:val="false"/>
          <w:sz w:val="20"/>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two subsidiaries, as disclosed in the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The Company has the requisite corporate power and authority to enter into and perform its obligations under the Transaction Documents.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shareholders is required. The Transaction Documents have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As of the Effective Date, the Company is authorized to issue a maximum of 300,000,000 shares of Common Stock, of which there are 29,293,322 shares of Common Stock issued and outstanding as of the Effective Date. Except as set forth in the SEC Documents, the Company has not issued any capital stock,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Effective Date. Except as set forth in the SEC Documents, no Person has any right of first refusal, preemptive right, right of participation, or any similar right to participate in the transactions contemplated by the Transaction Documents. Except as set forth in the SEC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set forth in the SEC Documents, the issuance and sale of the Securities will not obligate the Company to issue shares of Common Stock or other securities to any Person (other than the Investor) and will not result in a right of any holder of Company securities to adjust the exercise, conversion, exchange or reset price under any of such securities.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of the Exchange Act. Except as set forth in the SEC Documents, the Company has not, in the twelve (12) months preceding the Effective Date, received notice from the Principal Market on which the Common Stock is or has been listed or quoted to the effect that the Company is not in compliance with the listing or maintenance requirements of such Principal Market. Except as set forth in the SEC Documents, the Company is and has no reason to believe that it will not in the foreseeable future continue to be, in compliance with all such listing and maintenance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SEC DOCUMENTS; DISCLOSURE</w:t>
      </w:r>
      <w:r>
        <w:rPr>
          <w:rFonts w:ascii="Times New Roman;Times;Serif" w:hAnsi="Times New Roman;Times;Serif"/>
          <w:b w:val="false"/>
          <w:i w:val="false"/>
          <w:caps w:val="false"/>
          <w:smallCaps w:val="false"/>
          <w:sz w:val="20"/>
        </w:rPr>
        <w:t>. The Company has timely filed all reports, schedules, forms, statements and other documents required to be filed by the Company under the Securities Act and the Exchange Act, including pursuant to Section 13(a) thereof, for the one (1) year preceding the Effective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val="false"/>
          <w:caps w:val="false"/>
          <w:smallCaps w:val="false"/>
          <w:sz w:val="20"/>
          <w:u w:val="single"/>
        </w:rPr>
        <w:t>VALID ISSUANCES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hereby and thereby, including, without limitation, the issuance of the Purchase Notice Shares, do not and will not: (a) result in a violation of the Company’s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give to others any rights of termination, amendment, acceleration or cancellation of, any agreement, indenture, instrument or any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or similar provision of any underwriting or similar agreement to which the Company is a party, or (c) result in a violation of any federal, state or local law, rule, regulation, order, judgment or decree (including federal and state securities laws and regulations) applicable to the Company or by which any property or asset of the Company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the Transaction Documents (other than (i) any SEC or state securities filings that may be required to be made by the Company in connection with the issuance of Purchase Notice Shares or subsequent to any Closing or any registration statement that may be filed pursuant hereto, or (ii) the filing of a Listing of Additional Shares Notification Form with the Principal Market, which, in each case, have been made or will be made in a timely manner); provided that, for purposes of the representation made in this sentence, the Company is assuming and relying upon the accuracy of the relevant representations and agreements of Investor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No event has occurred that would have a Material Adverse Effect on the Company that has not been disclosed in subsequent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val="false"/>
          <w:caps w:val="false"/>
          <w:smallCaps w:val="false"/>
          <w:sz w:val="20"/>
          <w:u w:val="single"/>
        </w:rPr>
        <w:t>LITIGATION AND OTHER PROCEEDINGS</w:t>
      </w:r>
      <w:r>
        <w:rPr>
          <w:rFonts w:ascii="Times New Roman;Times;Serif" w:hAnsi="Times New Roman;Times;Serif"/>
          <w:b w:val="false"/>
          <w:i w:val="false"/>
          <w:caps w:val="false"/>
          <w:smallCaps w:val="false"/>
          <w:sz w:val="20"/>
        </w:rPr>
        <w:t>. Except as disclosed in the SEC Documents, there are no material actions, suits, investigations, inquiries (including, without limitation, SEC inquiries, FINRA inquiries, or inquiries of the Principal Market) or similar proceedings (however any governmental agency may name them) pending or, to the knowledge of the Company, threatened against or affecting the Company or its properties, nor has the Company received any written or oral notice of any such action, suit, proceeding, inquiry or investigation, which would have a Material Adverse Effect. No judgment, order, writ, injunction, or decree or award has been issued by or, to the knowledge of the Company, requested of any court, arbitrator or governmental agency which would have a Material Adverse Effect. There has not been, and to the knowledge of the Company, there is not pending or contemplated, any investigation by the SEC involving the Company or any current or former director or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Documents, no Person (other than the Investor) has any right to cause the Company to effect the registration under the Securities Act of any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ACKNOWLEDGMENT REGARDING INVESTOR’S PURCHASE OF SECURITIES</w:t>
      </w:r>
      <w:r>
        <w:rPr>
          <w:rFonts w:ascii="Times New Roman;Times;Serif" w:hAnsi="Times New Roman;Times;Serif"/>
          <w:b w:val="false"/>
          <w:i w:val="false"/>
          <w:caps w:val="false"/>
          <w:smallCaps w:val="false"/>
          <w:sz w:val="20"/>
        </w:rPr>
        <w:t>. The Company acknowledges and agrees that the Investor is acting solely in the capacity of an arm’s length purchaser with respect to the Transaction Documents and the transactions contemplated hereby and thereby and that the Investor is not (i) an officer or director of the Company, or (ii) an “affiliate” (as defined in Rule 144) of the Company.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Purchase Notice Shares. The Company further acknowledges that the Investor is not acting as a dealer of the Company’s Common Stock (or any other securities of the Company). The Company further represents to the Investor that the Company’s decision to enter into the Transaction Documents has been based solely on the independent evaluation by the Company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NO GENERAL SOLICITATION</w:t>
      </w:r>
      <w:r>
        <w:rPr>
          <w:rFonts w:ascii="Times New Roman;Times;Serif" w:hAnsi="Times New Roman;Times;Serif"/>
          <w:b w:val="false"/>
          <w:i w:val="false"/>
          <w:caps w:val="false"/>
          <w:smallCaps w:val="false"/>
          <w:sz w:val="20"/>
        </w:rPr>
        <w:t xml:space="preserve">. Neither the Company, nor any Person acting on its behalf, has engaged in any form of general solicitation or general advertising (within the meaning of Regulation D under the Securities act) in connection with the offer or sale of the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Except as set forth on the Disclosure Schedule, none of the Company, its affiliates, and any Person acting on their behalf has, directly or indirectly, made any offers or sales of any security or solicited any offers to buy any security, under circumstances that would cause this offering of the Securities to be integrated with prior offerings for purposes of any applicable shareholder approval provisions, including, without limitation, under the rules and regulations of any exchange or automated quotation system on which any of the securities of the Company are listed or designated, but excluding shareholder consents required to authorize and issue the Securities or waive any anti-dilution provisions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4.14 </w:t>
      </w:r>
      <w:r>
        <w:rPr>
          <w:rFonts w:ascii="Times New Roman;Times;Serif" w:hAnsi="Times New Roman;Times;Serif"/>
          <w:b/>
          <w:i w:val="false"/>
          <w:caps w:val="false"/>
          <w:smallCaps w:val="false"/>
          <w:sz w:val="20"/>
          <w:u w:val="single"/>
        </w:rPr>
        <w:t>PLACEMENT AGENT; OTHER COVERED PERSONS</w:t>
      </w:r>
      <w:r>
        <w:rPr>
          <w:rFonts w:ascii="Times New Roman;Times;Serif" w:hAnsi="Times New Roman;Times;Serif"/>
          <w:b w:val="false"/>
          <w:i w:val="false"/>
          <w:caps w:val="false"/>
          <w:smallCaps w:val="false"/>
          <w:sz w:val="20"/>
        </w:rPr>
        <w:t>. The Company is not aware of any other Person that has been or will be paid (directly or indirectly) remuneration for solicitation of the Investor in connection with the sale of any Regulation 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COVENANTS OF INVESTOR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SHORT SALES AND CONFIDENTIALITY</w:t>
      </w:r>
      <w:r>
        <w:rPr>
          <w:rFonts w:ascii="Times New Roman;Times;Serif" w:hAnsi="Times New Roman;Times;Serif"/>
          <w:b w:val="false"/>
          <w:i w:val="false"/>
          <w:caps w:val="false"/>
          <w:smallCaps w:val="false"/>
          <w:sz w:val="20"/>
        </w:rPr>
        <w:t xml:space="preserve">. Neither the Investor, nor any affiliate of the Investor acting on its behalf or pursuant to any understanding with it, (i) has executed any Short Sales or established any Synthetic Short Positions prior to the Effective Date, and (ii) will execute any Short Sales or establish any Synthetic Short Positions during the period from the Effective Date until this Agreement is terminated. For the purposes hereof, and in accordance with Regulation SHO, the sale of Common Stock purchased under the applicable Purchase Notice after delivery of the Purchase Notice shall not be deemed a Short Sale or the establishment of a Synthetic Short Position. The parties acknowledge and agree that during the Rapid Purchase Notice Date and VWAP Purchase Valuation Period, the Investor may contract for, or otherwise effect, the resale of the subject purchased Purchase Notice Shares to third parties. The Investor shall, until such time as the transactions contemplated by the Transaction Documents are publicly disclosed by the Company in accordance with the terms of the Transaction Documents, maintain the confidentiality of the existence and terms of this transaction and the information included in the Transaction Documents. “Short Sales” shall mean “short sales” as defined in Rule 200 promulgated under Regulation SHO under the Exchange Act. “Synthetic Short Position” shall mean any transaction, agreement, or arrangement (or series thereof), including, without limitation, any put option, short call option, total return swap, contract for difference, equity swap or other derivative transaction, the purpose or effect of which is to provide an economic benefit to a party in the event of a decline in the trading price of the Common Stock, regardless of whether such transaction, agreement, or arrangement is required to be reported as a short position under applicable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(i) the existence or exercise of the Commitment Warrant nor (ii) the existence, issuance, or conversion of the Notes, in each case in accordance with their respective terms, shall constitute or be deemed a Synthetic Short Position for any purpose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COMPLIANCE WITH LAW; TRADING IN SECURITIES</w:t>
      </w:r>
      <w:r>
        <w:rPr>
          <w:rFonts w:ascii="Times New Roman;Times;Serif" w:hAnsi="Times New Roman;Times;Serif"/>
          <w:b w:val="false"/>
          <w:i w:val="false"/>
          <w:caps w:val="false"/>
          <w:smallCaps w:val="false"/>
          <w:sz w:val="20"/>
        </w:rPr>
        <w:t>. The Investor’s trading activities with respect to shares of Common Stock will be in compliance with all applicable state and federal securities laws and regulations and the rules and regulations of FINRA and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COVENANTS OF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LISTING OF COMMON STOCK</w:t>
      </w:r>
      <w:r>
        <w:rPr>
          <w:rFonts w:ascii="Times New Roman;Times;Serif" w:hAnsi="Times New Roman;Times;Serif"/>
          <w:b w:val="false"/>
          <w:i w:val="false"/>
          <w:caps w:val="false"/>
          <w:smallCaps w:val="false"/>
          <w:sz w:val="20"/>
        </w:rPr>
        <w:t xml:space="preserve">. The Company shall use commercially reasonable efforts to maintain, so long as any shares of Common Stock shall be so listed, the listing, if required, of all such Common Stock on the Principal Market or any other Eligible Market during the Commitment Period. The Company shall use its commercially reasonable efforts to continue the listing or quotation and trading of the Common Stock on the Principal Market or any other Eligible Market (including, without limitation, maintaining sufficient net tangible assets, if required) and will comply in all respects with the Company’s reporting, filing, and other obligations under the bylaws or rules of the Principal Market or any other Eligible Market.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FILING OF CURRENT REPORT</w:t>
      </w:r>
      <w:r>
        <w:rPr>
          <w:rFonts w:ascii="Times New Roman;Times;Serif" w:hAnsi="Times New Roman;Times;Serif"/>
          <w:b w:val="false"/>
          <w:i w:val="false"/>
          <w:caps w:val="false"/>
          <w:smallCaps w:val="false"/>
          <w:sz w:val="20"/>
        </w:rPr>
        <w:t>. The Company agrees that it shall file a Current Report on Form 8-K, including the Transaction Documents as exhibits thereto, with the SEC within the time required by the Exchange Act, relating to the execution of the transactions contemplated by, and describing the material terms and conditions of, the Transaction Documents (the “</w:t>
      </w:r>
      <w:r>
        <w:rPr>
          <w:rFonts w:ascii="Times New Roman;Times;Serif" w:hAnsi="Times New Roman;Times;Serif"/>
          <w:b/>
          <w:i w:val="false"/>
          <w:caps w:val="false"/>
          <w:smallCaps w:val="false"/>
          <w:sz w:val="20"/>
          <w:u w:val="single"/>
        </w:rPr>
        <w:t>Current Report</w:t>
      </w:r>
      <w:r>
        <w:rPr>
          <w:rFonts w:ascii="Times New Roman;Times;Serif" w:hAnsi="Times New Roman;Times;Serif"/>
          <w:b w:val="false"/>
          <w:i w:val="false"/>
          <w:caps w:val="false"/>
          <w:smallCaps w:val="false"/>
          <w:sz w:val="20"/>
        </w:rPr>
        <w:t>”). The Company shall permit the Investor to review and comment upon the final pre-filing draft version of the Current Report at least two (2) Business Days prior to its filing with the SEC, and the Company shall give reasonable consideration to all such comments. The Investor shall use its reasonable best efforts to comment upon the final pre-filing draft version of the Current Report within one (1) Business Day from the date the Investor receives it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val="false"/>
          <w:caps w:val="false"/>
          <w:smallCaps w:val="false"/>
          <w:sz w:val="20"/>
          <w:u w:val="single"/>
        </w:rPr>
        <w:t>FILING OF REGISTRATION STATEMENT</w:t>
      </w:r>
      <w:r>
        <w:rPr>
          <w:rFonts w:ascii="Times New Roman;Times;Serif" w:hAnsi="Times New Roman;Times;Serif"/>
          <w:b w:val="false"/>
          <w:i w:val="false"/>
          <w:caps w:val="false"/>
          <w:smallCaps w:val="false"/>
          <w:sz w:val="20"/>
        </w:rPr>
        <w:t>. The Company shall file with the SEC, within fifteen (15) Business Days after the Effective Date, a new Registration Statement on Form S-1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in compliance with the terms of the Registration Rights Agreement, covering only the resale by the Investor of the Securities (including the Commitment Securities) by the Investor; provided, however, that this deadline shall be tolled by one Business Day for each Business Day that the SEC is closed due to a shutdown of the United States government. The Registration Statement shall relate to the transactions contemplated by, and describing the material terms and conditions of, this Agreement and disclosing all information relating to the transactions contemplated hereby required to be disclosed in the Registration Statement and the prospectus supplement as of the date of the Registration Statement, including, without limitation, information required to be disclosed in the section captioned “Plan of Distribution” in the Registration Statement. The Company shall permit the Investor to review and comment upon the Registration Statement within a reasonable time prior to their filing with the SEC, the Company shall give reasonable consideration to all such comments, and the Company shall not file the Current Report or the Registration Statement with the SEC in a form to which the Investor reasonably objects.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Registration Statement, and shall otherwise cooperate with the Company as reasonably requested by the Company in connection with the preparation and filing of the Current Report and the Registration Statement with the SEC. The Company shall have no knowledge of any untrue statement (or alleged untrue statement) of a material fact or omission (or alleged omission) of a material fact required to be stated therein or necessary to make the statements therein, in light of the circumstances under which they were made, not misleading, in any pre-existing registration statement filed or any new registration statement or prospectus which is a part of the foregoing. The Company shall promptly give the Investor notice of any event (including the passage of time) which makes the final prospectus not to be in compliance with Section 5(b) or 10 of the Securities Act and shall use its commercially reasonable efforts thereafter to file with the SEC any Post-Effective Amendment to the Registration Statement, amended prospectus or prospectus supplement in order to comply with Section 5(b) or 10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6.4 </w:t>
      </w:r>
      <w:r>
        <w:rPr>
          <w:rFonts w:ascii="Times New Roman;Times;Serif" w:hAnsi="Times New Roman;Times;Serif"/>
          <w:b/>
          <w:i w:val="false"/>
          <w:caps w:val="false"/>
          <w:smallCaps w:val="false"/>
          <w:sz w:val="20"/>
          <w:u w:val="single"/>
        </w:rPr>
        <w:t>COMMITMENT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In consideration for the Investor’s execution and delivery of, and agreement to perform under this Agreement, the Company shall issue and deliver to Investor, within three (3) Business Days following the effectiveness of the Registration Statement, as directed by the Investor, a number of shares of Common Stock (the “</w:t>
      </w:r>
      <w:r>
        <w:rPr>
          <w:rFonts w:ascii="Times New Roman;Times;Serif" w:hAnsi="Times New Roman;Times;Serif"/>
          <w:b/>
          <w:i w:val="false"/>
          <w:caps w:val="false"/>
          <w:smallCaps w:val="false"/>
          <w:sz w:val="20"/>
          <w:u w:val="single"/>
        </w:rPr>
        <w:t>Commitment Shares</w:t>
      </w:r>
      <w:r>
        <w:rPr>
          <w:rFonts w:ascii="Times New Roman;Times;Serif" w:hAnsi="Times New Roman;Times;Serif"/>
          <w:b w:val="false"/>
          <w:i w:val="false"/>
          <w:caps w:val="false"/>
          <w:smallCaps w:val="false"/>
          <w:sz w:val="20"/>
        </w:rPr>
        <w:t xml:space="preserve">”) equal to the Commitment Fee Amount divided by the Commitment Fee Price. Notwithstanding the foregoing, to the extent that the issuance of Commitment Shares pursuant to this Section 6.4 would result in the Investor exceeding the Beneficial Ownership Limitation or in the Company exceeding the Exchange Cap, then the Company shall not issue such Commitment Shares and the portion of such Commitment Shares shall be held in abeyance for the Investor until such time or times as its right thereto would not result in the Investor exceeding the Beneficial Ownership Limitation and would not result in the Company exceeding the Exchange Cap, unless shareholder approval is obtained to issue in excess of the Exchange Cap, at which time or times the Company shall issue such Commitment Shares in such tranches as directed by the Investor to the same extent as if there had been no such limitations. The foregoing Exchange Cap limitation shall not apply if (A) at any time the Exchange Cap is reached and at all times thereafter the average price paid for all Common Stock issued under this Agreement and the Securities Purchase Agreement is equal to or greater than the Minimum Price or (B) the Company is exempt from obtaining shareholder approval for the issuance of shares of Common Stock above the Exchange Cap under the rules of the Principal Market. </w:t>
      </w:r>
      <w:r>
        <w:rPr>
          <w:rFonts w:ascii="Times New Roman;Times;Serif" w:hAnsi="Times New Roman;Times;Serif"/>
          <w:b w:val="false"/>
          <w:i w:val="false"/>
          <w:caps w:val="false"/>
          <w:smallCaps w:val="false"/>
          <w:sz w:val="20"/>
          <w:shd w:fill="FFFFFF" w:val="clear"/>
        </w:rPr>
        <w:t>For the avoidance of doubt, all of the Commitment Shares shall be fully earned as of the Effective Date, and the issuance of the Commitment Shares is not contingent upon any other event or condition, including, without limitation, the Company’s submission of a Purchase Notice to the Investor or the filing or effectiveness of any Registration Statement, and irrespective of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 consideration for the Investor’s execution and delivery of, and agreement to perform under this Agreement, the Company shall issue and deliver to Investor, upon execution of this Agreement, a common stock purchase warrant (the “</w:t>
      </w:r>
      <w:r>
        <w:rPr>
          <w:rFonts w:ascii="Times New Roman;Times;Serif" w:hAnsi="Times New Roman;Times;Serif"/>
          <w:b/>
          <w:i w:val="false"/>
          <w:caps w:val="false"/>
          <w:smallCaps w:val="false"/>
          <w:sz w:val="20"/>
          <w:u w:val="single"/>
        </w:rPr>
        <w:t>Commitment Warrant</w:t>
      </w:r>
      <w:r>
        <w:rPr>
          <w:rFonts w:ascii="Times New Roman;Times;Serif" w:hAnsi="Times New Roman;Times;Serif"/>
          <w:b w:val="false"/>
          <w:i w:val="false"/>
          <w:caps w:val="false"/>
          <w:smallCaps w:val="false"/>
          <w:sz w:val="20"/>
        </w:rPr>
        <w:t xml:space="preserve">”) to purchase up to $2,000,000 of Common Stock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For the avoidance of doubt, the Commitment Warrant shall be fully earned as of the Effective Date, and the issuance of the Commitment Warrant is not contingent upon any other event or condition, including, without limitation, the Company’s submission of a Purchase Notice to the Investor or the filing or effectiveness of any Registration Statement, and irrespective of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val="false"/>
          <w:dstrike w:val="false"/>
          <w:sz w:val="20"/>
          <w:u w:val="none"/>
          <w:effect w:val="none"/>
        </w:rPr>
        <w:t>Section 6.5</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SHAREHOLDER APPROVAL</w:t>
      </w:r>
      <w:r>
        <w:rPr>
          <w:rFonts w:ascii="Times New Roman;Times;Serif" w:hAnsi="Times New Roman;Times;Serif"/>
          <w:b w:val="false"/>
          <w:i w:val="false"/>
          <w:caps w:val="false"/>
          <w:smallCaps w:val="false"/>
          <w:sz w:val="20"/>
        </w:rPr>
        <w:t>. The Company shall use commercially reasonable efforts to duly call, give notice of, convene, and hold a shareholder meeting (the “</w:t>
      </w:r>
      <w:r>
        <w:rPr>
          <w:rFonts w:ascii="Times New Roman;Times;Serif" w:hAnsi="Times New Roman;Times;Serif"/>
          <w:b/>
          <w:i w:val="false"/>
          <w:caps w:val="false"/>
          <w:smallCaps w:val="false"/>
          <w:sz w:val="20"/>
          <w:u w:val="single"/>
        </w:rPr>
        <w:t>Shareholder Meeting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soon as reasonably practicable, but in no event later than May 15, 2026, for the approval by the Company’s shareholders of the issuance of the Securities pursuant to this Agreement in excess of the Exchange Cap (the “</w:t>
      </w:r>
      <w:r>
        <w:rPr>
          <w:rFonts w:ascii="Times New Roman;Times;Serif" w:hAnsi="Times New Roman;Times;Serif"/>
          <w:b/>
          <w:i w:val="false"/>
          <w:caps w:val="false"/>
          <w:smallCaps w:val="false"/>
          <w:sz w:val="20"/>
          <w:u w:val="single"/>
        </w:rPr>
        <w:t>Shareholder Approval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holding of which meeting may be adjourned one or more times for purposes of soliciting additional votes for the Shareholder Approval for not more than thirty (30) calendar days. In connection with such Shareholder Meeting, the Company shall provide each shareholder with a proxy statement and shall use its best efforts to solicit the Shareholder Approval. Notwithstanding the foregoing, if at any such time, the Company is able to obtain the written consent of a majority of the shares of its issued and outstanding shares of Common Stock to approve the issuance of the Securities pursuant to this Agreement in excess of the Exchange Cap, the Company may satisfy this obligation by obtaining such consent and submitting for filing with the SEC an Information Statement on Schedule 14C.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6.6 </w:t>
      </w:r>
      <w:r>
        <w:rPr>
          <w:rFonts w:ascii="Times New Roman;Times;Serif" w:hAnsi="Times New Roman;Times;Serif"/>
          <w:b/>
          <w:i w:val="false"/>
          <w:caps w:val="false"/>
          <w:smallCaps w:val="false"/>
          <w:sz w:val="20"/>
          <w:u w:val="single"/>
        </w:rPr>
        <w:t>NON-PUBLIC INFORMATION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Except with respect to the material terms and conditions of the transactions contemplated by the Transaction Documents, which shall be disclosed pursuant to Section 6.2 and otherwise provided herein, the Company covenants and agrees that neither it, nor any other Person acting on its behalf will provide the Investor or its agents or counsel with any information that constitutes, or the Company reasonably believes constitutes, material non-public information, unless prior thereto the Investor shall have consented in writing to the receipt of such information and agreed with the Company to keep such information confidential. The Company understands and confirms that the Investor shall be relying on the foregoing covenant in effecting transactions in securities of the Company. To the extent that the Company delivers any material, non-public information to the Investor without such prior written consent, the Company hereby covenants and agrees that the Investor shall not have any duty of confidentiality to the Company, any of its Subsidiaries, or any of their respective officers, directors, agents, employees, or affiliates, not to trade on the basis of, such material, non-public information, provided that the Investor shall remain subject to applicable law. The Company represents that as of the Effective Date, except with respect to the material terms and conditions of the transaction contemplated by the Transaction Documents, neither it nor any other Person acting on its behalf has previously provided the Investor or its agents or counsel with any information that constitutes, or the Company reasonably believes constitutes, material non-public information. After the Effective Date, to the extent that any notice or communication made by the Company, or information provided by the Company, to the Investor constitutes, or contains, material, non-public information regarding the Company or any Subsidiaries, the Company shall simultaneously file such notice or other material information with the SEC pursuant to a Current Report on Form 8-K. The Company understands and confirms that the Investor shall be relying on the foregoing covenant in effecting transactions in securities of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6.7 </w:t>
      </w:r>
      <w:r>
        <w:rPr>
          <w:rFonts w:ascii="Times New Roman;Times;Serif" w:hAnsi="Times New Roman;Times;Serif"/>
          <w:b/>
          <w:i w:val="false"/>
          <w:caps w:val="false"/>
          <w:smallCaps w:val="false"/>
          <w:sz w:val="20"/>
          <w:u w:val="single"/>
        </w:rPr>
        <w:t>VARIABLE RATE SECURITIES</w:t>
      </w:r>
      <w:r>
        <w:rPr>
          <w:rFonts w:ascii="Times New Roman;Times;Serif" w:hAnsi="Times New Roman;Times;Serif"/>
          <w:b w:val="false"/>
          <w:i w:val="false"/>
          <w:caps w:val="false"/>
          <w:smallCaps w:val="false"/>
          <w:sz w:val="20"/>
        </w:rPr>
        <w:t>. From the Effective Date until the end of the Commitment Period, without the Investor’s prior written consent, the Company shall be prohibited from effecting or entering into an agreement to effect any Subsequent Placement involving a Variable Rate Transaction. “Variable Rate Transaction” means a transaction in which the Company or any Subsidiary (i) issues or sells any Convertible Securities either (A) at a conversion, exercise or exchange rate or other price that is based upon and/or varies with the trading prices of or quotations for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shares of Common Stock, other than pursuant to a customary “weighted average” anti-dilution provision, or (ii) enters into any agreement (including, without limitation, an equity line of credit) whereby the Company or any Subsidiary may sell securities at a future determined price (other than standard and customary “preemptive” or “participation” rights or an “at-the-market” offering). The Investor shall be entitled to obtain injunctive relief against the Company and its Subsidiaries to preclude any such issuance, which remedy shall be in addition to any right to collect damages. Notwithstanding the foregoing, the Company shall be permitted to effect a secondary offering of shares of Common Stock or other equity securities of the Company, provided the aggregate amount such offering does not exceed $10,000,000, (b) a private placement of convertible preferred stock or other securities convertible or exercisable, as applicable, into Common Stock at a fixed conversion or exercise price, as applicable, provided that the aggregate amount of such offering does not exceed $10,000,000, and/or (c) a bona fide purchase order that qualifies for factoring by a traditional commercial factor at a factoring rate of less than 3% per month has a face value of no less than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6.8 </w:t>
      </w:r>
      <w:r>
        <w:rPr>
          <w:rFonts w:ascii="Times New Roman;Times;Serif" w:hAnsi="Times New Roman;Times;Serif"/>
          <w:b/>
          <w:i w:val="false"/>
          <w:caps w:val="false"/>
          <w:smallCaps w:val="false"/>
          <w:sz w:val="20"/>
          <w:u w:val="single"/>
        </w:rPr>
        <w:t>COMPENSATION FOR BUY-IN ON FAILURE TO TIMELY DELIVER PURCHASE NOTICE SHARES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to any other rights available to the Investor, if the Company fails to cause the Transfer Agent to transmit to the Investor the Purchase Notice Shares in accordance with the provisions of Section 2 above pursuant to a Purchase Notice on or before a VWAP Purchase Closing Date or a Rapid Closing Date, as applicable, and if after such date the Investor is required by its broker to purchase (in an open market transaction or otherwise) or the Investor’s brokerage firm otherwise purchases, Common Stock to deliver in satisfaction of a sale by the Investor of the Purchase Notice Shares which the Investor anticipated receiving upon such Purchase in accordance with the provisions of Section 2 above (a “</w:t>
      </w:r>
      <w:r>
        <w:rPr>
          <w:rFonts w:ascii="Times New Roman;Times;Serif" w:hAnsi="Times New Roman;Times;Serif"/>
          <w:b/>
          <w:i w:val="false"/>
          <w:caps w:val="false"/>
          <w:smallCaps w:val="false"/>
          <w:sz w:val="20"/>
          <w:u w:val="single"/>
        </w:rPr>
        <w:t>Buy-In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then the Company shall (A) pay in cash to the Investor the amount, if any, by which (x) the Investor’s total purchase price (including reasonable and documented brokerage commissions, if any) for the Common Stock so purchased in the Buy-In exceeds (y) the amount obtained by multiplying (1) the number of Purchase Notice Shares that the Company was required to deliver to the Investor in connection such Purchase times (2) the price at which the sell order giving rise to such purchase obligation was executed, and (B) at the option of the Investor, either treat the Purchase as rescinded under this Agreement (which would result in no reduction in the Commitment Amount as a result of such attempted Purchase) or deliver to the Investor the number of Purchase Notice Shares that would have been issued had the Company timely complied with its delivery obligations hereunder. For example, if the Investor purchases Common Stock having a total purchase price of $11,000 to cover a Buy-In with respect to an attempted Purchase with an aggregate sale price giving rise to such purchase obligation of $10,000, under clause (A) of the immediately preceding sentence the Company shall be required to pay the Investor $1,000. The Investor shall provide the Company written notice indicating the amounts payable to the Investor in respect of the Buy-In and, upon request of the Company, evidence of the amount of such loss. Nothing herein shall limit the Investor’s right to pursue any other remedies available to it hereunder, at law or in equity including, without limitation, a decree of specific performance and/or injunctive relief with respect to the Company’s failure to timely deliver Purchase Notice as required pursuant to the terms hereof. Notwithstanding the foregoing that the Company shall not be obligated to make any payment or provide any remedy under this Section 6.8 to the extent that the Transfer Agent’s failure to timely transmit the Purchase Notice Shares is directly attributable to a delay or failure by the Transfer Agent or is otherwise outside the reasonable control of the Company, including any delay arising from a systems failure, force majeure event, or other circumstance affecting the Transfer Agent over which the Company has no authority or influence, so long as the Company has used commercially reasonable efforts to cause the Transfer Agent to timely deliver such Purchase Notice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6.9 </w:t>
      </w:r>
      <w:r>
        <w:rPr>
          <w:rFonts w:ascii="Times New Roman;Times;Serif" w:hAnsi="Times New Roman;Times;Serif"/>
          <w:b/>
          <w:i w:val="false"/>
          <w:caps w:val="false"/>
          <w:smallCaps w:val="false"/>
          <w:sz w:val="20"/>
          <w:u w:val="single"/>
        </w:rPr>
        <w:t>REGISTRATION FAILURE PAYMENTS</w:t>
      </w:r>
      <w:r>
        <w:rPr>
          <w:rFonts w:ascii="Times New Roman;Times;Serif" w:hAnsi="Times New Roman;Times;Serif"/>
          <w:b w:val="false"/>
          <w:i w:val="false"/>
          <w:caps w:val="false"/>
          <w:smallCaps w:val="false"/>
          <w:sz w:val="20"/>
        </w:rPr>
        <w:t>. If the Registration Statement is not filed within thirty (30) days of the Effective Date (the “</w:t>
      </w:r>
      <w:r>
        <w:rPr>
          <w:rFonts w:ascii="Times New Roman;Times;Serif" w:hAnsi="Times New Roman;Times;Serif"/>
          <w:b/>
          <w:i w:val="false"/>
          <w:caps w:val="false"/>
          <w:smallCaps w:val="false"/>
          <w:sz w:val="20"/>
          <w:u w:val="single"/>
        </w:rPr>
        <w:t>Required Registration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pay to Investor as partial liquidated damages and not as a penalty a sum equal to $250,000.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6.10 </w:t>
      </w:r>
      <w:r>
        <w:rPr>
          <w:rFonts w:ascii="Times New Roman;Times;Serif" w:hAnsi="Times New Roman;Times;Serif"/>
          <w:b/>
          <w:i w:val="false"/>
          <w:caps w:val="false"/>
          <w:smallCaps w:val="false"/>
          <w:sz w:val="20"/>
          <w:u w:val="single"/>
        </w:rPr>
        <w:t>SHAREHOLDER APPROVAL FAILURE PAYMENTS</w:t>
      </w:r>
      <w:r>
        <w:rPr>
          <w:rFonts w:ascii="Times New Roman;Times;Serif" w:hAnsi="Times New Roman;Times;Serif"/>
          <w:b w:val="false"/>
          <w:i w:val="false"/>
          <w:caps w:val="false"/>
          <w:smallCaps w:val="false"/>
          <w:sz w:val="20"/>
        </w:rPr>
        <w:t>. If the Shareholder Meeting is not held on or before May 15, 2026 (the “</w:t>
      </w:r>
      <w:r>
        <w:rPr>
          <w:rFonts w:ascii="Times New Roman;Times;Serif" w:hAnsi="Times New Roman;Times;Serif"/>
          <w:b/>
          <w:i w:val="false"/>
          <w:caps w:val="false"/>
          <w:smallCaps w:val="false"/>
          <w:sz w:val="20"/>
          <w:u w:val="single"/>
        </w:rPr>
        <w:t>Required Shareholder Meeting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pay to Investor as partial liquidated damages and not as a penalty a sum equal to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val="false"/>
          <w:dstrike w:val="false"/>
          <w:sz w:val="20"/>
          <w:u w:val="none"/>
          <w:effect w:val="none"/>
        </w:rPr>
        <w:t>Section 6.11</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SHAREHOLDER APPROVAL FAILURE</w:t>
      </w:r>
      <w:r>
        <w:rPr>
          <w:rFonts w:ascii="Times New Roman;Times;Serif" w:hAnsi="Times New Roman;Times;Serif"/>
          <w:b w:val="false"/>
          <w:i w:val="false"/>
          <w:caps w:val="false"/>
          <w:smallCaps w:val="false"/>
          <w:sz w:val="20"/>
        </w:rPr>
        <w:t xml:space="preserve">. If the Shareholder Approval is not obtained by the first Required Shareholder Meeting Date, the Company shall, during the period beginning on such date and continuing seven hundred twenty (720) days thereafter, cause an additional Shareholder Meeting to be held every one hundred eighty (180) days until the Shareholder Approval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CONDITIONS TO DELIVERY OF</w:t>
        <w:br/>
        <w:t>PURCHASE NOTICE AND CONDITIONS TO CLOSING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CONDITIONS PRECEDENT TO THE RIGHT OF THE COMPANY TO ISSUE AND SELL PURCHASE NOTICE SHARES</w:t>
      </w:r>
      <w:r>
        <w:rPr>
          <w:rFonts w:ascii="Times New Roman;Times;Serif" w:hAnsi="Times New Roman;Times;Serif"/>
          <w:b w:val="false"/>
          <w:i w:val="false"/>
          <w:caps w:val="false"/>
          <w:smallCaps w:val="false"/>
          <w:sz w:val="20"/>
        </w:rPr>
        <w:t>. The right of the Company to issue and sell the Purchase Notice Shares to the Investor is subject to the satisfaction of each of the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ACCURACY OF INVESTOR’S REPRESENTATIONS AND WARRANTIES</w:t>
      </w:r>
      <w:r>
        <w:rPr>
          <w:rFonts w:ascii="Times New Roman;Times;Serif" w:hAnsi="Times New Roman;Times;Serif"/>
          <w:b w:val="false"/>
          <w:i w:val="false"/>
          <w:caps w:val="false"/>
          <w:smallCaps w:val="false"/>
          <w:sz w:val="20"/>
        </w:rPr>
        <w:t>. The representations and warranties of the Investor shall be true and correct in all material respects as of the date of this Agreement and as of the date of each Closing as though made at each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PERFORMANCE BY INVESTOR</w:t>
      </w:r>
      <w:r>
        <w:rPr>
          <w:rFonts w:ascii="Times New Roman;Times;Serif" w:hAnsi="Times New Roman;Times;Serif"/>
          <w:b w:val="false"/>
          <w:i w:val="false"/>
          <w:caps w:val="false"/>
          <w:smallCaps w:val="false"/>
          <w:sz w:val="20"/>
        </w:rPr>
        <w:t>. Investor shall have performed, satisfied, and complied in all respects with all covenants, agreements and conditions required by this Agreement to be performed, satisfied or complied with by the Investor at or prior to such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PRINCIPAL MARKET REGULATION</w:t>
      </w:r>
      <w:r>
        <w:rPr>
          <w:rFonts w:ascii="Times New Roman;Times;Serif" w:hAnsi="Times New Roman;Times;Serif"/>
          <w:b w:val="false"/>
          <w:i w:val="false"/>
          <w:caps w:val="false"/>
          <w:smallCaps w:val="false"/>
          <w:sz w:val="20"/>
        </w:rPr>
        <w:t>. Notwithstanding anything in this Agreement to the contrary, and in addition to the limitations set forth herein, the Company shall not issue more than 19.99% of the Company’s outstanding Common Stock as of the Effective Date (the “</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under this Agreement and the Securities Purchase Agreement unless shareholder approval is obtained to issue in excess of the Exchange Cap;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limitation shall not apply if (A) at any time the Exchange Cap is reached and at all times thereafter the average price paid for all Common Stock issued under this Agreement and the Securities Purchase Agreement is equal to or greater than $[●] (the “</w:t>
      </w:r>
      <w:r>
        <w:rPr>
          <w:rFonts w:ascii="Times New Roman;Times;Serif" w:hAnsi="Times New Roman;Times;Serif"/>
          <w:b/>
          <w:i w:val="false"/>
          <w:caps w:val="false"/>
          <w:smallCaps w:val="false"/>
          <w:sz w:val="20"/>
          <w:u w:val="single"/>
        </w:rPr>
        <w:t>Minimum Price</w:t>
      </w:r>
      <w:r>
        <w:rPr>
          <w:rFonts w:ascii="Times New Roman;Times;Serif" w:hAnsi="Times New Roman;Times;Serif"/>
          <w:b w:val="false"/>
          <w:i w:val="false"/>
          <w:caps w:val="false"/>
          <w:smallCaps w:val="false"/>
          <w:sz w:val="20"/>
        </w:rPr>
        <w:t>”), a price equal to the lower of (i) the Nasdaq Official Closing Price of the Common Stock immediately preceding the execution of this Agreement or (ii) the arithmetic average of the five (5) Nasdaq Official Closing Prices for the Common Stock immediately preceding the execution of this Agreement, as calculated in accordance with the rules of the Principal Market (such that, in such circumstance, for purposes of the Principal Market, the transaction contemplated hereby would not be “below market” and the Exchange Cap would not apply) or (B) the Company is exempt from obtaining shareholder approval for the issuance of shares of Common Stock above the Exchange Cap under the rules of the Principal Market. Notwithstanding the foregoing, the Company shall not be required or permitted to issue, and the Investor shall not be required to purchase, any Securities under this Agreement if such issuance would violate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CONDITIONS PRECEDENT TO THE OBLIGATION OF INVESTOR TO PURCHASE THE PURCHASE NOTICE SHARES</w:t>
      </w:r>
      <w:r>
        <w:rPr>
          <w:rFonts w:ascii="Times New Roman;Times;Serif" w:hAnsi="Times New Roman;Times;Serif"/>
          <w:b w:val="false"/>
          <w:i w:val="false"/>
          <w:caps w:val="false"/>
          <w:smallCaps w:val="false"/>
          <w:sz w:val="20"/>
        </w:rPr>
        <w:t>. The obligation of the Investor hereunder to purchase the Purchase Notice Shares is subject to the satisfaction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The Registration Statement, and any amendment or supplement thereto, shall have been declared effective and shall remain effective for the resale of the Securities, the Company shall not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no other suspension of the use of, or withdrawal of the effectiveness of, such Registration Statement or related prospectus shall exist. The Investor shall not have received any notice from the Company that the prospectus and/or any prospectus supplement or amendment thereto fails to meet the requirements of Section 5(b) or Section 10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shall be true and correct in all material respects as of the date of this Agreement and as of the date of each Closing (except for representations and warranties specifically made as of a particular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this Agreement to be performed, satisfied, or complied with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filing of the Company’s most recent quarterly report on Form 10-Q , no event that had or is reasonably likely to have a Material Adverse Effect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NO SUSPENSION OF TRADING IN OR DELISTING OF COMMON STOCK</w:t>
      </w:r>
      <w:r>
        <w:rPr>
          <w:rFonts w:ascii="Times New Roman;Times;Serif" w:hAnsi="Times New Roman;Times;Serif"/>
          <w:b w:val="false"/>
          <w:i w:val="false"/>
          <w:caps w:val="false"/>
          <w:smallCaps w:val="false"/>
          <w:sz w:val="20"/>
        </w:rPr>
        <w:t xml:space="preserve">. The trading of the Common Stock shall not have been suspended by the SEC or the Principal Market, or otherwise halted for any reason, and the Common Stock shall have been approved for listing or quotation on and shall not have been delisted from or no longer quoted on the Principal Market. In the event of a suspension, delisting, or halting for any reason, of the trading of the Common Stock during an active Purchase Notice, as contemplated by this </w:t>
      </w:r>
      <w:r>
        <w:rPr>
          <w:rFonts w:ascii="Times New Roman;Times;Serif" w:hAnsi="Times New Roman;Times;Serif"/>
          <w:b w:val="false"/>
          <w:i w:val="false"/>
          <w:caps w:val="false"/>
          <w:smallCaps w:val="false"/>
          <w:sz w:val="20"/>
          <w:u w:val="single"/>
        </w:rPr>
        <w:t>Section 7.2(f)</w:t>
      </w:r>
      <w:r>
        <w:rPr>
          <w:rFonts w:ascii="Times New Roman;Times;Serif" w:hAnsi="Times New Roman;Times;Serif"/>
          <w:b w:val="false"/>
          <w:i w:val="false"/>
          <w:caps w:val="false"/>
          <w:smallCaps w:val="false"/>
          <w:sz w:val="20"/>
        </w:rPr>
        <w:t>, the Investor shall purchase the Purchase Notice Shares in the respective Purchase Notice at a value equal to $0.0001 per share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The number of Purchase Notice Shares then to be purchased by the Investor shall not exceed the number of such shares that, when aggregated with all other shares of Common Stock then owned by the Investor beneficially or deemed beneficially owned by the Investor, would result in the Investor owning more than the Beneficial Ownership Limitation (as defined below), as determined in accordance with Section 13 of the Exchange Act. For purposes of this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in the event that the amount of Common Stock outstanding is greater or lesser on a date of a Closing (a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than on the date upon which the Purchase Notice associated with such Closing Date is given, the amount of Common Stock outstanding on such issuance of a Purchase Notice shall govern for purposes of determining whether the Investor, when aggregating all purchases of Common Stock made pursuant to this Agreement, would own more than the Beneficial Ownership Limitation following a purchase on any such Closing Date. In the event the Investor claims that compliance with a Purchase Notice would result in the Investor owning more than the Beneficial Ownership Limitation, upon request of the Company the Investor will provide the Company with evidence of the Investor’s then existing shares beneficially or deemed beneficially owned. The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prior to the issuance of shares of Common Stock issuable pursuant to a Purchase Notice, provided that, the Beneficial Ownership Limitation may be increased up to 9.99% upon mutual written agreement of the Investor and the Company, effective not less than sixty-one (61) days after such mutual written agreement. To the extent that the Beneficial Ownership Limitation is exceeded, the number of shares of Common Stock issuable to the Investor shall be reduced so it does not exceed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STOCK PROMOTION</w:t>
      </w:r>
      <w:r>
        <w:rPr>
          <w:rFonts w:ascii="Times New Roman;Times;Serif" w:hAnsi="Times New Roman;Times;Serif"/>
          <w:b w:val="false"/>
          <w:i w:val="false"/>
          <w:caps w:val="false"/>
          <w:smallCaps w:val="false"/>
          <w:sz w:val="20"/>
        </w:rPr>
        <w:t>. The Company shall be free from any “stock promotion” flag.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NO KNOWLEDGE</w:t>
      </w:r>
      <w:r>
        <w:rPr>
          <w:rFonts w:ascii="Times New Roman;Times;Serif" w:hAnsi="Times New Roman;Times;Serif"/>
          <w:b w:val="false"/>
          <w:i w:val="false"/>
          <w:caps w:val="false"/>
          <w:smallCaps w:val="false"/>
          <w:sz w:val="20"/>
        </w:rPr>
        <w:t>. The Company shall have no knowledge of any event more likely than not to have the effect of causing the effectiveness of the Registration Statement to be suspended or any prospectus or prospectus supplement failing to meet the requirement of Sections 5(b) or 10 of the Securities Act (which event is more likely than not to occur within the fifteen (15) Business Days following the Business Day on which such Purchase Notice is deemed delivered).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NO VIOLATION OF SHAREHOLDER APPROVAL REQUIREMENT</w:t>
      </w:r>
      <w:r>
        <w:rPr>
          <w:rFonts w:ascii="Times New Roman;Times;Serif" w:hAnsi="Times New Roman;Times;Serif"/>
          <w:b w:val="false"/>
          <w:i w:val="false"/>
          <w:caps w:val="false"/>
          <w:smallCaps w:val="false"/>
          <w:sz w:val="20"/>
        </w:rPr>
        <w:t>. The issuance of the Purchase Notice Shares shall not violate the shareholder approval requirements of the Principal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DWAC ELIGIBLE</w:t>
      </w:r>
      <w:r>
        <w:rPr>
          <w:rFonts w:ascii="Times New Roman;Times;Serif" w:hAnsi="Times New Roman;Times;Serif"/>
          <w:b w:val="false"/>
          <w:i w:val="false"/>
          <w:caps w:val="false"/>
          <w:smallCaps w:val="false"/>
          <w:sz w:val="20"/>
        </w:rPr>
        <w:t>. The Common Stock must be DWAC Eligible and not subject to a “DTC chill”.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SEC DOCUMENTS</w:t>
      </w:r>
      <w:r>
        <w:rPr>
          <w:rFonts w:ascii="Times New Roman;Times;Serif" w:hAnsi="Times New Roman;Times;Serif"/>
          <w:b w:val="false"/>
          <w:i w:val="false"/>
          <w:caps w:val="false"/>
          <w:smallCaps w:val="false"/>
          <w:sz w:val="20"/>
        </w:rPr>
        <w:t>. All reports, schedules, registrations, forms, statements, information and other documents required to have been filed by the Company with the SEC pursuant to the reporting requirements of the Exchange Act after the Effective Date (the “Future SEC Documents”) shall have been filed with the SEC within the applicable time periods prescribed for such filings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The Exchange Cap has not been reached, unless Shareholder Approval is obtained to issue in excess of the Exchange Cap;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limitation shall not apply if (A) at any time the Exchange Cap is reached and at all times thereafter the average price paid for all Common Stock issued under this Agreement and the Securities Purchase Agreement is equal to or greater than the Minimum Price or (B) the Company is exempt from obtaining shareholder approval for the issuance of shares of Common Stock above the Exchange Cap under the rules of the Principal Market. Notwithstanding the foregoing, the Company shall not be required or permitted to issue, and the Investor shall not be required to purchase, any Securities under this Agreement if such issuance would violate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u w:val="single"/>
        </w:rPr>
        <w:t>IRREVOCABLE TRANSFER AGENT INSTRUCTIONS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Irrevocable Transfer Agent Instructions shall have been delivered by the Company to, and acknowledged in writing (email being sufficient) by, the Transfer Agent (or any successor transfer agent)</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LEGENDS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 </w:t>
      </w:r>
      <w:r>
        <w:rPr>
          <w:rFonts w:ascii="Times New Roman;Times;Serif" w:hAnsi="Times New Roman;Times;Serif"/>
          <w:b/>
          <w:i w:val="false"/>
          <w:caps w:val="false"/>
          <w:smallCaps w:val="false"/>
          <w:sz w:val="20"/>
          <w:u w:val="single"/>
        </w:rPr>
        <w:t>NO RESTRICTIVE STOCK LEGEND</w:t>
      </w:r>
      <w:r>
        <w:rPr>
          <w:rFonts w:ascii="Times New Roman;Times;Serif" w:hAnsi="Times New Roman;Times;Serif"/>
          <w:b w:val="false"/>
          <w:i w:val="false"/>
          <w:caps w:val="false"/>
          <w:smallCaps w:val="false"/>
          <w:sz w:val="20"/>
        </w:rPr>
        <w:t>. No restrictive stock legend shall be placed on the share certificates representing the Purchase Notice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val="false"/>
          <w:dstrike w:val="false"/>
          <w:sz w:val="20"/>
          <w:u w:val="none"/>
          <w:effect w:val="non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INVESTOR’S COMPLIANCE</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affect in any way the Investor’s obligations hereunder to comply with all applicable securities laws upon the sale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INDEMNIFICATION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Each party (an “</w:t>
      </w:r>
      <w:r>
        <w:rPr>
          <w:rFonts w:ascii="Times New Roman;Times;Serif" w:hAnsi="Times New Roman;Times;Serif"/>
          <w:b/>
          <w:i w:val="false"/>
          <w:caps w:val="false"/>
          <w:smallCaps w:val="false"/>
          <w:sz w:val="20"/>
          <w:u w:val="single"/>
        </w:rPr>
        <w:t>Indemnifying Party</w:t>
      </w:r>
      <w:r>
        <w:rPr>
          <w:rFonts w:ascii="Times New Roman;Times;Serif" w:hAnsi="Times New Roman;Times;Serif"/>
          <w:b w:val="false"/>
          <w:i w:val="false"/>
          <w:caps w:val="false"/>
          <w:smallCaps w:val="false"/>
          <w:sz w:val="20"/>
        </w:rPr>
        <w:t>”) agrees to indemnify and hold harmless the other party along with its officers, directors, employees, and authorized agents, and each Person or entity, if any, who controls such party within the meaning of Section 15 of the Securities Act or Section 20 of the Exchange Act (an “</w:t>
      </w:r>
      <w:r>
        <w:rPr>
          <w:rFonts w:ascii="Times New Roman;Times;Serif" w:hAnsi="Times New Roman;Times;Serif"/>
          <w:b/>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from and against any Damages, and any action in respect thereof to which the Indemnified Party becomes subject to, resulting from, arising out of this Agreement or relating to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prospectus or prospectus supplement,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or alleged violation by the Company of the Securities Act, the Exchange Act, any state securities law or any rule or regulation under the Securities Act, the Exchange Act or any state securities law, as such Damages are incurred, except to the extent such Damages result primarily from the Indemnified Party’s failure to perform any covenant or agreement contained in this Agreement or the Indemnified Party’s, recklessness or willful misconduct in performing its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indemnity agreement shall not apply to any Damages of an Indemnified Party to the extent, but only to the extent, arising out of or based upon any untrue statement or alleged untrue statement or omission or alleged omission made by an Indemnifying Party in reliance upon and in conformity with written information furnished to the Indemnifying Party by the Indemnified Party expressly for use in the Registration Statement, any post-effective amendment thereof, prospectus, prospectus supplement thereto, or any preliminary prospectus or final prospectus (as amended or supplemented). Notwithstanding anything to the contrary contained herein, the aggregate liability of any Indemnifying Party under this Article IX shall not exceed the total Commitment Amount under this Agreement; provided, further, that the foregoing limitation shall not apply to Damages arising from the Indemnifying Party's fraud, gross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val="false"/>
          <w:caps w:val="false"/>
          <w:smallCaps w:val="false"/>
          <w:sz w:val="20"/>
          <w:u w:val="single"/>
        </w:rPr>
        <w:t>INDEMNIFICATION 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party that seeks indemnification under this Article IX must promptly give the other party notice of any legal action; however, a delay in notice does not relieve an Indemnifying Party of any liability to any Indemnified Party, except to the extent the Indemnifying Party shows that the delay prejudiced the defense of the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Indemnifying Party may participate in the defense at any time or it may assume the defense by giving notice to the Indemnified Parties. After assuming the defense, the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must select counsel (including local counsel if appropriate) that is reasonably satisfactory to the Indemnified Parties;</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not liable to the other party for any later attorney’s fees or for any other later expenses that the Indemnified Parties incur, except for reasonable investigation costs;</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must not compromise or settle the action without the Indemnified Parties consent (which may not be unreasonably withheld); and</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 not liable for any compromise or settlement made without its consent.</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Indemnifying Party fails to assume the defense within 10 days after receiving notice of the action, the Indemnifying Party shall be bound by any determination made in the action or by any compromise or settlement made by the Indemnified Parties, and also remains liable to pay the Indemnified Parties’ legal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val="false"/>
          <w:caps w:val="false"/>
          <w:smallCaps w:val="false"/>
          <w:sz w:val="20"/>
          <w:u w:val="single"/>
        </w:rPr>
        <w:t>METHOD OF ASSERTING INDEMNIFICATION CLAIMS</w:t>
      </w:r>
      <w:r>
        <w:rPr>
          <w:rFonts w:ascii="Times New Roman;Times;Serif" w:hAnsi="Times New Roman;Times;Serif"/>
          <w:b w:val="false"/>
          <w:i w:val="false"/>
          <w:caps w:val="false"/>
          <w:smallCaps w:val="false"/>
          <w:sz w:val="20"/>
        </w:rPr>
        <w:t xml:space="preserve">. All claims for indemnification by any Indemnified Party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asserted and resolved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claim or demand in respect of which an Indemnified Party might seek indemnity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is asserted against or sought to be collected from such Indemnified Party by a Person other than a party hereto or an affiliate thereof (a “</w:t>
      </w:r>
      <w:r>
        <w:rPr>
          <w:rFonts w:ascii="Times New Roman;Times;Serif" w:hAnsi="Times New Roman;Times;Serif"/>
          <w:b/>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the Indemnified Party shall deliver a written notification, enclosing a copy of all papers served, if any, and specifying the nature of and basis for such Third Party Claim and for the Indemnified Party’s claim for indemnification that is being asserted under any provision of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against an Indemnifying Party, together with the amount or, if not then reasonably ascertainable, the estimated amount, determined in good faith, of such Third Party Claim (a “</w:t>
      </w:r>
      <w:r>
        <w:rPr>
          <w:rFonts w:ascii="Times New Roman;Times;Serif" w:hAnsi="Times New Roman;Times;Serif"/>
          <w:b/>
          <w:i w:val="false"/>
          <w:caps w:val="false"/>
          <w:smallCaps w:val="false"/>
          <w:sz w:val="20"/>
          <w:u w:val="single"/>
        </w:rPr>
        <w:t>Claim Notice</w:t>
      </w:r>
      <w:r>
        <w:rPr>
          <w:rFonts w:ascii="Times New Roman;Times;Serif" w:hAnsi="Times New Roman;Times;Serif"/>
          <w:b w:val="false"/>
          <w:i w:val="false"/>
          <w:caps w:val="false"/>
          <w:smallCaps w:val="false"/>
          <w:sz w:val="20"/>
        </w:rPr>
        <w:t>”) with reasonable promptness to the Indemnifying Party. If the Indemnified Party fails to provide the Claim Notice with reasonable promptness after the Indemnified Party receives notice of such Third Party Claim, the Indemnifying Party shall not be obligated to indemnify the Indemnified Party with respect to such Third Party Claim to the extent that the Indemnifying Party’s ability to defend has been prejudiced by such failure of the Indemnified Party. The Indemnifying Party shall notify the Indemnified Party as soon as practicable within the period ending thirty (30) calendar days following receipt by the Indemnifying Party of either a Claim Notice or an Indemnity Notice (as defined below) (the “</w:t>
      </w:r>
      <w:r>
        <w:rPr>
          <w:rFonts w:ascii="Times New Roman;Times;Serif" w:hAnsi="Times New Roman;Times;Serif"/>
          <w:b/>
          <w:i w:val="false"/>
          <w:caps w:val="false"/>
          <w:smallCaps w:val="false"/>
          <w:sz w:val="20"/>
          <w:u w:val="single"/>
        </w:rPr>
        <w:t>Dispute Period</w:t>
      </w:r>
      <w:r>
        <w:rPr>
          <w:rFonts w:ascii="Times New Roman;Times;Serif" w:hAnsi="Times New Roman;Times;Serif"/>
          <w:b w:val="false"/>
          <w:i w:val="false"/>
          <w:caps w:val="false"/>
          <w:smallCaps w:val="false"/>
          <w:sz w:val="20"/>
        </w:rPr>
        <w:t xml:space="preserve">”) whether the Indemnifying Party disputes its liability or the amount of its liability to the Indemnified Party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whether the Indemnifying Party desires, at its sole cost and expense, to defend the Indemnified Party against such Third Party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Indemnifying Party notifies the Indemnified Party within the Dispute Period that the Indemnifying Party desires to defend the Indemnified Party with respect to the Third Party Claim pursuant to this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xml:space="preserve">, then the Indemnifying Party shall have the right to defend, with counsel reasonably satisfactory to the Indemnified Party, at the sole cost and expense of the Indemnifying Party, such Third Party Claim by all appropriate proceedings, which proceedings shall be vigorously and diligently prosecuted by the Indemnifying Party to a final conclusion or will be settled at the discretion of the Indemnifying Party (but only with the consent of the Indemnified Party in the case of any settlement that provides for any relief other than the payment of monetary damages, that provides for the payment of monetary damages as to which the Indemnified Party shall not be indemnified in full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that does not include as an unconditional term thereof the giving by the claimant or plaintiff to such Indemnified Party of a release from all liability in respect to such claim or litigation). The Indemnifying Party shall have full control of such defense and proceedings, including any compromise or settlement </w:t>
      </w:r>
      <w:r>
        <w:rPr>
          <w:rFonts w:ascii="Times New Roman;Times;Serif" w:hAnsi="Times New Roman;Times;Serif"/>
          <w:b w:val="false"/>
          <w:i w:val="false"/>
          <w:caps w:val="false"/>
          <w:smallCaps w:val="false"/>
          <w:sz w:val="20"/>
          <w:u w:val="single"/>
        </w:rPr>
        <w:t>thereof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Indemnified Party may, at the sole cost and expense of the Indemnified Party, at any time prior to the Indemnifying Party’s delivery of the notice referred to in the first sentence of this clause (i), file any motion, answer or other pleadings or take any other action that the Indemnified Party reasonably believes to be necessary or appropriate to protect its interests;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requested by the Indemnifying Party, the Indemnified Party will, at the sole cost and expense of the Indemnifying Party, provide reasonable cooperation to the Indemnifying Party in contesting any Third Party Claim that the Indemnifying Party elects to contest. Counsel for the Indemnifying Party, who shall conduct the defense of such Third Party Claim or any litigation resulting therefrom, shall be approved by the Indemnified Party (whose approval shall not be unreasonably withheld), and the Indemnified Party may participate in such defense at such party’s expense unless (w) the Indemnifying Party has agreed in writing to pay such fees or expenses, (x) the Indemnifying Party shall have failed to assume the defense of such claim within a reasonable time after receipt of notice of such claim from the Indemnified Party hereunder and employ counsel reasonably satisfactory to the Indemnified Party, (y) the Indemnified Party has reasonably concluded (based upon advice of its counsel) that there may be legal defenses available to it or other indemnified parties that are different from or in addition to those available to the Indemnifying Party, or (z)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Notwithstanding the foregoing, the Indemnified Party may take over the control of the defense or settlement of a Third Party Claim at any time if it irrevocably waives its right to indemnity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with respect to such Third Party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Indemnifying Party fails to notify the Indemnified Party within the Dispute Period that the Indemnifying Party desires to defend the Third Party Claim pursuant to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or if the Indemnifying Party gives such notice but fails to prosecute vigorously and diligently or settle the Third Party Claim, or if the Indemnifying Party fails to give any notice whatsoever within the Dispute Period, then the Indemnified Party shall have the right to defend, at the sole cost and expense of the Indemnifying Party, the Third Party Claim by all appropriate proceedings, which proceedings shall be prosecuted by the Indemnified Party in a reasonable manner and in good faith or will be settled at the discretion of the Indemnified Party (with the consent of the Indemnifying Party, which consent will not be unreasonably withheld). The Indemnified Party will have full control of such defense and proceedings, including any compromise or settlement thereof; provided, however, that if requested by the Indemnified Party, the Indemnifying Party will, at the sole cost and expense of the Indemnifying Party, provide reasonable cooperation to the Indemnified Party and its counsel in contesting any Third Party Claim which the Indemnified Party is contesting. Notwithstanding the foregoing provisions of this clause (ii), if the Indemnifying Party has notified the Indemnified Party within the Dispute Period that the Indemnifying Party disputes its liability or the amount of its liability hereunder to the Indemnified Party with respect to such Third Party Claim and if such dispute is resolved in favor of the Indemnifying Party in the manner provided in clause (iii) below, the Indemnifying Party will not be required to bear the costs and expenses of the Indemnified Party’s defense pursuant to this clause (ii) or of the Indemnifying Party’s participation therein at the Indemnified Party’s request, and the Indemnified Party shall reimburse the Indemnifying Party in full for all reasonable costs and expenses incurred by the Indemnifying Party in connection with such litigation. The Indemnifying Party may participate in, but not control, any defense or settlement controlled by the Indemnified Party pursuant to this clause (ii), and the Indemnifying Party shall bear its own costs and expenses with respect to such participation.</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Indemnifying Party notifies the Indemnified Party that it does not dispute its liability or the amount of its liability to the Indemnified Party with respect to the Third Party Claim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fails to notify the Indemnified Party within the Dispute Period whether the Indemnifying Party disputes its liability or the amount of its liability to the Indemnified Party with respect to such Third Party Claim, the amount of Damages specified in the Claim Notice shall be conclusively deemed a liability of the Indemnifying Party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the Indemnifying Party shall pay the amount of such Damages to the Indemnified Party on demand. If the Indemnifying Party has timely disputed its liability or the amount of its liability with respect to such claim, the Indemnifying Party and the Indemnified Party shall proceed in good faith to negotiate a resolution of such dispute;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dispute is not resolved within thirty (30) days after the Claim Notice, the Indemnifying Party shall be entitled to institute such legal action as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Indemnified Party should have a claim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against the Indemnifying Party that does not involve a Third Party Claim, the Indemnified Party shall deliver a written notification of a claim for indemnity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specifying the nature of and basis for such claim, together with the amount or, if not then reasonably ascertainable, the estimated amount, determined in good faith, of such claim (an “</w:t>
      </w:r>
      <w:r>
        <w:rPr>
          <w:rFonts w:ascii="Times New Roman;Times;Serif" w:hAnsi="Times New Roman;Times;Serif"/>
          <w:b/>
          <w:i w:val="false"/>
          <w:caps w:val="false"/>
          <w:smallCaps w:val="false"/>
          <w:sz w:val="20"/>
          <w:u w:val="single"/>
        </w:rPr>
        <w:t>Indemnity Notice</w:t>
      </w:r>
      <w:r>
        <w:rPr>
          <w:rFonts w:ascii="Times New Roman;Times;Serif" w:hAnsi="Times New Roman;Times;Serif"/>
          <w:b w:val="false"/>
          <w:i w:val="false"/>
          <w:caps w:val="false"/>
          <w:smallCaps w:val="false"/>
          <w:sz w:val="20"/>
        </w:rPr>
        <w:t xml:space="preserve">”) with reasonable promptness to the Indemnifying Party. The failure by any Indemnified Party to give the Indemnity Notice shall not impair such party’s rights hereunder except to the extent that the Indemnifying Party demonstrates that it has been irreparably prejudiced thereby. If the Indemnifying Party notifies the Indemnified Party that it does not dispute the claim or the amount of the claim described in such Indemnity Notice or fails to notify the Indemnified Party within the Dispute Period whether the Indemnifying Party disputes the claim or the amount of the claim described in such Indemnity Notice, the amount of Damages specified in the Indemnity Notice will be conclusively deemed a liability of the Indemnifying Party under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the Indemnifying Party shall pay the amount of such Damages to the Indemnified Party on demand. If the Indemnifying Party has timely disputed its liability or the amount of its liability with respect to such claim, the Indemnifying Party and the Indemnified Party shall proceed in good faith to negotiate a resolution of such dispute; provided, however, that if the dispute is not resolved within thirty (30) days after the Claim Notice, the Indemnifying Party shall be entitled to institute such legal action as it deems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Indemnifying Party agrees to pay the Indemnified Party, promptly as such expenses are incurred and are due and payable, for any reasonable legal fees or other reasonable expenses incurred by them in connection with investigating or defending any such Third Party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provisions contained herein shall be in addition to (i) any cause of action or similar rights of the Indemnified Party against the Indemnifying Party or others, and (ii) any liabilities to which the Indemnifying Party may be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Agreement shall be governed by and interpreted in accordance with the laws of the State of Nevada without regard to the principles of conflicts of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JURY TRIAL WAIVER</w:t>
      </w:r>
      <w:r>
        <w:rPr>
          <w:rFonts w:ascii="Times New Roman;Times;Serif" w:hAnsi="Times New Roman;Times;Serif"/>
          <w:b w:val="false"/>
          <w:i w:val="false"/>
          <w:caps w:val="false"/>
          <w:smallCaps w:val="false"/>
          <w:sz w:val="20"/>
        </w:rPr>
        <w:t>. The Company and the Investor hereby waive a trial by jury in any action, proceeding or counterclaim brought by either of the parties hereto against the other in respect of any matter arising out of or in connection with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The Transaction Documents shall be binding upon and inure to the benefit of the Company and the Investor and their respective successors. Neither this Agreement nor any rights of the Investor or the Company hereunder may be assigned by either party to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Company and the Investor and their respective successors, and is not for the benefit of, nor may any provision hereof be enforced by, any other Person, except as contemplated by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Company may terminate this Agreement effective either (a) upon five Trading Days’ prior written notice to the Investor, or (b) concurrently with the closing of any Subsequent Financing (as defined in the Note Purchase Agreement); provided that, in either case (with respect to the foregoing clause (a) or (b)), (i) there are no outstanding Purchase Notices under which Common Shares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 In addition, this Agreement shall automatically terminate on the earlier of (i) the end of the Commitment Period or (ii) the date that,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Notwithstanding the foregoing, the provisions of </w:t>
      </w:r>
      <w:r>
        <w:rPr>
          <w:rFonts w:ascii="Times New Roman;Times;Serif" w:hAnsi="Times New Roman;Times;Serif"/>
          <w:b w:val="false"/>
          <w:i w:val="false"/>
          <w:caps w:val="false"/>
          <w:smallCaps w:val="false"/>
          <w:sz w:val="20"/>
          <w:u w:val="single"/>
        </w:rPr>
        <w:t>Articles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the agreements and covenants of the Company and the Investor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survive the termination of this Agreement; provided, however, that if this Agreement is terminated at any time on or after the Effective Date, Section 6.1 shall automatically terminate on the date that is six (6) months after the later of (A) the date on which Shareholder Approval is obtained and (B) the date on which the Registration Statement is deemed effective by the SEC; provided further, however, that if this Agreement is terminated prior to the Effective Date,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not survive the termination of this Agreement. For avoidance of doubt, Section 6.4 shall survive the termination of this Agreement if this Agreement is terminated on or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thereto, contain the entire understanding of the Company and the Investor with respect to the matters covered herein and therein and supersede all prior agreements and understandings, oral or written, with respect to such matters, which the parties acknowledge have been merged into such documents and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or any other writing to the contrary, each party shall pay the fees and expenses of its advisers, counsel, accountants and other experts, if any, and all other expenses incurred by such party incident to the negotiation, preparation, execution, delivery and performance of this Agreement. Notwithstanding the foregoing, the Parties agree that Document Preparation Fee shall be deducted from the applicable Purchase Investment Amount to be paid by the Investor to the Company for the Purchase Notice Shares, pursuant to the first Purchase Notice delivered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The Transaction Documents may be executed in multiple counterparts, each of which may be executed by less than all of the parties, all of which together will constitute one instrument, will be deemed to be an original, and will be enforceable against the parties. The Transaction Documents may be delivered to the other party hereto by email of a copy of the Transaction Documents bearing the signature of the party so delivering the Transaction Documents. The parties agree that this Agreement shall be considered signed when the signature of a party is delivered by .PDF, DocuSign or other generally accepted electronic signature. Such .PDF, DocuSign, or other generally accepted electronic signature shall be treated in all respects as having the same effect as an original signature. The signatories to this Agreement each represent and warrant that they are duly authorized by the parties with the power and authority to bind the parties to the terms and conditions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becomes or is declared by a court of competent jurisdiction to be illegal, unenforceable or void, this Agreement shall continue in full force and effect without said provision; provided that such severability shall be ineffective if it materially changes the economic benefit of this Agreement to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10.10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caps w:val="false"/>
          <w:smallCaps w:val="false"/>
          <w:sz w:val="20"/>
          <w:u w:val="single"/>
        </w:rPr>
        <w:t>NO STRICT CONSTRUCTION</w:t>
      </w:r>
      <w:r>
        <w:rPr>
          <w:rFonts w:ascii="Times New Roman;Times;Serif" w:hAnsi="Times New Roman;Times;Serif"/>
          <w:b w:val="false"/>
          <w:i w:val="false"/>
          <w:caps w:val="false"/>
          <w:smallCaps w:val="false"/>
          <w:sz w:val="20"/>
        </w:rPr>
        <w:t>. The Parties acknowledge that they have had an adequate opportunity to review each and every provision contained in this Agreement and to submit the same to legal counsel for review and comment. The parties agree with each and every provision contained in this Agreement and agree that the rule of construction that a contract be construed against the drafter, if any, shall not be applied in the interpretation and construction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i w:val="false"/>
          <w:caps w:val="false"/>
          <w:smallCaps w:val="false"/>
          <w:sz w:val="20"/>
          <w:u w:val="single"/>
        </w:rPr>
        <w:t>EQUITABLE RELIEF</w:t>
      </w:r>
      <w:r>
        <w:rPr>
          <w:rFonts w:ascii="Times New Roman;Times;Serif" w:hAnsi="Times New Roman;Times;Serif"/>
          <w:b w:val="false"/>
          <w:i w:val="false"/>
          <w:caps w:val="false"/>
          <w:smallCaps w:val="false"/>
          <w:sz w:val="20"/>
        </w:rPr>
        <w:t>. The Company recognizes that if it fails to perform, observe, or discharge any or all of its obligations under this Agreement, any remedy at law may prove to be inadequate relief to the Investor. The Company therefore agrees that the Investor shall be entitled to temporary and permanent injunctive relief in any such case without the necessity of proving actual damages. In addition to being entitled to exercise all rights provided herein or granted by law, both parties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i w:val="false"/>
          <w:caps w:val="false"/>
          <w:smallCaps w:val="false"/>
          <w:sz w:val="20"/>
          <w:u w:val="single"/>
        </w:rPr>
        <w:t>TITLE AND SUBTITLES</w:t>
      </w:r>
      <w:r>
        <w:rPr>
          <w:rFonts w:ascii="Times New Roman;Times;Serif" w:hAnsi="Times New Roman;Times;Serif"/>
          <w:b w:val="false"/>
          <w:i w:val="false"/>
          <w:caps w:val="false"/>
          <w:smallCaps w:val="false"/>
          <w:sz w:val="20"/>
        </w:rPr>
        <w:t>. The titles and subtitles used in this Agreement are used for the convenience of reference and are not to be considered in construing or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amended or waived by the parties from and after the date that is one (1) Business Day immediately preceding the initial filing of the prospectus to the Registration Statement with the SEC. Subject to the immediately preceding sentence, (i) no provision of this Agreement may be amended other than by a written instrument signed by both parties hereto, and (ii)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i w:val="false"/>
          <w:caps w:val="false"/>
          <w:smallCaps w:val="false"/>
          <w:sz w:val="20"/>
          <w:u w:val="single"/>
        </w:rPr>
        <w:t>PUBLICITY</w:t>
      </w:r>
      <w:r>
        <w:rPr>
          <w:rFonts w:ascii="Times New Roman;Times;Serif" w:hAnsi="Times New Roman;Times;Serif"/>
          <w:b w:val="false"/>
          <w:i w:val="false"/>
          <w:caps w:val="false"/>
          <w:smallCaps w:val="false"/>
          <w:sz w:val="20"/>
        </w:rPr>
        <w:t>. The Company and the Investor shall consult with each other in issuing any press releases or otherwise making public statements with respect to the transactions contemplated hereby and no party shall issue any such press release or otherwise make any such public statement, other than as required by law, without the prior written consent of the other parties, which consent shall not be unreasonably withheld or delayed, except that no prior consent shall be required if such disclosure is required by law, in which such case the disclosing party shall provide the other party with prior notice of such public statement. Notwithstanding the foregoing, the Company shall not publicly disclose the name of the Investor without the prior written consent of the Investor, except to the extent required by law. The Investor acknowledges that the Transaction Documents may be deemed to be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10.16 </w:t>
      </w:r>
      <w:r>
        <w:rPr>
          <w:rFonts w:ascii="Times New Roman;Times;Serif" w:hAnsi="Times New Roman;Times;Serif"/>
          <w:b/>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GOVERNANCE OF ALL DISPUTES</w:t>
      </w:r>
      <w:r>
        <w:rPr>
          <w:rFonts w:ascii="Times New Roman;Times;Serif" w:hAnsi="Times New Roman;Times;Serif"/>
          <w:b w:val="false"/>
          <w:i w:val="false"/>
          <w:caps w:val="false"/>
          <w:smallCaps w:val="false"/>
          <w:sz w:val="20"/>
        </w:rPr>
        <w:t xml:space="preserve">. The parties recognize that disagreements as to certain matters may from time to time arise out of these Transaction Documents. The parties agree that any disagreements that arise from these Transaction Documents are to be governed in accordance with this </w:t>
      </w:r>
      <w:r>
        <w:rPr>
          <w:rFonts w:ascii="Times New Roman;Times;Serif" w:hAnsi="Times New Roman;Times;Serif"/>
          <w:b w:val="false"/>
          <w:i w:val="false"/>
          <w:caps w:val="false"/>
          <w:smallCaps w:val="false"/>
          <w:sz w:val="20"/>
          <w:u w:val="single"/>
        </w:rPr>
        <w:t>Section 10.16.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the Average Daily Trading Volume, VWAP Purchase Notice Limit, VWAP, or highest or lowest traded price (as the case may be) (including, without limitation, a dispute relating to the determination of any of the foregoing), the Company or the Investor (as the case may be) shall submit the dispute to the other party via facsimile or electronic mail (A) if by the Company, within two (2) Business Days after the occurrence of the circumstances giving rise to such dispute or (B) if by the Investor at any time after the Investor learned of the circumstances giving rise to such dispute. If the Investor and the Company are unable to promptly resolve such dispute relating to such Average Daily Trading Volume, VWAP Purchase Notice Limit, VWAP, or highest or lowest traded price (as the case may be), at any time after the second (2nd) Business Day following such initial notice by the Company or the Investor (as the case may be) of such dispute to the Company or the Investor (as the case may be), then the Company and the Investor may select an independent, reputable investment bank as mutually agreed upon to resolve such dispute.</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Investor and the Company shall each deliver to such investment bank (A) a copy of the initial dispute submission so delivered in accordance with the first sentence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and (B) written documentation supporting its position with respect to such dispute, in each case, no later than 5:00 p.m. (New York time) by the fifth (5th) Business Day immediately following the date on which such investment bank was selected (the “</w:t>
      </w:r>
      <w:r>
        <w:rPr>
          <w:rFonts w:ascii="Times New Roman;Times;Serif" w:hAnsi="Times New Roman;Times;Serif"/>
          <w:b/>
          <w:i w:val="false"/>
          <w:caps w:val="false"/>
          <w:smallCaps w:val="false"/>
          <w:sz w:val="20"/>
          <w:u w:val="single"/>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u w:val="single"/>
        </w:rPr>
        <w:t>Required Dispute Documentation</w:t>
      </w:r>
      <w:r>
        <w:rPr>
          <w:rFonts w:ascii="Times New Roman;Times;Serif" w:hAnsi="Times New Roman;Times;Serif"/>
          <w:b w:val="false"/>
          <w:i w:val="false"/>
          <w:caps w:val="false"/>
          <w:smallCaps w:val="false"/>
          <w:sz w:val="20"/>
        </w:rPr>
        <w:t>”) (it being understood and agreed that if either the Investor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Investor or otherwise requested by such investment bank, neither the Company nor the Investor shall be entitled to deliver or submit any written documentation or other support to such investment bank in connection with such dispute (other than the Required Dispute Documentation).</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2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Investor shall cause such investment bank to determine the resolution of such dispute and notify the Company and the Investor of such resolution no later than ten (10) Business Days immediately following the Dispute Submission Deadline. The fees and expenses of such investment bank shall be borne by the losing party, and such investment bank’s resolution of such dispute shall be final and binding upon all parties absent manifest error. The terms of this Agreement, each other applicable Transaction Document, and the Required Dispute Documentation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Agreement and any other applicable Transaction Documents.</w:t>
      </w:r>
    </w:p>
    <w:p>
      <w:pPr>
        <w:pStyle w:val="TextBody"/>
        <w:bidi w:val="0"/>
        <w:spacing w:before="0" w:after="0"/>
        <w:ind w:left="0" w:right="0" w:firstLine="240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sz w:val="20"/>
          <w:u w:val="single"/>
        </w:rPr>
        <w:t>Good Faith Attempt To Resolve Other Disputes</w:t>
      </w:r>
      <w:r>
        <w:rPr>
          <w:rFonts w:ascii="Times New Roman;Times;Serif" w:hAnsi="Times New Roman;Times;Serif"/>
          <w:b w:val="false"/>
          <w:i w:val="false"/>
          <w:caps w:val="false"/>
          <w:smallCaps w:val="false"/>
          <w:sz w:val="20"/>
        </w:rPr>
        <w:t>. If either the Company or the Investor believes that a dispute not covered by Section 10.16(b) has arisen under these Transaction Documents, that party, prior to commencing arbitration, must provided the other side with written notice detailing the nature of the alleged dispute. Upon receipt of such written notice, the parties are required to engage in good faith negotiations in an attempt to resolve the dispute for a period of not less than fourteen (14) days, such time as may be extended by mutual agreement of the parties. If the Company and the Investor are unable to resolve such dispute within that fourteen (14) day period (or any period of extension as agreed by the parties), then either party may pursue resolution of the dispute pursuant to Section 10.16(d).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 xml:space="preserve">. Any dispute, controversy, difference or claim that may arise between the Company and the Investor in connection with these Transaction Documents (including, without limitation, any claim that, for whatever reason, was not resolved by the procedures of Section 10.16(b); and all claims arising out of or relating to the validity, construction, interpretation, enforceability, breach, performance, application or termination of these Transaction Documents), shall be submitted to binding arbitration to be held in Las Vegas, Nevada, in accordance with the rules and protocols of the American Arbitration Association. There shall be only one arbitrator selected in accordance with the rules and protocols of the American Arbitration Association. The arbitration shall be conducted in English and may be conducted in a virtual setting. The arbitrator’s decision shall be final and binding and judgment may be entered thereon.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COSTS AND AWARD</w:t>
      </w:r>
      <w:r>
        <w:rPr>
          <w:rFonts w:ascii="Times New Roman;Times;Serif" w:hAnsi="Times New Roman;Times;Serif"/>
          <w:b w:val="false"/>
          <w:i w:val="false"/>
          <w:caps w:val="false"/>
          <w:smallCaps w:val="false"/>
          <w:sz w:val="20"/>
        </w:rPr>
        <w:t>. Each side must bear its own costs and legal fees during the pendency of the arbitration. A party’s failure to pay any costs or fees required to proceed in the arbitration, as they timely come due, shall result in an immediate default against that party. The prevailing party in the arbitration shall be entitled to recoup all its reasonable attorneys’ fees and costs from the nonprevailing, including, without limitation, all of its costs relating to the arbitration, excluding only the costs incurred in connection with the procedures of Section 10.16(b). The arbitrator’s final award shall include this assessment of costs and fees. The nonprevailing party must promptly pay that award in U.S. dollars, free of any tax, deduction or offset. Further, in the event a party fails to proceed with arbitration, unsuccessfully challenges the arbitrator’s award, or fails to comply with the arbitrator’s award, the other party is entitled to all costs of suit including all reasonable attorneys’ fees and costs incurred in respect to any of these further actions. With respect to damages, the only damages recoverable under these Transaction Documents are compensatory; both the Company and the Investor expressly disclaim the right to seek punitive or other exemplary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INJUNCTIVE RELIEF</w:t>
      </w:r>
      <w:r>
        <w:rPr>
          <w:rFonts w:ascii="Times New Roman;Times;Serif" w:hAnsi="Times New Roman;Times;Serif"/>
          <w:b w:val="false"/>
          <w:i w:val="false"/>
          <w:caps w:val="false"/>
          <w:smallCaps w:val="false"/>
          <w:sz w:val="20"/>
        </w:rPr>
        <w:t>. Provided a party has made a sufficient showing under applicable law, the arbitrator shall have the power and authority to invoke, and the parties agree to abide by, equitable relief or interim or provisional relief from the abritrator, including a temporary restraining order, preliminary injunction, or other interim or permanent equitable relief. Additionally, nothing in this Section 10.16 shall preclude either party from seeking equitable relief or interim or provisional relief from a court of competent jurisdiction, including a temporary restraining order, preliminary injunction, or other interim or permanent equitable relief, concerning a dispute either prior to or during arbitration if necessary to protect the interests of such party or to preserve the status quo pending the arbitration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sz w:val="20"/>
          <w:u w:val="single"/>
        </w:rPr>
        <w:t>Confidentiality</w:t>
      </w:r>
      <w:r>
        <w:rPr>
          <w:rFonts w:ascii="Times New Roman;Times;Serif" w:hAnsi="Times New Roman;Times;Serif"/>
          <w:b w:val="false"/>
          <w:i w:val="false"/>
          <w:caps w:val="false"/>
          <w:smallCaps w:val="false"/>
          <w:sz w:val="20"/>
        </w:rPr>
        <w:t>. The arbitration proceeding and subsequent award shall be confidential. The arbitrator shall issue appropriate protective orders to safeguard each party’s confidential information. Except as required by law (or if necessary to enforce the award), including without limitation securities regulations, neither party is to make any public announcement with respect to the proceedings or decision of the arbitrator without the prior written consent of the other party. The existence of any dispute submitted to arbitration, and the award, shall be kept in confidence by the parties thereto and the arbitrator, except as required in connection with the enforcement of such an award or as otherwise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10.17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waivers, approvals, and other communications required or permitted hereunder shall be in writing and, unless otherwise specified herein, shall be (a) personally served, (b) delivered by reputable air courier service with charges prepaid next Business Day delivery, or (c) transmitted by hand delivery, or email as a PDF, addressed as set forth below or to such other address as such party shall have specified most recently by written notice given in accordance herewith. Any notice or other communication required or permitted to be given hereunder shall be deemed effective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for such communications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89118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Charles Maddox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charlie@daic.ai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 J. Minna &amp; Gerry Marshall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Atlantic Center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 Suite 2900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penny.minna@us.dlapiper.com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Investor</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LION CAPITAL LLC</w:t>
        <w:br/>
        <w:t>21031 Ventura Blvd., Suite 920</w:t>
        <w:br/>
        <w:t>Encino, CA 91316</w:t>
        <w:br/>
        <w:t>Attention: Yash Thukral, Managing Director</w:t>
        <w:br/>
        <w:t>E-mail: team@whitelioncapital.com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A. Indeglia, Esq.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Glaser Weil Fink Howard Jordan &amp; Shapiro LLP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Boulevard,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mindeglia@glaserweil.com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Either party hereto may from time to time change its address or email for notices under this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by giving prior written notice of such changed address to the other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duly executed by their respective officers thereunto duly authorized as of the Signing Date, such Agreement being effective as of the Effective Date.</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545"/>
        <w:gridCol w:w="2180"/>
      </w:tblGrid>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b/>
                <w:sz w:val="20"/>
              </w:rPr>
            </w:pPr>
            <w:r>
              <w:rPr>
                <w:b/>
                <w:sz w:val="20"/>
              </w:rPr>
              <w:t>CID Holdco, Inc</w:t>
            </w:r>
          </w:p>
        </w:tc>
      </w:tr>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180" w:type="dxa"/>
            <w:tcBorders/>
            <w:vAlign w:val="center"/>
          </w:tcPr>
          <w:p>
            <w:pPr>
              <w:pStyle w:val="TableContents"/>
              <w:bidi w:val="0"/>
              <w:spacing w:before="0" w:after="283"/>
              <w:jc w:val="left"/>
              <w:rPr>
                <w:sz w:val="20"/>
              </w:rPr>
            </w:pPr>
            <w:r>
              <w:rPr>
                <w:sz w:val="20"/>
              </w:rPr>
              <w:t>Edmund Nabrotzky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180" w:type="dxa"/>
            <w:tcBorders/>
            <w:vAlign w:val="center"/>
          </w:tcPr>
          <w:p>
            <w:pPr>
              <w:pStyle w:val="TableContents"/>
              <w:bidi w:val="0"/>
              <w:spacing w:before="0" w:after="283"/>
              <w:jc w:val="left"/>
              <w:rPr>
                <w:sz w:val="20"/>
              </w:rPr>
            </w:pP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b/>
                <w:sz w:val="20"/>
              </w:rPr>
            </w:pPr>
            <w:r>
              <w:rPr>
                <w:b/>
                <w:sz w:val="20"/>
              </w:rPr>
              <w:t>White Lion Capital LLC</w:t>
            </w:r>
          </w:p>
        </w:tc>
      </w:tr>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Yash Thukral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180" w:type="dxa"/>
            <w:tcBorders/>
            <w:vAlign w:val="center"/>
          </w:tcPr>
          <w:p>
            <w:pPr>
              <w:pStyle w:val="TableContents"/>
              <w:bidi w:val="0"/>
              <w:spacing w:before="0" w:after="283"/>
              <w:jc w:val="left"/>
              <w:rPr>
                <w:sz w:val="20"/>
              </w:rPr>
            </w:pPr>
            <w:r>
              <w:rPr>
                <w:sz w:val="20"/>
              </w:rPr>
              <w:t xml:space="preserve">Yash Thukral, JD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180"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br/>
        <w:br/>
        <w:t>FORM OF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WHITE LION CAPITAL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Common Stock Purchase Agreement, dated as of April 17,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entered into by and between CID Holdco, Inc., and White Lion Capital LLC. Capitalized terms defined in the Agreement shall, unless otherwise defined herein, have the same meaning when used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Give you notice that we require you to purchase __________ Purchase Notice Shares at the Rapid Purchase ;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Certify that, as of the date hereof,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Agreement are satisfied.</w:t>
      </w:r>
    </w:p>
    <w:p>
      <w:pPr>
        <w:pStyle w:val="TextBody"/>
        <w:bidi w:val="0"/>
        <w:spacing w:before="0" w:after="0"/>
        <w:ind w:left="0" w:right="0" w:hanging="0"/>
        <w:jc w:val="both"/>
        <w:rPr>
          <w:caps w:val="false"/>
          <w:smallCaps w:val="false"/>
        </w:rPr>
      </w:pPr>
      <w:r>
        <w:rPr>
          <w:caps w:val="false"/>
          <w:smallCaps w:val="false"/>
        </w:rPr>
        <w:t> </w:t>
      </w:r>
    </w:p>
    <w:tbl>
      <w:tblPr>
        <w:tblW w:w="1519" w:type="dxa"/>
        <w:jc w:val="left"/>
        <w:tblInd w:w="0" w:type="dxa"/>
        <w:tblLayout w:type="fixed"/>
        <w:tblCellMar>
          <w:top w:w="0" w:type="dxa"/>
          <w:left w:w="0" w:type="dxa"/>
          <w:bottom w:w="0" w:type="dxa"/>
          <w:right w:w="0" w:type="dxa"/>
        </w:tblCellMar>
      </w:tblPr>
      <w:tblGrid>
        <w:gridCol w:w="75"/>
        <w:gridCol w:w="1249"/>
        <w:gridCol w:w="195"/>
      </w:tblGrid>
      <w:tr>
        <w:trPr/>
        <w:tc>
          <w:tcPr>
            <w:tcW w:w="7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b/>
                <w:sz w:val="20"/>
              </w:rPr>
            </w:pPr>
            <w:r>
              <w:rPr>
                <w:b/>
                <w:sz w:val="20"/>
              </w:rPr>
              <w:t>CID Holdco, Inc.</w:t>
            </w:r>
          </w:p>
        </w:tc>
      </w:tr>
      <w:tr>
        <w:trPr/>
        <w:tc>
          <w:tcPr>
            <w:tcW w:w="7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By:</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Name: </w:t>
            </w:r>
          </w:p>
        </w:tc>
        <w:tc>
          <w:tcPr>
            <w:tcW w:w="19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Title:</w:t>
            </w:r>
          </w:p>
        </w:tc>
        <w:tc>
          <w:tcPr>
            <w:tcW w:w="1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br/>
        <w:br/>
        <w:t>FORM OF VWAP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WHITE LION CAPITAL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Common Stock Purchase Agreement, dated as of April 17,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entered into by and between CID Holdco, Inc., and White Lion Capital LLC. Capitalized terms defined in the Agreement shall, unless otherwise defined herein, have the same meaning when used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Give you notice that we require you to purchase __________ Purchase Notice Shares at the VWAP Purchase Price;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Certify that, as of the date hereof,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Agreement are satisfied.</w:t>
      </w:r>
    </w:p>
    <w:p>
      <w:pPr>
        <w:pStyle w:val="TextBody"/>
        <w:bidi w:val="0"/>
        <w:spacing w:before="0" w:after="0"/>
        <w:ind w:left="0" w:right="0" w:hanging="0"/>
        <w:jc w:val="both"/>
        <w:rPr>
          <w:caps w:val="false"/>
          <w:smallCaps w:val="false"/>
        </w:rPr>
      </w:pPr>
      <w:r>
        <w:rPr>
          <w:caps w:val="false"/>
          <w:smallCaps w:val="false"/>
        </w:rPr>
        <w:t> </w:t>
      </w:r>
    </w:p>
    <w:tbl>
      <w:tblPr>
        <w:tblW w:w="1519" w:type="dxa"/>
        <w:jc w:val="left"/>
        <w:tblInd w:w="0" w:type="dxa"/>
        <w:tblLayout w:type="fixed"/>
        <w:tblCellMar>
          <w:top w:w="0" w:type="dxa"/>
          <w:left w:w="0" w:type="dxa"/>
          <w:bottom w:w="0" w:type="dxa"/>
          <w:right w:w="0" w:type="dxa"/>
        </w:tblCellMar>
      </w:tblPr>
      <w:tblGrid>
        <w:gridCol w:w="75"/>
        <w:gridCol w:w="1249"/>
        <w:gridCol w:w="195"/>
      </w:tblGrid>
      <w:tr>
        <w:trPr/>
        <w:tc>
          <w:tcPr>
            <w:tcW w:w="7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b/>
                <w:sz w:val="20"/>
              </w:rPr>
            </w:pPr>
            <w:r>
              <w:rPr>
                <w:b/>
                <w:sz w:val="20"/>
              </w:rPr>
              <w:t>CID Holdco, Inc.</w:t>
            </w:r>
          </w:p>
        </w:tc>
      </w:tr>
      <w:tr>
        <w:trPr/>
        <w:tc>
          <w:tcPr>
            <w:tcW w:w="7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By:</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Name: </w:t>
            </w:r>
          </w:p>
        </w:tc>
        <w:tc>
          <w:tcPr>
            <w:tcW w:w="19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sz w:val="20"/>
              </w:rPr>
            </w:pPr>
            <w:r>
              <w:rPr>
                <w:sz w:val="20"/>
              </w:rPr>
              <w:t>Title:</w:t>
            </w:r>
          </w:p>
        </w:tc>
        <w:tc>
          <w:tcPr>
            <w:tcW w:w="1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br/>
        <w:b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D</w:t>
      </w:r>
      <w:r>
        <w:rPr>
          <w:rFonts w:ascii="Times New Roman;Times;Serif" w:hAnsi="Times New Roman;Times;Serif"/>
          <w:b w:val="false"/>
          <w:i w:val="false"/>
          <w:caps w:val="false"/>
          <w:smallCaps w:val="false"/>
          <w:sz w:val="20"/>
        </w:rPr>
        <w:br/>
        <w:br/>
      </w:r>
      <w:r>
        <w:rPr>
          <w:rFonts w:ascii="Times New Roman;Times;Serif" w:hAnsi="Times New Roman;Times;Serif"/>
          <w:b w:val="false"/>
          <w:i w:val="false"/>
          <w:caps/>
          <w:sz w:val="20"/>
          <w:shd w:fill="FFFFFF" w:val="clear"/>
        </w:rPr>
        <w:t>Irrevocable Transfer Agent Instructions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8687601_ex10-2.htm"/>
      <w:bookmarkStart w:id="32" w:name="ksea028687601_ex102"/>
      <w:bookmarkEnd w:id="31"/>
      <w:bookmarkEnd w:id="32"/>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entered into effective as of April 17, 2026 (the “</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by and between CID Holdco,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White Lion Capital, LLC, a Nevada limited liability company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WHEREAS, in connection with the Common Stock Purchase Agreement, dated as of April 17, 2026, by and between the Company and the Investor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the Company may issue and sell to the Investor, from time to time, and the Investor shall purchase from the Company, up to $10,000,000 in aggregate gross purchase price of newly issued Purchase Notice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WHEREAS, in consideration for the Investor’s execution and delivery of the Purchase Agreement, the Company shall issue to the Investor the Commitment Shares and the Commitment Warrant (each as defined in the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WHEREAS, in connection with the Note Purchase Agreement, dated as of April 15, 2026, by and between the Company and the Investor (the “</w:t>
      </w:r>
      <w:r>
        <w:rPr>
          <w:rFonts w:ascii="Times New Roman;Times;Serif" w:hAnsi="Times New Roman;Times;Serif"/>
          <w:b/>
          <w:i/>
          <w:caps w:val="false"/>
          <w:smallCaps w:val="false"/>
          <w:sz w:val="20"/>
        </w:rPr>
        <w:t>Note Purchase Agreement</w:t>
      </w:r>
      <w:r>
        <w:rPr>
          <w:rFonts w:ascii="Times New Roman;Times;Serif" w:hAnsi="Times New Roman;Times;Serif"/>
          <w:b w:val="false"/>
          <w:i w:val="false"/>
          <w:caps w:val="false"/>
          <w:smallCaps w:val="false"/>
          <w:sz w:val="20"/>
        </w:rPr>
        <w:t>”), the Company has agreed, upon the terms and subject to the conditions of the Note Purchase Agreement, to issue and sell to the Investor senior secured convertible promissory notes of the Company in an aggregate principal amount of $2,875,000 (such notes, together with any note(s) issued in replacement thereof or as a dividend thereon or otherwise with respect thereto in accordance with the terms thereof,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convertible into shares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of common stock, $0.0001 par value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pursuant to the terms of the Note);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WHEREAS, pursuant to the terms of, and in consideration for the Investor entering into the Purchase Agreement and the Note Purchase Agreement, and to induce the Investor to execute and deliver the Purchase Agreement and the Note Purchase Agreement, the Company has agreed to provide the Investor with certain registration rights with respect to the Registrable Securities (as defined herein) as set forth herein.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representations, warranties, covenants and agreements contained herein and in the Purchase Agreement and the Note Purchase Agreement, and for other good and valuable consideration, the receipt and sufficiency of which is hereby acknowledged, intending to be legally bound hereby, the Company and the Investor hereby agree as follows:</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1428" w:type="dxa"/>
        <w:jc w:val="left"/>
        <w:tblInd w:w="0" w:type="dxa"/>
        <w:shd w:fill="FFFFFF" w:val="clear"/>
        <w:tblLayout w:type="fixed"/>
        <w:tblCellMar>
          <w:top w:w="0" w:type="dxa"/>
          <w:left w:w="0" w:type="dxa"/>
          <w:bottom w:w="0" w:type="dxa"/>
          <w:right w:w="0" w:type="dxa"/>
        </w:tblCellMar>
      </w:tblPr>
      <w:tblGrid>
        <w:gridCol w:w="38"/>
        <w:gridCol w:w="200"/>
        <w:gridCol w:w="11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pPr>
            <w:r>
              <w:rPr/>
              <w:t>1.</w:t>
            </w:r>
          </w:p>
        </w:tc>
        <w:tc>
          <w:tcPr>
            <w:tcW w:w="1190" w:type="dxa"/>
            <w:tcBorders/>
            <w:shd w:fill="FFFFFF" w:val="clear"/>
            <w:vAlign w:val="center"/>
          </w:tcPr>
          <w:p>
            <w:pPr>
              <w:pStyle w:val="TableContents"/>
              <w:bidi w:val="0"/>
              <w:spacing w:before="0" w:after="283"/>
              <w:jc w:val="both"/>
              <w:rPr>
                <w:b/>
              </w:rPr>
            </w:pPr>
            <w:r>
              <w:rPr>
                <w:b/>
                <w:u w:val="single"/>
              </w:rPr>
              <w:t>Definitions</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Purchase Agreement and the Note Purchase Agreement. As used in this Agreement, the following terms shall have the following meanings: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Allowable Grace Period</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Blue Sky Filing</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any other day on which commercial banks in New York, New York are authorized or required by law to remain closed.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 or any successor entity.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date that the applicable Registration Statement has been declared effective by the Commission.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means within fifteen (15) Business Days after the Execution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Indemnified Damages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Investor Parties</w:t>
      </w:r>
      <w:r>
        <w:rPr>
          <w:rFonts w:ascii="Times New Roman;Times;Serif" w:hAnsi="Times New Roman;Times;Serif"/>
          <w:b w:val="false"/>
          <w:i w:val="false"/>
          <w:caps w:val="false"/>
          <w:smallCaps w:val="false"/>
          <w:sz w:val="20"/>
        </w:rPr>
        <w:t xml:space="preserve">” shall have the meaning assigned to such terms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Legal Counsel</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Note Purchase Agreement</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person or entity, whether a natural person, trustee, corporation, partnership, limited partnership, limited liability company, trust, unincorporated organization, business association, firm, joint venture, governmental agency or authority.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means any prospectus supplement to the Prospectus filed with the Commission from time to time pursuant to Rule 424(b) under the Securities Act, including the documents incorporated by reference therein.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Securities Act and pursuant to Rule 415 and the declaration of effectiveness of such Registration Statement(s) by the Commission.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means Common Stock representing (i) an aggregate of up to $10,000,000 of Purchase Notice Shares, (ii) the Commitment Shares, (iii) the shares of Common Stock issuable upon exercise of the Commitment Warrant (the “</w:t>
      </w:r>
      <w:r>
        <w:rPr>
          <w:rFonts w:ascii="Times New Roman;Times;Serif" w:hAnsi="Times New Roman;Times;Serif"/>
          <w:b/>
          <w:i/>
          <w:caps w:val="false"/>
          <w:smallCaps w:val="false"/>
          <w:sz w:val="20"/>
        </w:rPr>
        <w:t>Commitment Warrant Shares</w:t>
      </w:r>
      <w:r>
        <w:rPr>
          <w:rFonts w:ascii="Times New Roman;Times;Serif" w:hAnsi="Times New Roman;Times;Serif"/>
          <w:b w:val="false"/>
          <w:i w:val="false"/>
          <w:caps w:val="false"/>
          <w:smallCaps w:val="false"/>
          <w:sz w:val="20"/>
        </w:rPr>
        <w:t xml:space="preserve">”), (iv) the Conversion Shares, (v) any and all other Common Stock issued or issuable to the Investor pursuant to the Purchase Agreement or the Note Purchase Agreement, and (vi) any capital stock of the Company issued or issuable with respect to the Purchase Notice Shares, the Commitment Shares, the Commitment Warrant Shares, the Conversion Shares, or other capital stock, including, without limitation, (1) as a result of any stock split, stock dividend, recapitalization, exchange or similar event or otherwise and (2) shares of capital stock of the Company into which the Common Stock are converted or exchanged and shares of capital stock of a successor entity into which the shares of Common Stock are converted or exchanged, in each case until such time as such securities cease to be Registrable Securities pursuant to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Registration Period</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Securities Act registering the resale by the Investor of Registrable Securities, including without limitation a New Registration Statement, as such registration statement or registration statements may be amended and supplemented from time to time, including all documents filed as part thereof or incorporated by reference therein.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Rule 415</w:t>
      </w:r>
      <w:r>
        <w:rPr>
          <w:rFonts w:ascii="Times New Roman;Times;Serif" w:hAnsi="Times New Roman;Times;Serif"/>
          <w:b w:val="false"/>
          <w:i w:val="false"/>
          <w:caps w:val="false"/>
          <w:smallCaps w:val="false"/>
          <w:sz w:val="20"/>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shall mean this Agreement, the Note Purchase Agreement, the Purchase Agreement, the Notes, the Commitment Warrant, the Transfer Agent Instruction Letter and all schedules and exhibits hereto and thereto.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Violations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1578" w:type="dxa"/>
        <w:jc w:val="left"/>
        <w:tblInd w:w="0" w:type="dxa"/>
        <w:shd w:fill="FFFFFF" w:val="clear"/>
        <w:tblLayout w:type="fixed"/>
        <w:tblCellMar>
          <w:top w:w="0" w:type="dxa"/>
          <w:left w:w="0" w:type="dxa"/>
          <w:bottom w:w="0" w:type="dxa"/>
          <w:right w:w="0" w:type="dxa"/>
        </w:tblCellMar>
      </w:tblPr>
      <w:tblGrid>
        <w:gridCol w:w="38"/>
        <w:gridCol w:w="200"/>
        <w:gridCol w:w="13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b/>
              </w:rPr>
            </w:pPr>
            <w:r>
              <w:rPr>
                <w:b/>
              </w:rPr>
              <w:t>2.</w:t>
            </w:r>
          </w:p>
        </w:tc>
        <w:tc>
          <w:tcPr>
            <w:tcW w:w="1340" w:type="dxa"/>
            <w:tcBorders/>
            <w:shd w:fill="FFFFFF" w:val="clear"/>
            <w:vAlign w:val="center"/>
          </w:tcPr>
          <w:p>
            <w:pPr>
              <w:pStyle w:val="TableContents"/>
              <w:bidi w:val="0"/>
              <w:spacing w:before="0" w:after="283"/>
              <w:jc w:val="both"/>
              <w:rPr>
                <w:b/>
              </w:rPr>
            </w:pPr>
            <w:r>
              <w:rPr>
                <w:b/>
                <w:u w:val="single"/>
              </w:rPr>
              <w:t>Registration</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Mandatory 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or before the Filing Deadline, the Company shall file with the Commission an initial Registration Statement on Form S-1 (or any successor form) registering the resale by the Investor of the maximum number of Registrable Securities as shall be permitted to be included thereon in accordance with applicable Commission rules, regulations and interpretations (determined as of two Business Days prior to such submission or filing) so as to permit the resale of such Registrable Securities by the Investor under Rule 415 under the Securities Act at then prevailing market prices (and not fixed prices) (the “</w:t>
      </w:r>
      <w:r>
        <w:rPr>
          <w:rFonts w:ascii="Times New Roman;Times;Serif" w:hAnsi="Times New Roman;Times;Serif"/>
          <w:b/>
          <w:i/>
          <w:caps w:val="false"/>
          <w:smallCaps w:val="false"/>
          <w:sz w:val="20"/>
          <w:u w:val="single"/>
        </w:rPr>
        <w:t>Initial Registration Statement</w:t>
      </w:r>
      <w:r>
        <w:rPr>
          <w:rFonts w:ascii="Times New Roman;Times;Serif" w:hAnsi="Times New Roman;Times;Serif"/>
          <w:b w:val="false"/>
          <w:i w:val="false"/>
          <w:caps w:val="false"/>
          <w:smallCaps w:val="false"/>
          <w:sz w:val="20"/>
        </w:rPr>
        <w:t xml:space="preserve">”). The Initial Registration Statement shall contain a Prospectus describing the material terms and conditions of the Purchase Agreement and the Note Purchase Agreement, and disclosing all information relating to the transactions contemplated thereby required to be disclosed in the Prospectus, including, without limitation, “Selling Stockholder” and “Plan of Distribution” sections in substantially the forms approved in writing by the Investor, in order to conform, in all material respects when filed with the Commission pursuant to Rule 424(b) under the Securities Act, and shall otherwise conform to the requirements of the Securities Act and the rules and regulations thereunder. The Company shall use its commercially reasonable best efforts to have the Initial Registration Statement declared effective by the Commission as soon as reasonably practicable following the filing thereof with the Commission;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Company’s obligations to include the Registrable Securities in the Initial Registration Statement are contingent upon the Investor furnishing in writing to the Company such information, and executing such documents, in connection with such registration as the Company may reasonably request in accordance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Legal Counsel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the Investor shall have the right to select one legal counsel to review and oversee, solely on its behalf, any registration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u w:val="single"/>
        </w:rPr>
        <w:t>Legal Counsel</w:t>
      </w:r>
      <w:r>
        <w:rPr>
          <w:rFonts w:ascii="Times New Roman;Times;Serif" w:hAnsi="Times New Roman;Times;Serif"/>
          <w:b w:val="false"/>
          <w:i w:val="false"/>
          <w:caps w:val="false"/>
          <w:smallCaps w:val="false"/>
          <w:sz w:val="20"/>
        </w:rPr>
        <w:t>”), which shall be Glaser Weil Fink Howard Jordan &amp; Shapiro LLP, or such other counsel as thereafter designated by the Investor. The Company shall have no obligation to reimburse the Investor for any legal fees and expenses of the Legal Counsel incurred in connection with the transactions contemplated 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Sufficient Number of Shares Registered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at any time all Registrable Securities are not covered by the Initial Registration Statement filed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as a result of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or otherwise, or the Initial Registration Statement is no longer effective, the Company shall use its commercially reasonable best efforts, to the extent necessary and permissible, amend the Initial Registration Statement, cause an existing registration statement that has been filed but not declared effective by the Commission to become effective, or to file with the Commission one or more additional Registration Statements (which, if the Company shall at such time have qualified for the use of a Registration Statement on Form S-3 or any successor form thereto, may be Registration Statement(s) on Form S-3 or any similar short-form Registration Statement in lieu of a Registration Statement on Form S-1) so as to cover all of the Registrable Securities not covered by the Initial Registration Statement, in each case, as soon as practicable (taking into account any position of the staff of the Commission (“</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with respect to the date on which the Staff will permit such additional Registration Statement(s) to be filed with the Commission and the rules and regulations of the Commission) (each such additional Registration Statement, a “</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The Company shall use its commercially reasonable best efforts to cause each such New Registration Statement to become effective as soon as reasonably practicable following the filing thereof with the Commission.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No Inclusion of Other Securities; Statutory Underwriter Status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no event shall the Company include any securities other than Registrable Securities on any Registration Statement pursuant to Section 2(a) or Section 2(c) without consulting the Investor and Legal Counsel and receiving the written consent of the Investor, prior to filing such Registration Statement with the Commission.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Offering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Staff or the Commission seeks to prevent the Company from including any or all of the Registrable Securities proposed to be registered under a Registration Statement due to limitations on the use of Rule 415, or if after the filing of any Registration Statement, or any Prospectus or Prospectus Supplement,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to no more than the maximum number of securities as is permitted to be registered by the Commission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of Registrable Securities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In the event of any reduction in Registrable Securities pursuant to this paragraph, the Company shall use its commercially reasonable best efforts to file one or more New Registration Statements with the Commission in accordance with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until such time as all Registrable Securities have been included in Registration Statements that have been declared effective and the Prospectuses contained therein are available for use by the Investor.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by the Investor; (ii) when such Registrable Security is held by the Company or one of its Subsidiaries; (iii) such securities are sold by the Investor under circumstances in which all of the applicable conditions of Rule 144 under the Securities Act are met and (iv) such securities become eligible for sale pursuant to Rule 144 without volume or manner-of-sale restrictions, without the requirement for the Company to be in compliance with the current public information requirement under Rule 144(c) or Rule 144(i)(2) thereunder.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No Inclusion of Other Securities</w:t>
      </w:r>
      <w:r>
        <w:rPr>
          <w:rFonts w:ascii="Times New Roman;Times;Serif" w:hAnsi="Times New Roman;Times;Serif"/>
          <w:b w:val="false"/>
          <w:i w:val="false"/>
          <w:caps w:val="false"/>
          <w:smallCaps w:val="false"/>
          <w:sz w:val="20"/>
        </w:rPr>
        <w:t>. In no event shall the Company include any securities other than Registrable Securities on any Registration Statement pursuant to Section 2(a) or Section 2(c) without consulting the Investor and Legal Counsel and receiving the written consent of the Investor, prior to filing such Registration Statement with the Commission.</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2388" w:type="dxa"/>
        <w:jc w:val="left"/>
        <w:tblInd w:w="0" w:type="dxa"/>
        <w:shd w:fill="FFFFFF" w:val="clear"/>
        <w:tblLayout w:type="fixed"/>
        <w:tblCellMar>
          <w:top w:w="0" w:type="dxa"/>
          <w:left w:w="0" w:type="dxa"/>
          <w:bottom w:w="0" w:type="dxa"/>
          <w:right w:w="0" w:type="dxa"/>
        </w:tblCellMar>
      </w:tblPr>
      <w:tblGrid>
        <w:gridCol w:w="38"/>
        <w:gridCol w:w="200"/>
        <w:gridCol w:w="21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b/>
              </w:rPr>
            </w:pPr>
            <w:r>
              <w:rPr>
                <w:b/>
              </w:rPr>
              <w:t>3.</w:t>
            </w:r>
          </w:p>
        </w:tc>
        <w:tc>
          <w:tcPr>
            <w:tcW w:w="2150" w:type="dxa"/>
            <w:tcBorders/>
            <w:shd w:fill="FFFFFF" w:val="clear"/>
            <w:vAlign w:val="center"/>
          </w:tcPr>
          <w:p>
            <w:pPr>
              <w:pStyle w:val="TableContents"/>
              <w:bidi w:val="0"/>
              <w:spacing w:before="0" w:after="283"/>
              <w:jc w:val="both"/>
              <w:rPr>
                <w:b/>
              </w:rPr>
            </w:pPr>
            <w:r>
              <w:rPr>
                <w:b/>
                <w:u w:val="single"/>
              </w:rPr>
              <w:t>Related Obligations</w:t>
            </w:r>
            <w:r>
              <w:rPr>
                <w:b/>
              </w:rPr>
              <w:t xml:space="preserve">.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duration of the Registration Period, the Company shall use its commercially reasonable best efforts to effect the registration of the Registrable Securities in accordance with the intended method of disposition thereof, and, pursuant thereto, during the term of this Agreement, the Company shall have the following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Following the Execution Date, the Company shall promptly prepare and file with the Commission the Initial Registration Statement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hereof and one or more New Registration Statements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hereof with respect to the Registrable Securities, and the Company shall use its commercially reasonable best efforts to cause each such Registration Statement to become effective as soon as practicable after such filing. Subject to Allowable Grace Periods, the Company shall use its commercially reasonable best efforts to keep each Registration Statement effective (and the Prospectus contained therein available for use) pursuant to Rule 415 for resales by the Investor of Registrable Securities on a continuous basis at then-prevailing market prices (and not fixed prices) at all times until the earlier of (i) the date on which the Investor shall have sold all of the Registrable Securities covered by such Registration Statement, (ii) the later of the date of termination of the Purchase Agreement and the date of the Note Purchase Agreement if as of such termination date the Investor holds no Registrable Securities (or, if applicable, the date on which such securities cease to be Registrable Securities after the date of termination of the Purchase Agreement or the Note Purchase Agreement, as applicable) and (iii) all such securities cease to be Registrable Securities pursuant to Section 2(f)(iii) or Section 2(f)(iv) (the “</w:t>
      </w:r>
      <w:r>
        <w:rPr>
          <w:rFonts w:ascii="Times New Roman;Times;Serif" w:hAnsi="Times New Roman;Times;Serif"/>
          <w:b/>
          <w:i/>
          <w:caps w:val="false"/>
          <w:smallCaps w:val="false"/>
          <w:sz w:val="20"/>
          <w:u w:val="single"/>
        </w:rPr>
        <w:t>Registration Period</w:t>
      </w:r>
      <w:r>
        <w:rPr>
          <w:rFonts w:ascii="Times New Roman;Times;Serif" w:hAnsi="Times New Roman;Times;Serif"/>
          <w:b w:val="false"/>
          <w:i w:val="false"/>
          <w:caps w:val="false"/>
          <w:smallCaps w:val="false"/>
          <w:sz w:val="20"/>
        </w:rPr>
        <w:t xml:space="preserve">”). Notwithstanding anything to the contrary contained in this Agreement (but subject to the provisions of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of this Agreement, the Company shall use its commercially reasonable best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as set forth in such Registration Statement. Without limiting the generality of the foregoing, the Company covenants and agrees that (i)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Purchase Notice are material to the Company (individually or collectively with all other prior Purchase Notices, the consummation of which have not previously been reported in any Prospectus Supplement filed with the Commission under Rule 424(b) under the Securities Act or in any report, statement or other document filed by the Company with the Commission under the Exchange Act), or if otherwise required under the Securities Act (or the interpretations of the Commission thereof), in each case as reasonably determined by the Company and the Investor, then,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immediately following the Closing Date, if a Purchase Notice was properly delivered to the Investor hereunder in connection with such purchase, the Company shall file with the Commission a Prospectus Supplement pursuant to Rule 424(b) under the Securities Act with respect to the purchase(s), the total purchase amount for the Purchase Notice Shares subject to such purchase(s) (as applicable), the applicable Purchase Amount(s) for such Purchase Notice Shares and the net proceeds that are to be (and, if applicable, have been) received by the Company from the sale of such Purchase Notice Shares. To the extent not previously disclosed in the Prospectus or a Prospectus Supplement, the Company shall disclose in its Annual Reports on Form 10-K the information described in the immediately preceding sentence relating to all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Form S-3 or Prospectus related thereto that are required to be filed pursuant to this Agreement (including, without limitation, pursuant to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by reason of the Company filing a report on Form 8-K, Form 10-Q or Form 10-K or any analogous report under the Exchange Act, the Company shall have incorporated such report by reference into such Registration Statement and Prospectus, if applicable and if such ability to incorporate such report by reference is available to the Company at such time, or shall file such amendments or supplements to the Registration Statement or Prospectus with the Commission on the same day on which the Exchange Act report is filed that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 opportunity to review and comment upon (i) each Registration Statement at least two (2) Business Days prior to its filing with the Commission and (ii) all amendments and supplements to each Registration Statement (including, without limitation, the Prospectus contained therein) within a reasonable number of days prior to their filing with the Commission, and (B) shall reasonably consider any comments of the Investor and Legal Counsel on any such Registration Statement or amendment or supplement thereto or to any Prospectus contained therein; provided, that the Company shall not have any obligation to modify any information if the Company expects that so doing would cause (i) the Registration Statement to contain an untrue statement of a material fact or omit to state any material fact required to be stated therein or necessary to make the statements therein not misleading or (ii) the Prospectus to contain an untrue statement of a material fact or to omit to state a material fact necessary in order to make the statements made, in light of the circumstances under which they were made, not misleading.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all documents incorporated therein by reference, if requested by the Investor,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Commission’s Electronic Data Gathering, Analysis and Retrieval System (“</w:t>
      </w:r>
      <w:r>
        <w:rPr>
          <w:rFonts w:ascii="Times New Roman;Times;Serif" w:hAnsi="Times New Roman;Times;Serif"/>
          <w:b/>
          <w:i/>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limiting any obligation of the Company under the Purchase Agreement or the Note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all documents incorporated therein by reference, if requested by the Investor, (ii) upon the effectiveness of each Registration Statement, one (1) electronic copy of the Prospectus included in such Registration Statement and all amendments and supplements thereto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take such action as is reasonably necessary to (i) register and qualify, unless an exemption from registration and qualification applies, the resale by the Investor of the Registrable Securities,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Company shall not be required in connection therewith or as a condition thereto to (x)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light of the circumstances under which they were made, not misleading (provided, that in no event shall such notice contain any material nonpublic information regarding the Company or any of its Subsidiaries), and, subject to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promptly prepare a supplement or amendment to such Registration Statement and such Prospectus contained therein to correct such untrue statement or omission.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(with read receipt)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 Nothing in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shall limit any obligation of the Company under the Purchase Agreement or the Note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use its commercially reasonable best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Without limiting any obligation of the Company under the Purchase Agreement or the Note Purchase Agreement, the Company shall use its commercially reasonable best efforts either to (i) cause all of the Registrable Securities covered by each Registration Statement to be listed on the Principal Market (as defined in the Purchase Agreement), or (ii) secure designation and quotation of all of the Registrable Securities covered by each Registration Statement on another Eligible Market (as defined in the Purchase Agreement). The Company shall pay all fees and expenses in connection with satisfying its obligation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cooperate with the Investor and, to the extent applicable, use its commercially reasonable best efforts to facilitate the timely preparation and delivery of Registrable Securities, as DWAC Shares (as defined in the Purchase Agreement), to be offered pursuant to a Registration Statement and enable such DWAC Shares to be in such denominations or amounts (as the case may be) as the Investor may reasonably request from time to time.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(except as otherwise required by applicable federal laws) and may be transmitted by the transfer agent to the Investor by crediting an account at DTC as directed in writing by the Investor.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Upon the written request of the Investor, the Company shall, as soon as reasonably practicable after receipt of notice from the Investor, and subject to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otherwise use its commercially reasonable efforts to comply with all applicable rules and regulations of the Commission in connection with any registration 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Notwithstanding anything to the contrary contained herein (but subject to the last sentence of this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at any time, the Company may, upon written notice to Investor, delay the filing or effectiveness of any Registration Statement, 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determines that in order for such Registration Statement or Prospectus not to contain a material misstatement or omission, (i) an amendment or supplement thereto would be needed to include information at that time, (ii) the negotiation or consummation of a transaction by the Company or its subsidiaries is pending or an event has occurred, which negotiation, consummation or event the Company’s board of directors reasonably believes would require additional disclosure by the Company in such Registration Statement or Prospectus of material information that the Company has a bona fide business purpose for keeping confidential and the non-disclosure of which in such Registration Statement or Prospectus would be expected, in the reasonable determination of the Company’s board of directors, to cause such Registration Statement or Prospectus to fail to comply with applicable disclosure requirements of the Commission, or (iii) in the good faith judgment of the majority of the members of the Company’s board of directors, such filing or effectiveness or use of such Registration Statement or Prospectus, as applicable, would be materially detrimental to the Company and, as a result, that it is essential to defer such filing, effectiveness or use (each, an “</w:t>
      </w:r>
      <w:r>
        <w:rPr>
          <w:rFonts w:ascii="Times New Roman;Times;Serif" w:hAnsi="Times New Roman;Times;Serif"/>
          <w:b/>
          <w:i/>
          <w:caps w:val="false"/>
          <w:smallCaps w:val="false"/>
          <w:sz w:val="20"/>
          <w:u w:val="single"/>
        </w:rPr>
        <w:t>Allowable Grace Period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no event shall the Company delay or suspend the filing, effectiveness, or use of any Registration Statement or Prospectus for a period that exceeds 30 consecutive Business Days or an aggregate of 75 total Business Days in any 365-day period;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the Company shall not effect any such suspension during the applicable valuation period following the applicable purchase notice date for any Purchase Notice Shares. Upon disclosure of such information or the termination of the condition described above, the Company shall provide prompt notice, but in any event within one Business Day of such disclosure or termination, to the Investor and shall promptly terminate any suspension or delay it has put into effect and shall take such other reasonable actions to permit registered sales of Registrable Securities as contemplated in this Agreement (including as set forth in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with respect to the information giving rise thereto unless such material nonpublic information is no longer applicable). Notwithstanding anything to the contrary contained in this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the Company shall cause its transfer agent to deliver DWAC Shares to a transferee of the Investor in accordance with the terms of the Purchase Agreement or Note Purchase Agreement, as applicable,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shall at all times maintain the services of the Transfer Agent (as defined in the Note Purchase Agreement) and DTC (as defined in the Note Purchase Agreement) with respect to the administration of its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0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780" w:type="dxa"/>
            <w:tcBorders/>
            <w:vAlign w:val="center"/>
          </w:tcPr>
          <w:p>
            <w:pPr>
              <w:pStyle w:val="TableContents"/>
              <w:bidi w:val="0"/>
              <w:spacing w:before="0" w:after="283"/>
              <w:jc w:val="both"/>
              <w:rPr>
                <w:b/>
              </w:rPr>
            </w:pPr>
            <w:r>
              <w:rPr>
                <w:b/>
                <w:u w:val="single"/>
              </w:rPr>
              <w:t>Obligations of the Investor</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Investor agrees that,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or the first sentence of </w:t>
      </w:r>
      <w:r>
        <w:rPr>
          <w:rFonts w:ascii="Times New Roman;Times;Serif" w:hAnsi="Times New Roman;Times;Serif"/>
          <w:b w:val="false"/>
          <w:i w:val="false"/>
          <w:caps w:val="false"/>
          <w:smallCaps w:val="false"/>
          <w:sz w:val="20"/>
          <w:u w:val="single"/>
        </w:rPr>
        <w:t>3(f)</w:t>
      </w:r>
      <w:r>
        <w:rPr>
          <w:rFonts w:ascii="Times New Roman;Times;Serif" w:hAnsi="Times New Roman;Times;Serif"/>
          <w:b w:val="false"/>
          <w:i w:val="false"/>
          <w:caps w:val="false"/>
          <w:smallCaps w:val="false"/>
          <w:sz w:val="20"/>
        </w:rPr>
        <w:t xml:space="preserve">, the Investor shall (i) immediately discontinue disposition of Registrable Securities pursuant to any Registration Statement(s) covering such Registrable Securities until the Investor’s receipt of the copies of the supplemented or amended Prospectus contemplated by </w:t>
      </w:r>
      <w:r>
        <w:rPr>
          <w:rFonts w:ascii="Times New Roman;Times;Serif" w:hAnsi="Times New Roman;Times;Serif"/>
          <w:b w:val="false"/>
          <w:i w:val="false"/>
          <w:caps w:val="false"/>
          <w:smallCaps w:val="false"/>
          <w:sz w:val="20"/>
          <w:u w:val="single"/>
        </w:rPr>
        <w:t xml:space="preserve">Section 3(o) </w:t>
      </w:r>
      <w:r>
        <w:rPr>
          <w:rFonts w:ascii="Times New Roman;Times;Serif" w:hAnsi="Times New Roman;Times;Serif"/>
          <w:b w:val="false"/>
          <w:i w:val="false"/>
          <w:caps w:val="false"/>
          <w:smallCaps w:val="false"/>
          <w:sz w:val="20"/>
        </w:rPr>
        <w:t xml:space="preserve">or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or receipt of notice that no supplement or amendment is required and (ii) maintain the confidentiality of any information included in such notice delivered by the Company unless otherwise required by law or subpoena. Notwithstanding anything to the contrary in this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the Company shall cause its transfer agent to deliver DWAC Shares to a transferee of the Investor in accordance with the terms of the Purchase Agreement or the Note Purchase Agreement, as applicable, in connection with any sale of Registrable Securities with respect to which the Investor has entered into a contract for sale prior to the Investor’s receipt of a notice from the Company of the happening of any event of the kind described in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or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and for which the Investor has not yet settled.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Investor covenants and agrees that it shall comply with the prospectus delivery and other requirements of the Securities Act as applicable to it in connection with sales of Registrable Securities pursuant to a Registration Statement.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600" w:type="dxa"/>
            <w:tcBorders/>
            <w:vAlign w:val="center"/>
          </w:tcPr>
          <w:p>
            <w:pPr>
              <w:pStyle w:val="TableContents"/>
              <w:bidi w:val="0"/>
              <w:spacing w:before="0" w:after="283"/>
              <w:jc w:val="both"/>
              <w:rPr>
                <w:b/>
              </w:rPr>
            </w:pPr>
            <w:r>
              <w:rPr>
                <w:b/>
                <w:u w:val="single"/>
              </w:rPr>
              <w:t>Expenses of Registration</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reasonable expenses of the Company, other than sales or brokerage commissions and fees and disbursements of counsel for, and other expenses of, the Investor, incurred in connection with registrations, filings or qualifications pursuant to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including, without limitation, all registration, listing and qualifications fees, printers and accounting fees incurred by the Company, and fees and disbursements of counsel for the Company, shall be paid by the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0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1700" w:type="dxa"/>
            <w:tcBorders/>
            <w:vAlign w:val="center"/>
          </w:tcPr>
          <w:p>
            <w:pPr>
              <w:pStyle w:val="TableContents"/>
              <w:bidi w:val="0"/>
              <w:spacing w:before="0" w:after="283"/>
              <w:jc w:val="both"/>
              <w:rPr>
                <w:b/>
              </w:rPr>
            </w:pPr>
            <w:r>
              <w:rPr>
                <w:b/>
                <w:u w:val="single"/>
              </w:rPr>
              <w:t>Indemnification</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the Investor, each of its directors, officers, shareholders, members, partners, employees, agents,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representatives (and any other Persons with a functionally equivalent role of a Person holding such titles notwithstanding the lack of such title or any other title) of such controlling Persons (each, an “</w:t>
      </w:r>
      <w:r>
        <w:rPr>
          <w:rFonts w:ascii="Times New Roman;Times;Serif" w:hAnsi="Times New Roman;Times;Serif"/>
          <w:b/>
          <w:i/>
          <w:caps w:val="false"/>
          <w:smallCaps w:val="false"/>
          <w:sz w:val="20"/>
          <w:u w:val="single"/>
        </w:rPr>
        <w:t>Investor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u w:val="single"/>
        </w:rPr>
        <w:t>Investor Partie</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Times New Roman;Times;Serif" w:hAnsi="Times New Roman;Times;Serif"/>
          <w:b/>
          <w:i/>
          <w:caps w:val="false"/>
          <w:smallCaps w:val="false"/>
          <w:sz w:val="20"/>
          <w:u w:val="single"/>
        </w:rPr>
        <w:t>Claims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Times New Roman;Times;Serif" w:hAnsi="Times New Roman;Times;Serif"/>
          <w:b/>
          <w:i/>
          <w:caps w:val="false"/>
          <w:smallCaps w:val="false"/>
          <w:sz w:val="20"/>
          <w:u w:val="single"/>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i/>
          <w:caps w:val="false"/>
          <w:smallCaps w:val="false"/>
          <w:sz w:val="20"/>
          <w:u w:val="single"/>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light of the circumstances under which the statements therein were made, not misleading (the matters in the foregoing clauses (i) and (ii) being, collectively, “</w:t>
      </w:r>
      <w:r>
        <w:rPr>
          <w:rFonts w:ascii="Times New Roman;Times;Serif" w:hAnsi="Times New Roman;Times;Serif"/>
          <w:b/>
          <w:i/>
          <w:caps w:val="false"/>
          <w:smallCaps w:val="false"/>
          <w:sz w:val="20"/>
          <w:u w:val="single"/>
        </w:rPr>
        <w:t>Violations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the Company shall reimburse the Investor Parties,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(i) shall not apply to a Claim by an Investor Party arising out of or based upon a Violation which occurs (A) as a result of the Investor Party’s affirmatively adjudicated fraud, bad faith, negligence or misconduct, or (B)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only written information expressly confirmed and consented to in writing by the Investor as furnished by the Investor for use in any Registration Statement, Prospectus or Prospectus Supplement shall be utilized by the Company for such purposes);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Registration Statement in which the Investor is participating, the Investor agrees to severally and not jointly indemnify, hold harmless and defend, to the same extent and in the same manner as is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the Company, each of its directors, each of its officers who signs the Registration Statement and each Person, if any, who controls the Company within the meaning of the Securities Act or the Exchange Act (each, an “</w:t>
      </w:r>
      <w:r>
        <w:rPr>
          <w:rFonts w:ascii="Times New Roman;Times;Serif" w:hAnsi="Times New Roman;Times;Serif"/>
          <w:b/>
          <w:i/>
          <w:caps w:val="false"/>
          <w:smallCaps w:val="false"/>
          <w:sz w:val="20"/>
          <w:u w:val="single"/>
        </w:rPr>
        <w:t>Company Party</w:t>
      </w:r>
      <w:r>
        <w:rPr>
          <w:rFonts w:ascii="Times New Roman;Times;Serif" w:hAnsi="Times New Roman;Times;Serif"/>
          <w:b w:val="false"/>
          <w:i w:val="false"/>
          <w:caps w:val="false"/>
          <w:smallCaps w:val="false"/>
          <w:sz w:val="20"/>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only written information expressly confirmed and consented to in writing by the Investor as furnished by the Investor for use in any Registration Statement, Prospectus or Prospectus Supplement shall be utilized by the Company for such purposes); and, subject to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and the below provisos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the Investor shall reimburse a Company Party any legal or other expenses reasonably incurred by such Company Party in connection with investigating or defending any such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indemnity agreement contained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and the agreement with respect to contribution contained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not apply to amounts paid in settlement of any Claim if such settlement is effected without the prior written consent of the Investor, which consent shall not be unreasonably withheld or delayed;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Investor shall be liable under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for only that amount of a Claim or Indemnified Damages as does not exceed the net proceeds to the Investor as a result of the applicable sale of Registrable Securities by the Investor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Investor Party or Company Party (as the case may be)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an Investor Party or Company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w:t>
      </w:r>
      <w:r>
        <w:rPr>
          <w:rFonts w:ascii="Times New Roman;Times;Serif" w:hAnsi="Times New Roman;Times;Serif"/>
          <w:b w:val="false"/>
          <w:i w:val="false"/>
          <w:caps w:val="false"/>
          <w:smallCaps w:val="false"/>
          <w:sz w:val="20"/>
          <w:u w:val="single"/>
        </w:rPr>
        <w:t>Sections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6(b)</w:t>
      </w:r>
      <w:r>
        <w:rPr>
          <w:rFonts w:ascii="Times New Roman;Times;Serif" w:hAnsi="Times New Roman;Times;Serif"/>
          <w:b w:val="false"/>
          <w:i w:val="false"/>
          <w:caps w:val="false"/>
          <w:smallCaps w:val="false"/>
          <w:sz w:val="20"/>
        </w:rPr>
        <w:t xml:space="preserve">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except to the extent that the indemnifying party is materially and adversely prejudiced in its ability to defend such 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indemnification required by this Section 6 shall be made by periodic payments of the amount thereof during the course of the investigation or defense, as and when bills are received or Indemnified Damages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0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430" w:type="dxa"/>
            <w:tcBorders/>
            <w:vAlign w:val="center"/>
          </w:tcPr>
          <w:p>
            <w:pPr>
              <w:pStyle w:val="TableContents"/>
              <w:bidi w:val="0"/>
              <w:spacing w:before="0" w:after="283"/>
              <w:jc w:val="both"/>
              <w:rPr>
                <w:b/>
              </w:rPr>
            </w:pPr>
            <w:r>
              <w:rPr>
                <w:b/>
                <w:u w:val="single"/>
              </w:rPr>
              <w:t>Contribution</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by reason of such untrue or alleged untrue statement or omission or alleged omission.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0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485" w:type="dxa"/>
            <w:tcBorders/>
            <w:vAlign w:val="center"/>
          </w:tcPr>
          <w:p>
            <w:pPr>
              <w:pStyle w:val="TableContents"/>
              <w:bidi w:val="0"/>
              <w:spacing w:before="0" w:after="283"/>
              <w:jc w:val="both"/>
              <w:rPr>
                <w:b/>
              </w:rPr>
            </w:pPr>
            <w:r>
              <w:rPr>
                <w:b/>
                <w:u w:val="single"/>
              </w:rPr>
              <w:t>Reports Under the Exchange Act</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the Company agrees 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its commercially reasonable efforts to make and keep public information available, as those terms are understood and defined in Rule 144;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or the Note Purchase Agreement) and the filing of such reports and other documents is required for the applicable provisions of Rule 144;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0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560" w:type="dxa"/>
            <w:tcBorders/>
            <w:vAlign w:val="center"/>
          </w:tcPr>
          <w:p>
            <w:pPr>
              <w:pStyle w:val="TableContents"/>
              <w:bidi w:val="0"/>
              <w:spacing w:before="0" w:after="283"/>
              <w:jc w:val="both"/>
              <w:rPr>
                <w:b/>
              </w:rPr>
            </w:pPr>
            <w:r>
              <w:rPr>
                <w:b/>
                <w:u w:val="single"/>
              </w:rPr>
              <w:t>Assignment of Registration Rights</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Investor shall assign this Agreement or any of their respective rights or obligations hereunder.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32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2450" w:type="dxa"/>
            <w:tcBorders/>
            <w:vAlign w:val="center"/>
          </w:tcPr>
          <w:p>
            <w:pPr>
              <w:pStyle w:val="TableContents"/>
              <w:bidi w:val="0"/>
              <w:spacing w:before="0" w:after="283"/>
              <w:jc w:val="both"/>
              <w:rPr>
                <w:b/>
              </w:rPr>
            </w:pPr>
            <w:r>
              <w:rPr>
                <w:b/>
                <w:u w:val="single"/>
              </w:rPr>
              <w:t>Amendment or Waiver</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32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505" w:type="dxa"/>
            <w:tcBorders/>
            <w:vAlign w:val="center"/>
          </w:tcPr>
          <w:p>
            <w:pPr>
              <w:pStyle w:val="TableContents"/>
              <w:bidi w:val="0"/>
              <w:spacing w:before="0" w:after="283"/>
              <w:jc w:val="both"/>
              <w:rPr>
                <w:b/>
              </w:rPr>
            </w:pPr>
            <w:r>
              <w:rPr>
                <w:b/>
                <w:u w:val="single"/>
              </w:rPr>
              <w:t>Miscellaneous</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notices, consents, waivers, or other communications required or permitted to be given under the terms of this Agreement shall be given in accordance with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of the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questions concerning the governing law, construction, validity, enforcement, arbitration, dispute resolution and interpretation of this Agreement shall be under the same terms as set forth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the Purchase Agreement, including, without limitation,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10.16</w:t>
      </w:r>
      <w:r>
        <w:rPr>
          <w:rFonts w:ascii="Times New Roman;Times;Serif" w:hAnsi="Times New Roman;Times;Serif"/>
          <w:b w:val="false"/>
          <w:i w:val="false"/>
          <w:caps w:val="false"/>
          <w:smallCaps w:val="false"/>
          <w:sz w:val="20"/>
        </w:rPr>
        <w:t xml:space="preserve"> thereunder.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Transaction Documents set forth the entire agreement and understanding of the parties solely with respect to the subject matter thereof and supersedes all prior and contemporaneous agreements, negotiations and understandings between the parties, both oral and written, solely with respect to such matters. There are no promises, undertakings, representations or warranties by either party relative to the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purchase contained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the Purchase Agreement or (ii) any of the Company’s obligations under the Purchase Agreement or the Note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hereof (and in such case, solely for the purposes set forth therein).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language used in this Agreement will be deemed to be the language chosen by the parties to express their mutual intent and no rules of strict construction will be applied against any party.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32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370" w:type="dxa"/>
            <w:tcBorders/>
            <w:vAlign w:val="center"/>
          </w:tcPr>
          <w:p>
            <w:pPr>
              <w:pStyle w:val="TableContents"/>
              <w:bidi w:val="0"/>
              <w:spacing w:before="0" w:after="283"/>
              <w:jc w:val="both"/>
              <w:rPr>
                <w:b/>
              </w:rPr>
            </w:pPr>
            <w:r>
              <w:rPr>
                <w:b/>
                <w:u w:val="single"/>
              </w:rPr>
              <w:t>Termination</w:t>
            </w:r>
            <w:r>
              <w:rPr>
                <w:b/>
              </w:rPr>
              <w: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terminate in its entirety upon the date on which the Investor shall no longer hold any Registrable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shall remain in full force and effect for the longest period under applicable laws.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ignature Pages Follow</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Investor and the Company have caused their respective signature page to this Registration Rights Agreement to be duly executed as of the Execution Date.</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COMPANY</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Edmund Nabrotzky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0" w:type="dxa"/>
          <w:right w:w="0" w:type="dxa"/>
        </w:tblCellMar>
      </w:tblPr>
      <w:tblGrid>
        <w:gridCol w:w="75"/>
        <w:gridCol w:w="351"/>
        <w:gridCol w:w="2278"/>
      </w:tblGrid>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INVESTOR</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WHITE LION CAPITAL LLC</w:t>
            </w:r>
          </w:p>
        </w:tc>
      </w:tr>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2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Yash Thukral</w:t>
            </w:r>
          </w:p>
        </w:tc>
      </w:tr>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Yash Thukral, JD</w:t>
            </w:r>
          </w:p>
        </w:tc>
      </w:tr>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28687601_ex10-3.htm"/>
      <w:bookmarkStart w:id="34" w:name="ksea028687601_ex103"/>
      <w:bookmarkEnd w:id="33"/>
      <w:bookmarkEnd w:id="34"/>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Execution Version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NOTE PURCHASE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April 17, 2026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xml:space="preserve">”), is entered into by and between </w:t>
      </w:r>
      <w:r>
        <w:rPr>
          <w:rFonts w:ascii="Times New Roman;Times;Serif" w:hAnsi="Times New Roman;Times;Serif"/>
          <w:b/>
          <w:i w:val="false"/>
          <w:caps/>
          <w:sz w:val="20"/>
        </w:rPr>
        <w:t>CID HOLDCO,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ml:space="preserve">”). Each capitalized term used herein shall have the meaning ascribed thereto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below, or as otherwise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Buyer are executing and delivering this Agreement in reliance upon an exemption from securities registration afforded by the rules and regulations as promulgated by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Buyer desires to purchase and the Company desires to issue and sell, upon the terms and conditions set forth in this Agreement senior secured convertible promissory notes of the Company,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up to an aggregate principal amount of $2,875,000 as set forth on the </w:t>
      </w:r>
      <w:r>
        <w:rPr>
          <w:rFonts w:ascii="Times New Roman;Times;Serif" w:hAnsi="Times New Roman;Times;Serif"/>
          <w:b w:val="false"/>
          <w:i w:val="false"/>
          <w:caps w:val="false"/>
          <w:smallCaps w:val="false"/>
          <w:sz w:val="20"/>
          <w:u w:val="single"/>
        </w:rPr>
        <w:t>Issuance Schedule</w:t>
      </w:r>
      <w:r>
        <w:rPr>
          <w:rFonts w:ascii="Times New Roman;Times;Serif" w:hAnsi="Times New Roman;Times;Serif"/>
          <w:b w:val="false"/>
          <w:i w:val="false"/>
          <w:caps w:val="false"/>
          <w:smallCaps w:val="false"/>
          <w:sz w:val="20"/>
        </w:rPr>
        <w:t xml:space="preserve"> attached hereto (such notes, together with any note(s) issued in replacement thereof or as a dividend thereon or otherwise with respect thereto in accordance with the terms thereof,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convertible into shares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of common stock, $0.0001 par value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pursuant to the terms of the Notes;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an inducement to enter into this Agreement, the Company has agreed to enter into that certain Common Stock Purchase Agreement by and between the Company and Buyer, dated April 17, 2026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ELOC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contained in this Agreement, and for other good and valuable consideration, the receipt and adequacy of which are hereby acknowledged, the Company and the Buyer hereby agree as follows: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3"/>
        <w:gridCol w:w="9690"/>
      </w:tblGrid>
      <w:tr>
        <w:trPr/>
        <w:tc>
          <w:tcPr>
            <w:tcW w:w="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1.</w:t>
            </w:r>
          </w:p>
        </w:tc>
        <w:tc>
          <w:tcPr>
            <w:tcW w:w="9690" w:type="dxa"/>
            <w:tcBorders/>
            <w:vAlign w:val="center"/>
          </w:tcPr>
          <w:p>
            <w:pPr>
              <w:pStyle w:val="TableContents"/>
              <w:bidi w:val="0"/>
              <w:spacing w:before="0" w:after="283"/>
              <w:jc w:val="both"/>
              <w:rPr>
                <w:u w:val="single"/>
              </w:rPr>
            </w:pPr>
            <w:r>
              <w:rPr>
                <w:u w:val="single"/>
              </w:rPr>
              <w:t>PURCHASE AND SALE OF SECURITIES.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276"/>
        <w:gridCol w:w="7615"/>
      </w:tblGrid>
      <w:tr>
        <w:trPr/>
        <w:tc>
          <w:tcPr>
            <w:tcW w:w="31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pPr>
            <w:r>
              <w:rPr/>
              <w:t>(a)</w:t>
            </w:r>
          </w:p>
        </w:tc>
        <w:tc>
          <w:tcPr>
            <w:tcW w:w="7615" w:type="dxa"/>
            <w:tcBorders/>
            <w:vAlign w:val="center"/>
          </w:tcPr>
          <w:p>
            <w:pPr>
              <w:pStyle w:val="TableContents"/>
              <w:bidi w:val="0"/>
              <w:spacing w:before="0" w:after="283"/>
              <w:jc w:val="both"/>
              <w:rPr/>
            </w:pPr>
            <w:r>
              <w:rPr>
                <w:u w:val="single"/>
              </w:rPr>
              <w:t>Closings</w:t>
            </w:r>
            <w:r>
              <w:rPr/>
              <w:t>.</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 xml:space="preserve">On the First Closing Date (as defined below), the Company shall sell and issue to the Buyer and the Buyer shall purchase a Note in such principal amount, and for such funding price, as set forth on the </w:t>
            </w:r>
            <w:r>
              <w:rPr>
                <w:u w:val="single"/>
              </w:rPr>
              <w:t>Issuance Schedule</w:t>
            </w:r>
            <w:r>
              <w:rPr/>
              <w:t xml:space="preserve"> under “First Closing” (the “</w:t>
            </w:r>
            <w:r>
              <w:rPr>
                <w:u w:val="single"/>
              </w:rPr>
              <w:t>First Closing</w:t>
            </w:r>
            <w:r>
              <w:rPr/>
              <w:t>”), which such funding amount shall be $230,000 for the First Closing (the “</w:t>
            </w:r>
            <w:r>
              <w:rPr>
                <w:u w:val="single"/>
              </w:rPr>
              <w:t>Funding Amount</w:t>
            </w:r>
            <w:r>
              <w:rPr/>
              <w:t>”). The date on which Buyer funds such Note shall be the “</w:t>
            </w:r>
            <w:r>
              <w:rPr>
                <w:u w:val="single"/>
              </w:rPr>
              <w:t>First Funding Date</w:t>
            </w:r>
            <w:r>
              <w:rPr/>
              <w:t>.”</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 xml:space="preserve">Subject to the mutual discretion and mutual written authorization of the Company and the Buyer, on each Subsequent Closing Date (as defined below), the Company shall sell and issue to the Buyer and the Buyer shall purchase a Note in such principal amount, and for such funding price, set forth on the </w:t>
            </w:r>
            <w:r>
              <w:rPr>
                <w:u w:val="single"/>
              </w:rPr>
              <w:t>Issuance Schedule</w:t>
            </w:r>
            <w:r>
              <w:rPr/>
              <w:t xml:space="preserve"> under “Subsequent Closings” (the “</w:t>
            </w:r>
            <w:r>
              <w:rPr>
                <w:u w:val="single"/>
              </w:rPr>
              <w:t>Subsequent Closings</w:t>
            </w:r>
            <w:r>
              <w:rPr/>
              <w:t>”), which such funding amount shall be equal to the Funding Amount. Each date on which Buyer funds any such Note shall be a “</w:t>
            </w:r>
            <w:r>
              <w:rPr>
                <w:u w:val="single"/>
              </w:rPr>
              <w:t>Subsequent Funding Date</w:t>
            </w:r>
            <w:r>
              <w:rPr/>
              <w:t>.” Each of the First Closing and the Subsequent Closings shall be referred to herein as a “</w:t>
            </w:r>
            <w:r>
              <w:rPr>
                <w:u w:val="single"/>
              </w:rPr>
              <w:t>Closing</w:t>
            </w:r>
            <w:r>
              <w:rPr/>
              <w:t>.” Each of the First Funding Date and the Subsequent Funding Dates shall be referred to herein as a “</w:t>
            </w:r>
            <w:r>
              <w:rPr>
                <w:u w:val="single"/>
              </w:rPr>
              <w:t>Funding Date</w:t>
            </w:r>
            <w:r>
              <w:rPr/>
              <w:t>.”</w:t>
            </w:r>
          </w:p>
        </w:tc>
      </w:tr>
    </w:tbl>
    <w:p>
      <w:pPr>
        <w:pStyle w:val="TextBody"/>
        <w:bidi w:val="0"/>
        <w:spacing w:before="0" w:after="0"/>
        <w:ind w:left="2880" w:right="0" w:hanging="81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(iii)</w:t>
            </w:r>
          </w:p>
        </w:tc>
        <w:tc>
          <w:tcPr>
            <w:tcW w:w="9874" w:type="dxa"/>
            <w:tcBorders/>
            <w:vAlign w:val="center"/>
          </w:tcPr>
          <w:p>
            <w:pPr>
              <w:pStyle w:val="TableContents"/>
              <w:bidi w:val="0"/>
              <w:spacing w:before="0" w:after="283"/>
              <w:jc w:val="both"/>
              <w:rPr/>
            </w:pPr>
            <w:r>
              <w:rPr/>
              <w:t>For the avoidance of doubt, (A) neither the Company or the Buyer shall have any obligation to sell, issue, or purchase any Note pursuant to any Subsequent Closing on an Optional Subsequent Closing Date, and (B) each Subsequent Funding shall require affirmative, mutual written authorization of the Company and the Buyer at the time of such Subsequent Funding.</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683"/>
        <w:gridCol w:w="8302"/>
      </w:tblGrid>
      <w:tr>
        <w:trPr/>
        <w:tc>
          <w:tcPr>
            <w:tcW w:w="22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pPr>
            <w:r>
              <w:rPr/>
              <w:t>(b)</w:t>
            </w:r>
          </w:p>
        </w:tc>
        <w:tc>
          <w:tcPr>
            <w:tcW w:w="8302" w:type="dxa"/>
            <w:tcBorders/>
            <w:vAlign w:val="center"/>
          </w:tcPr>
          <w:p>
            <w:pPr>
              <w:pStyle w:val="TableContents"/>
              <w:bidi w:val="0"/>
              <w:spacing w:before="0" w:after="283"/>
              <w:jc w:val="both"/>
              <w:rPr/>
            </w:pPr>
            <w:r>
              <w:rPr>
                <w:u w:val="single"/>
              </w:rPr>
              <w:t>Closing Dates</w:t>
            </w:r>
            <w:r>
              <w:rPr/>
              <w:t>.</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 xml:space="preserve">Subject to the mutual written authorization of the Company and the Buyer and the satisfaction (or written waiver) of the conditions set forth in </w:t>
            </w:r>
            <w:r>
              <w:rPr>
                <w:u w:val="single"/>
              </w:rPr>
              <w:t>Section 7</w:t>
            </w:r>
            <w:r>
              <w:rPr/>
              <w:t xml:space="preserve"> and </w:t>
            </w:r>
            <w:r>
              <w:rPr>
                <w:u w:val="single"/>
              </w:rPr>
              <w:t>Section 8</w:t>
            </w:r>
            <w:r>
              <w:rPr/>
              <w:t xml:space="preserve"> below, the date of the purchase, issuance and sale of the Note constituting the First Closing pursuant to this Agreement (the “</w:t>
            </w:r>
            <w:r>
              <w:rPr>
                <w:u w:val="single"/>
              </w:rPr>
              <w:t>First Closing Date</w:t>
            </w:r>
            <w:r>
              <w:rPr/>
              <w:t xml:space="preserve">”) shall be within one (1) Trading Day (i) after the date of the Company’s filing of the Registration Statement with the SEC (as described and defined under </w:t>
            </w:r>
            <w:r>
              <w:rPr>
                <w:u w:val="single"/>
              </w:rPr>
              <w:t>Section 5(f)</w:t>
            </w:r>
            <w:r>
              <w:rPr/>
              <w:t xml:space="preserve"> below) and (ii) after the date of the Company’s filing of the Preliminary Proxy Statement with the SEC (as described and defined in </w:t>
            </w:r>
            <w:r>
              <w:rPr>
                <w:u w:val="single"/>
              </w:rPr>
              <w:t>Section 5(g)</w:t>
            </w:r>
            <w:r>
              <w:rPr/>
              <w:t xml:space="preserve"> below).</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 xml:space="preserve">Subject to the mutual written authorization of the Company and the Buyer and the satisfaction (or written waiver) of the conditions set forth in </w:t>
            </w:r>
            <w:r>
              <w:rPr>
                <w:u w:val="single"/>
              </w:rPr>
              <w:t>Section 7</w:t>
            </w:r>
            <w:r>
              <w:rPr/>
              <w:t xml:space="preserve"> and </w:t>
            </w:r>
            <w:r>
              <w:rPr>
                <w:u w:val="single"/>
              </w:rPr>
              <w:t>Section 8</w:t>
            </w:r>
            <w:r>
              <w:rPr/>
              <w:t xml:space="preserve"> below, the date of the purchase, issuance and sale of the Note constituting the Subsequent Closing immediately following the First Closing Date (the “</w:t>
            </w:r>
            <w:r>
              <w:rPr>
                <w:u w:val="single"/>
              </w:rPr>
              <w:t>First Required Subsequent Closing Date</w:t>
            </w:r>
            <w:r>
              <w:rPr/>
              <w:t xml:space="preserve">”) shall occur on the date that is the later of (i) the date that is one (1) month after the First Closing Date, (ii) the date that is one (1) Trading Day after the date the Registration Statement (defined in </w:t>
            </w:r>
            <w:r>
              <w:rPr>
                <w:u w:val="single"/>
              </w:rPr>
              <w:t>Section 5(f)</w:t>
            </w:r>
            <w:r>
              <w:rPr/>
              <w:t xml:space="preserve"> below) is declared effective by the SEC, and (ii) the date that is one (1) Trading Day after the date on which Stockholder Approval (as defined in </w:t>
            </w:r>
            <w:r>
              <w:rPr>
                <w:u w:val="single"/>
              </w:rPr>
              <w:t>Section 5(g)</w:t>
            </w:r>
            <w:r>
              <w:rPr/>
              <w:t xml:space="preserve"> below) is obtained.</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(iii)</w:t>
            </w:r>
          </w:p>
        </w:tc>
        <w:tc>
          <w:tcPr>
            <w:tcW w:w="9886" w:type="dxa"/>
            <w:tcBorders/>
            <w:vAlign w:val="center"/>
          </w:tcPr>
          <w:p>
            <w:pPr>
              <w:pStyle w:val="TableContents"/>
              <w:bidi w:val="0"/>
              <w:spacing w:before="0" w:after="283"/>
              <w:jc w:val="both"/>
              <w:rPr/>
            </w:pPr>
            <w:r>
              <w:rPr/>
              <w:t xml:space="preserve">Subject to the mutual written authorization of the Company and the Buyer and the satisfaction (or written waiver) of the conditions set forth in </w:t>
            </w:r>
            <w:r>
              <w:rPr>
                <w:u w:val="single"/>
              </w:rPr>
              <w:t>Section 7</w:t>
            </w:r>
            <w:r>
              <w:rPr/>
              <w:t xml:space="preserve"> and </w:t>
            </w:r>
            <w:r>
              <w:rPr>
                <w:u w:val="single"/>
              </w:rPr>
              <w:t>Section 8</w:t>
            </w:r>
            <w:r>
              <w:rPr/>
              <w:t xml:space="preserve"> below, the dates of the purchase, issuance and sale of the Note constituting the Subsequent Closing immediately following the First Required Subsequent Closing Date (the “</w:t>
            </w:r>
            <w:r>
              <w:rPr>
                <w:u w:val="single"/>
              </w:rPr>
              <w:t>Second Required Subsequent Closing Date</w:t>
            </w:r>
            <w:r>
              <w:rPr/>
              <w:t>” and together with the First Required Subsequent Closing Date, the “</w:t>
            </w:r>
            <w:r>
              <w:rPr>
                <w:u w:val="single"/>
              </w:rPr>
              <w:t>Required Subsequent Closing Dates</w:t>
            </w:r>
            <w:r>
              <w:rPr/>
              <w:t xml:space="preserve">”) shall occur on the date that is the later of (i) the date that is two (2) months after the First Closing Date, (ii) the date that is one (1) Trading Day after the date the Registration Statement (defined in </w:t>
            </w:r>
            <w:r>
              <w:rPr>
                <w:u w:val="single"/>
              </w:rPr>
              <w:t>Section 5(f)</w:t>
            </w:r>
            <w:r>
              <w:rPr/>
              <w:t xml:space="preserve"> below) is declared effective by the SEC, and (ii) the date that is one (1) Trading Day after the date on which Stockholder Approval (as defined in </w:t>
            </w:r>
            <w:r>
              <w:rPr>
                <w:u w:val="single"/>
              </w:rPr>
              <w:t>Section 5(g)</w:t>
            </w:r>
            <w:r>
              <w:rPr/>
              <w:t xml:space="preserve"> below) is obtained.</w:t>
            </w:r>
          </w:p>
        </w:tc>
      </w:tr>
    </w:tbl>
    <w:p>
      <w:pPr>
        <w:pStyle w:val="TextBody"/>
        <w:bidi w:val="0"/>
        <w:spacing w:before="0" w:after="0"/>
        <w:ind w:left="288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(iv)</w:t>
            </w:r>
          </w:p>
        </w:tc>
        <w:tc>
          <w:tcPr>
            <w:tcW w:w="9881" w:type="dxa"/>
            <w:tcBorders/>
            <w:vAlign w:val="center"/>
          </w:tcPr>
          <w:p>
            <w:pPr>
              <w:pStyle w:val="TableContents"/>
              <w:bidi w:val="0"/>
              <w:spacing w:before="0" w:after="283"/>
              <w:jc w:val="both"/>
              <w:rPr/>
            </w:pPr>
            <w:r>
              <w:rPr/>
              <w:t xml:space="preserve">Subject to the mutual written authorization of the Company and the Buyer and the satisfaction (or written waiver) of the conditions set forth in </w:t>
            </w:r>
            <w:r>
              <w:rPr>
                <w:u w:val="single"/>
              </w:rPr>
              <w:t>Section 7</w:t>
            </w:r>
            <w:r>
              <w:rPr/>
              <w:t xml:space="preserve"> and </w:t>
            </w:r>
            <w:r>
              <w:rPr>
                <w:u w:val="single"/>
              </w:rPr>
              <w:t>Section 8</w:t>
            </w:r>
            <w:r>
              <w:rPr/>
              <w:t xml:space="preserve"> below, the dates of the purchase, issuance and sale of any Note constituting any Subsequent Closing following the Second Required Subsequent Closing Date (each, an “</w:t>
            </w:r>
            <w:r>
              <w:rPr>
                <w:u w:val="single"/>
              </w:rPr>
              <w:t>Optional Subsequent Closing Date</w:t>
            </w:r>
            <w:r>
              <w:rPr/>
              <w:t>”, and together with the Required Subsequent Closing Dates, the “</w:t>
            </w:r>
            <w:r>
              <w:rPr>
                <w:u w:val="single"/>
              </w:rPr>
              <w:t>Subsequent Closing Dates</w:t>
            </w:r>
            <w:r>
              <w:rPr/>
              <w:t>”) shall occur on such date as is mutually agreed upon in writing by the Company and the Buyer.</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u w:val="single"/>
              </w:rPr>
              <w:t>Accelerated Funding</w:t>
            </w:r>
            <w:r>
              <w:rPr/>
              <w:t>. Notwithstanding anything to the contrary set forth in this Section 1, the Company may elect in its sole discretion that the full remaining principal amount of the Notes be funded in a single disbursement, and the Company shall sell and issue to the Buyer and the Buyer shall purchase the remaining Notes (an “</w:t>
            </w:r>
            <w:r>
              <w:rPr>
                <w:u w:val="single"/>
              </w:rPr>
              <w:t>Accelerated Funding</w:t>
            </w:r>
            <w:r>
              <w:rPr/>
              <w:t>”) if at the time of such election: (i) the Company has received a bona fide purchase order that qualifies for factoring by a traditional commercial factor at a factoring rate of less than three percent (3%) per month, and (ii) such purchase order has a face value of no less than Five Million Dollars ($5,000,000). The Company shall provide Buyer with written notice of its election to exercise Accelerated Funding, together with reasonable documentation evidencing the qualifying purchase order and indicative factoring terms, no later than five (5) business days prior to the disbursement of the Accelerated Funding amount.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u w:val="single"/>
              </w:rPr>
              <w:t>Form of Payment</w:t>
            </w:r>
            <w:r>
              <w:rPr/>
              <w:t>. On a Funding Date, the Buyer shall deliver the Funding Amount by wire transfer of immediately available funds, in accordance with the Company’s written wiring instructions.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283"/>
              <w:jc w:val="both"/>
              <w:rPr/>
            </w:pPr>
            <w:r>
              <w:rPr>
                <w:u w:val="single"/>
              </w:rPr>
              <w:t>Original Issue Discount</w:t>
            </w:r>
            <w:r>
              <w:rPr/>
              <w:t>. Each Note shall be purchased at a price reflecting the Original Issue Discount.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u w:val="single"/>
              </w:rPr>
              <w:t>ELOC Agreement</w:t>
            </w:r>
            <w:r>
              <w:rPr/>
              <w:t>. At the First Closing, the Company shall deliver to the Buyer an executed copy of the ELOC Agreement and all of the ancillary documents contemplated by the ELOC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(g)</w:t>
            </w:r>
          </w:p>
        </w:tc>
        <w:tc>
          <w:tcPr>
            <w:tcW w:w="9923" w:type="dxa"/>
            <w:tcBorders/>
            <w:vAlign w:val="center"/>
          </w:tcPr>
          <w:p>
            <w:pPr>
              <w:pStyle w:val="TableContents"/>
              <w:bidi w:val="0"/>
              <w:spacing w:before="0" w:after="283"/>
              <w:jc w:val="both"/>
              <w:rPr/>
            </w:pPr>
            <w:r>
              <w:rPr>
                <w:u w:val="single"/>
              </w:rPr>
              <w:t>Registration Rights Agreement</w:t>
            </w:r>
            <w:r>
              <w:rPr/>
              <w:t>. At the First Closing, the Company shall deliver to the Buyer an executed copy of the Registration Rights Agreement and all of the ancillary documents contemplated by the Registration Rights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(h)</w:t>
            </w:r>
          </w:p>
        </w:tc>
        <w:tc>
          <w:tcPr>
            <w:tcW w:w="9919" w:type="dxa"/>
            <w:tcBorders/>
            <w:vAlign w:val="center"/>
          </w:tcPr>
          <w:p>
            <w:pPr>
              <w:pStyle w:val="TableContents"/>
              <w:bidi w:val="0"/>
              <w:spacing w:before="0" w:after="283"/>
              <w:jc w:val="both"/>
              <w:rPr/>
            </w:pPr>
            <w:r>
              <w:rPr>
                <w:u w:val="single"/>
              </w:rPr>
              <w:t>Legal Document Fee</w:t>
            </w:r>
            <w:r>
              <w:rPr/>
              <w:t>. The Company shall reimburse the Buyer a non-accountable amount of $20,000 at the First Closing and shall be withheld by the Buyer from the Funding Amount at such First Closing.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2.</w:t>
            </w:r>
          </w:p>
        </w:tc>
        <w:tc>
          <w:tcPr>
            <w:tcW w:w="9980" w:type="dxa"/>
            <w:tcBorders/>
            <w:vAlign w:val="center"/>
          </w:tcPr>
          <w:p>
            <w:pPr>
              <w:pStyle w:val="TableContents"/>
              <w:bidi w:val="0"/>
              <w:spacing w:before="0" w:after="283"/>
              <w:jc w:val="both"/>
              <w:rPr/>
            </w:pPr>
            <w:r>
              <w:rPr>
                <w:u w:val="single"/>
              </w:rPr>
              <w:t>REPRESENTATIONS AND WARRANTIES OF THE BUYER</w:t>
            </w:r>
            <w:r>
              <w:rPr/>
              <w:t>. The Buyer represents and warrants to the Company that: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u w:val="single"/>
              </w:rPr>
              <w:t>Investment Purpose</w:t>
            </w:r>
            <w:r>
              <w:rPr/>
              <w:t xml:space="preserve">. As of the Execution Date, the Buyer is purchasing the Securities for its own account for investment only and not with a view towards the public sale or distribution thereof, except pursuant to sales registered or exempted from registration under the Securities Act; </w:t>
            </w:r>
            <w:r>
              <w:rPr>
                <w:u w:val="single"/>
              </w:rPr>
              <w:t>provided</w:t>
            </w:r>
            <w:r>
              <w:rPr/>
              <w:t xml:space="preserve">, </w:t>
            </w:r>
            <w:r>
              <w:rPr>
                <w:u w:val="single"/>
              </w:rPr>
              <w:t>however</w:t>
            </w:r>
            <w:r>
              <w:rPr/>
              <w:t>, that by making the foregoing representation and warranty, the Buyer does not agree to hold any of the Securities for any minimum or other specific term and reserves the right to dispose of all or any portion of the Securities at any time in accordance with or pursuant to a registration statement or an exemption under the Securities Act.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u w:val="single"/>
              </w:rPr>
              <w:t>Reliance on Exemptions</w:t>
            </w:r>
            <w:r>
              <w:rPr/>
              <w:t>.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both"/>
              <w:rPr/>
            </w:pPr>
            <w:r>
              <w:rPr>
                <w:u w:val="single"/>
              </w:rPr>
              <w:t>Information</w:t>
            </w:r>
            <w:r>
              <w:rPr/>
              <w:t xml:space="preserve">. The Buyer and its advisors, if any, have been furnished with all materials relating to the business, finances and operations of the Company and materials relating to the offer and sale of the Securities which have been requested by the Buyer or its advisors. The Buyer and its advisors, if any, have been afforded the opportunity to ask questions of the Company. Neither such inquiries nor any other due diligence investigation conducted by Buyer or any of its advisors or representatives shall modify, amend or affect Buyer’s right to rely on the Company’s representations and warranties contained in </w:t>
            </w:r>
            <w:r>
              <w:rPr>
                <w:u w:val="single"/>
              </w:rPr>
              <w:t>Section 3</w:t>
            </w:r>
            <w:r>
              <w:rPr/>
              <w:t xml:space="preserve"> below. Notwithstanding the foregoing, except with respect to the material terms and conditions of the transactions contemplated by the Transaction Documents, the Borrower covenants and agrees that neither it, nor any other Person acting on its behalf will provide the Holder or its agents or counsel with any information that constitutes, or the Borrower reasonably believes constitutes, material non-public information, unless prior thereto the Holder shall have consented in writing to the receipt of such information and agreed with the Borrower to keep such information confidential. The Borrower understands and confirms that the Holder shall be relying on the foregoing covenant in effecting transactions in securities of the Borrower. To the extent that the Borrower delivers any material, non-public information to the Investor without such prior written consent, the Borrower hereby covenants and agrees that the Investor shall not have any duty of confidentiality to the Borrower, any of its Subsidiaries, or any of their respective officers, directors, agents, employees, or affiliates, not to trade on the basis of, such material, non-public information, provided that the Investor shall remain subject to applicable law. The Borrower represents that as of the Effective Date, except with respect to the material terms and conditions of the transaction contemplated by the Transaction Documents, neither it nor any other Person acting on its behalf has previously provided the Holder or its agents or counsel with any information that constitutes, or the Borrower reasonably believes constitutes, material non-public information. After the Effective Date, to the extent that any notice or communication made by the Borrower, or information provided by the Borrower, to the Investor constitutes, or contains, material, non-public information regarding the Company or any Subsidiaries, the Borrower shall simultaneously file such notice or other material information with the SEC pursuant to a Current Report on Form 8-K. The Borrower understands and confirms that the Holder shall be relying on the foregoing representation in effecting transactions in securities of the Borrower.</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u w:val="single"/>
              </w:rPr>
              <w:t>Authorization; Enforcement</w:t>
            </w:r>
            <w:r>
              <w:rPr/>
              <w:t>. This Agreement has been duly and validly authorized by the Buyer. This Agreement has been duly executed and delivered on behalf of the Buyer, and this Agreement constitutes a valid and binding agreement of the Buyer enforceable in accordance with its terms.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u w:val="single"/>
              </w:rPr>
              <w:t>Accredited Investor Status</w:t>
            </w:r>
            <w:r>
              <w:rPr/>
              <w:t>. The Buyer is (i) an “accredited investor” as that term is defined in Rule 501 of the General Rules and Regulations under the Securities Act by reason of Rule 501(a)(3) (an “</w:t>
            </w:r>
            <w:r>
              <w:rPr>
                <w:u w:val="single"/>
              </w:rPr>
              <w:t>Accredited Investor</w:t>
            </w:r>
            <w:r>
              <w:rPr/>
              <w:t>”), (ii) experienced in making investments of the kind described in this Agreement and the related documents, (iii) able, by reason of the business and financial experience of its officers (if an entity) and professional advisors (who are not affiliated with or compensated in any way by the Company or any of its Affiliates or selling agents), to protect its own interests in connection with the transactions described in this Agreement, and the related documents, and (iv) able to afford the entire loss of its investment in the Securities.</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u w:val="single"/>
              </w:rPr>
              <w:t>General Solicitation</w:t>
            </w:r>
            <w:r>
              <w:rPr/>
              <w:t>. The Buyer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u w:val="single"/>
              </w:rPr>
              <w:t>REPRESENTATIONS AND WARRANTIES OF THE COMPANY</w:t>
            </w:r>
            <w:r>
              <w:rPr/>
              <w:t>. The Company represents and warrants to the Buyer that as of the Execution Date and as of each Closing Date and as of each Funding Date (or as of such other time expressly specified below):</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45"/>
        <w:gridCol w:w="9358"/>
      </w:tblGrid>
      <w:tr>
        <w:trPr/>
        <w:tc>
          <w:tcPr>
            <w:tcW w:w="1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pPr>
            <w:r>
              <w:rPr/>
              <w:t>(a)</w:t>
            </w:r>
          </w:p>
        </w:tc>
        <w:tc>
          <w:tcPr>
            <w:tcW w:w="9358" w:type="dxa"/>
            <w:tcBorders/>
            <w:vAlign w:val="center"/>
          </w:tcPr>
          <w:p>
            <w:pPr>
              <w:pStyle w:val="TableContents"/>
              <w:bidi w:val="0"/>
              <w:spacing w:before="0" w:after="283"/>
              <w:jc w:val="both"/>
              <w:rPr/>
            </w:pPr>
            <w:r>
              <w:rPr>
                <w:u w:val="single"/>
              </w:rPr>
              <w:t>Corporate Governance Compliance</w:t>
            </w:r>
            <w:r>
              <w:rPr/>
              <w:t>:</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Note and Conversion Shares</w:t>
      </w:r>
      <w:r>
        <w:rPr>
          <w:rFonts w:ascii="Times New Roman;Times;Serif" w:hAnsi="Times New Roman;Times;Serif"/>
          <w:b w:val="false"/>
          <w:i w:val="false"/>
          <w:caps w:val="false"/>
          <w:smallCaps w:val="false"/>
          <w:sz w:val="20"/>
        </w:rPr>
        <w:t>. Each Note has been duly authorized and is being validly issued to the Buyer. The Conversion Shares have been duly authorized and fully reserved for issuance and, upon conversion of a Note in accordance with its terms, will be validly issued, fully paid and non-assessable, and free from all taxes, liens, claims and encumbrances with respect to the issue thereof, with the holders being entitled to all rights accorded to a holder of Common Stock. The Conversion Shares shall not be subject to pre-emptive rights or other similar rights of stockholders of the Company (except to the extent already waived) and will not impose personal liability upon the holder thereof, other than restrictions on transfer provided for in the Transaction Documents and under the Securities Act.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 corporation duly incorporated, validly existing and in good standing under the laws of the State of Delaware, with the requisite corporate power and authority to own and use its properties and assets and to carry on its business as currently conducted. Each of the Subsidiaries is an entity duly incorporated or otherwise organized, and, to the extent any Subsidiary is a Material Subsidiary as defined below, such Subsidiary is validly existing and in good standing under the laws of the jurisdiction of its incorporation or organization, with the requisite corporate power and authority to own and use its properties and assets and to carry on its business as currently conducted. Each of the Company and the Material Subsidiaries is not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have or reasonably be expected to result in a Material Adverse Effect proceeding has been instituted in any such jurisdiction revoking, limiting or curtailing or seeking to revoke, limit or curtail such power and authority or qualification.</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perform its obligations under this Agreement and the other Transaction Documents. The execution and delivery of this Agreement and the other Transaction Documents by the Company and the consummation by it of the transactions contemplated hereby and thereby have been duly authorized by all necessary corporate action, and no further consent or authorization of the Company or its Board of Directors or stockholders is required. Each of this Agreement and the other Transaction Documents has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Execution Date, the authorized capital stock of the Company is as set forth in the SEC Documents (as defined below). The Company has filed in its SEC Documents true and correct copies of the Company’s Certificate of Incorporation as in effect on the Execution Date, the Company’s bylaws, as in effect on the Execution Date, and the terms of all securities convertible into or exercisable for Common Stock of the Company and the material rights of the holders thereof in respect thereto.</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the Company and the consummation by the Company of the transactions contemplated hereby and thereby (including, without limitation, the issuance and reservation for issuance of the Conversion Shares) will not (a) result in a violation of the Company’s or any Subsidiary’s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any Subsidiary, or give to others any rights of termination, amendment, acceleration or cancellation of, any agreement, indenture, instrument or any “lock-up” or similar provision of any underwriting or similar agreement to which the Company or any Subsidiary is a party, or (c) result in a violation of any federal, state or local law, rule, regulation, order, judgment or decree (including federal and state securities laws and regulations) applicable to the Company or any Subsidiary or by which any property or asset of the Company or any Subsidiary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issue the Conversion Shares or to execute, deliver or perform any of its obligations under this Agreement or the other Transaction Documents (other than any SEC, FINRA or state securities filings that may be required to be made by the Company subsequent to Closing).</w:t>
      </w:r>
    </w:p>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884"/>
        <w:gridCol w:w="9206"/>
      </w:tblGrid>
      <w:tr>
        <w:trPr/>
        <w:tc>
          <w:tcPr>
            <w:tcW w:w="11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pPr>
            <w:r>
              <w:rPr/>
              <w:t>(b)</w:t>
            </w:r>
          </w:p>
        </w:tc>
        <w:tc>
          <w:tcPr>
            <w:tcW w:w="9206" w:type="dxa"/>
            <w:tcBorders/>
            <w:vAlign w:val="center"/>
          </w:tcPr>
          <w:p>
            <w:pPr>
              <w:pStyle w:val="TableContents"/>
              <w:bidi w:val="0"/>
              <w:spacing w:before="0" w:after="283"/>
              <w:jc w:val="both"/>
              <w:rPr/>
            </w:pPr>
            <w:r>
              <w:rPr>
                <w:u w:val="single"/>
              </w:rPr>
              <w:t>SEC and Offering Compliance</w:t>
            </w:r>
            <w:r>
              <w:rPr/>
              <w:t>:</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for the Company to be deemed fully “fully reporting” and “current” and in compliance with the periodic and current reporting requirements of Section 13 or 15(d) of the Exchange Act, and in compliance with the Rule 144(c)(1) under the Securities Act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The SEC Documents comply in all material respects with the requirements of the Securities Act and the Exchange Act, as applicable, and other federal laws, rules and regulations applicable to such SEC Documents, and none of the SEC Documents contain any untrue statement of a material fact or omit to state a material fact required to be stated therein or necessary in order to make the statements therein, in light of the circumstances under which they were made, not misleading.</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included in its SEC Documents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comply as to form and substance in all material respects with applicable accounting requirements and the published rules and regulations of the SEC as well as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The Company maintains a system of internal accounting controls appropriate for its size. There is no transaction, arrangement, or other relationship between the Company and an unconsolidated or other off balance sheet entity that is not disclosed by the Company in its Financial Statements or otherwise that would be reasonably likely to have a Material Adverse Effect. Except with respect to the material terms and conditions of the transactions contemplated by the Transaction Documents, the Company confirms that neither it nor any other Person acting on its behalf has provided the Buyer or its agents or counsel with any information that it believes constitutes or might constitute material, non-public information. The Company understands and confirms that the Buyer will rely on the foregoing representation in effecting transactions in securities of the Company.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The Company acknowledges and agrees that the Buyer is acting solely in the capacity of an arm’s length purchaser with respect to the Transaction Documents and the transactions contemplated hereby and thereby and that the Buyer is neither (i) an officer or director of the Company or any of its Subsidiaries, nor (ii) an “affiliate” (as defined in Rule 144) of the Company or any of its Subsidiaries. The Company further acknowledges that the Buyer is not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person acting on its or their behalf, has directly or indirectly made any offers or sales in any security or solicited any offers to buy any security under circumstances that would require registration under the Securities Act of the issuance of the Securities to the Buyer. The issuance of the Securities to the Buyer will not be integrated with any other issuance of the Company’s securities (past, current or future) for purposes of any stockholder approval provisions applicable to the Company or its securities.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is entitled to a commission payable by the Company in connection with the transactions contemplated by this transaction and the Company has taken no action which would give rise to any claim by any person for brokerage commissions, transaction fees or similar payments relating to this Agreement or the transactions contemplated hereby. Any all fees due to any brokers shall be paid and satisfied by the Company at the Closing.</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Exchange Act are being incorporated into a qualified filing pursuant to Regulation of the Securities Act, by the Company under the Securities Act).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Securities to be offered and sold hereunder in reliance on Rule 506 under the Securities Act (“</w:t>
      </w:r>
      <w:r>
        <w:rPr>
          <w:rFonts w:ascii="Times New Roman;Times;Serif" w:hAnsi="Times New Roman;Times;Serif"/>
          <w:b w:val="false"/>
          <w:i w:val="false"/>
          <w:caps w:val="false"/>
          <w:smallCaps w:val="false"/>
          <w:sz w:val="20"/>
          <w:u w:val="single"/>
        </w:rPr>
        <w:t>Regulation D Securities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val="false"/>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disqualifying events described in Rule 506(d)(1)(i)(viii) under the Securities Act (each,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buyers or potential purchasers in connection with the sale of any Regulation D Securities.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No General Solicitation; Placement Agent</w:t>
      </w:r>
      <w:r>
        <w:rPr>
          <w:rFonts w:ascii="Times New Roman;Times;Serif" w:hAnsi="Times New Roman;Times;Serif"/>
          <w:b w:val="false"/>
          <w:i w:val="false"/>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offer or sale of the Securities. Neither the Company nor any of its Subsidiaries has engaged any placement agent in connection with the sale of the Securities. In the event that a broker-dealer or other agent or advisory is engaged by the Company subsequent to the Closing, the Company shall be responsible for the payment of any placement agent’s fees, financial advisory fees, or brokers’ commissions (other than for persons engaged by any Buyer or its investment advisor) relating to or arising out of the transactions contemplated hereby in connection with the sale of the Securities. The Company shall pay, and hold the Buyer harmless against, any liability, loss or expense (including, without limitation, attorney’s fees and out-of-pocket expenses) arising in connection with any such claim.</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The Company is not, and upon consummation of the sale of the Securities will not be, an “investment company,” a company controlled by an “investment company” or an “affiliated person” of, or “promoter” or “principal underwriter” for, an “investment company” as such terms are defined in the Investment Company Act of 1940, as amended.</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On the Closing Date, all stock transfer or other taxes (other than income or similar taxes) which are required to be paid in connection with the sale and transfer of the Securities to be sold to the Buyer hereunder will be, or will have been, fully paid or provided for by the Company, and all laws imposing such taxes will be or will have been complied with.</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val="false"/>
          <w:i w:val="false"/>
          <w:caps w:val="false"/>
          <w:smallCaps w:val="false"/>
          <w:sz w:val="20"/>
          <w:u w:val="single"/>
        </w:rPr>
        <w:t>Compliance with Rule 15c2-11</w:t>
      </w:r>
      <w:r>
        <w:rPr>
          <w:rFonts w:ascii="Times New Roman;Times;Serif" w:hAnsi="Times New Roman;Times;Serif"/>
          <w:b w:val="false"/>
          <w:i w:val="false"/>
          <w:caps w:val="false"/>
          <w:smallCaps w:val="false"/>
          <w:sz w:val="20"/>
        </w:rPr>
        <w:t>. On the Closing Date, and at all times that any of the Securities remain outstanding, the Company shall maintain as publicly available all information required by paragraph (b) of Rule 15c2-11 of the Exchange Act (as effective on September 26, 2021), as amended, such that brokers or dealers attempting to publish any quotation for the Common Stock or, directly or indirectly, to submit any such quotation for publication, shall be able to comply with Rule 15c2-11(a).</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262"/>
        <w:gridCol w:w="8769"/>
      </w:tblGrid>
      <w:tr>
        <w:trPr/>
        <w:tc>
          <w:tcPr>
            <w:tcW w:w="17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pPr>
            <w:r>
              <w:rPr/>
              <w:t>(c)</w:t>
            </w:r>
          </w:p>
        </w:tc>
        <w:tc>
          <w:tcPr>
            <w:tcW w:w="8769" w:type="dxa"/>
            <w:tcBorders/>
            <w:vAlign w:val="center"/>
          </w:tcPr>
          <w:p>
            <w:pPr>
              <w:pStyle w:val="TableContents"/>
              <w:bidi w:val="0"/>
              <w:spacing w:before="0" w:after="283"/>
              <w:jc w:val="both"/>
              <w:rPr/>
            </w:pPr>
            <w:r>
              <w:rPr>
                <w:u w:val="single"/>
              </w:rPr>
              <w:t>Operations Related</w:t>
            </w:r>
            <w:r>
              <w:rPr/>
              <w:t>:</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No event has occurred that would have a Material Adverse Effect on the Company or any Subsidiary that has not been disclosed in the SEC Documents.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disclosed in the SEC Documents, there are no actions, suits, investigations, inquiries or proceedings pending or, to the Knowledge of the Company, threatened against or affecting the Company, any Subsidiary or any of their respective properties, nor has the Company received any written or oral notice of any such action, suit, proceeding, inquiry or investigation, which would have a Material Adverse Effect or would require disclosure under the Securities Act or the Exchange Act. No judgment, order, writ, injunction or decree or award has been issued by or, to the Knowledge of the Company, requested of any court, arbitrator or governmental agency which would have a Material Adverse Effect. Except as disclosed in the SEC Documents there has not been, and to the Knowledge of the Company, there is not pending or contemplated, any investigation by the SEC involving the Company, any Subsidiary or any current or former director or officer of the Company or any Subsidiary.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etc</w:t>
      </w:r>
      <w:r>
        <w:rPr>
          <w:rFonts w:ascii="Times New Roman;Times;Serif" w:hAnsi="Times New Roman;Times;Serif"/>
          <w:b w:val="false"/>
          <w:i w:val="false"/>
          <w:caps w:val="false"/>
          <w:smallCaps w:val="false"/>
          <w:sz w:val="20"/>
        </w:rPr>
        <w:t>. The Company and the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None of the Company’s nor any Subsidiary’s Intellectual Property rights have expired or terminated, or, by the terms and conditions thereof, could expire or terminate within two years from the Execution Date other than by default under agreements that grant such rights. The Company does not have any Knowledge of any infringement by the Company and/or any Subsidiary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and/or any Subsidiary regarding trademark, trade name, patents, patent rights, invention, copyright, license, service names, service marks, service mark registrations, trade secret or other infringement, which could reasonably be expected to have a Material Adverse Effect.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The Company and each of its Material Subsidiaries has made or filed all federal and material state and foreign income and all other material tax returns, reports and declarations required by any jurisdiction to which it is subject (unless and only to the extent that the Company and each of its Material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Except as set forth in the SEC Documents,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the lesser of (i) $120,000 or (ii) one percent of the average of the Company’s total assets at year end for the last two completed fiscal years,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is in compliance with all applicable Environmental Laws in all respects except where the failure to comply does not have and could not reasonably be expected to have a Material Adverse Effect. For purposes of the foregoing: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collectively, the Comprehensive Environmental Response, Compensation and Liability Act of 1980, as amended, the Superfund Amendments and Reauthorization Act of 1986, the Resource Conservation and Recovery Act, the Toxic Substances Control Act, as amended, the Clean Air Act, as amended, the Clean Water Act, as amended, any other “Superfund” or “Superlien” law or any other applicable federal, state or local statute, law, ordinance, code, rule, regulation, order or decree regulating, relating to, or imposing liability or standards of conduct concerning, the environment or any Hazardous Material.</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Except as disclosed in the SEC Documents, the Company and each Subsidiary has good and marketable title in fee simple to all real property owned by it and good and marketable title in all personal property owned by it that is material to the business of the Company and each Subsidiary, in each case free and clear of all Liens and, except for Liens as do not materially affect the value of such property and do not materially interfere with the use made and proposed to be made of such property by the Company or any Subsidiary and Liens for the payment of federal, state or other taxes, the payment of which is neither delinquent nor subject to penalties. Any real property and facilities held under lease by the Company or any Subsidiary is held under valid, subsisting and enforceable leases with which the Company is in compliance with such exceptions as are not material and do not interfere with the use made and proposed to be made of such property and buildings by the Company or any Subsidiary.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Except as disclosed in the SEC Documents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in compliance with all provisions of the Sarbanes-Oxley Act of 2002, as amended, which are applicable to it.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Material Subsidiary is insured by insurers of recognized financial responsibility against such losses and risks and in such amounts as management of the Company believes to be prudent and customary in the businesses in which the Company and each Material Subsidiary is engaged. Neither the Company, nor any Material Subsidiary has been refused any insurance coverage sought or applied for, and the Company has no reason to believe that it or any Material Subsidiary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taken as a whole.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val="false"/>
          <w:i w:val="false"/>
          <w:caps w:val="false"/>
          <w:smallCaps w:val="false"/>
          <w:sz w:val="20"/>
          <w:u w:val="single"/>
        </w:rPr>
        <w:t>No Undisclosed Events, Liabilities, Developments or Circumstances</w:t>
      </w:r>
      <w:r>
        <w:rPr>
          <w:rFonts w:ascii="Times New Roman;Times;Serif" w:hAnsi="Times New Roman;Times;Serif"/>
          <w:b w:val="false"/>
          <w:i w:val="false"/>
          <w:caps w:val="false"/>
          <w:smallCaps w:val="false"/>
          <w:sz w:val="20"/>
        </w:rPr>
        <w:t>. Except as set forth in the SEC Documents, the Company and its Subsidiaries have no liabilities or obligations of any nature (whether accrued, absolute, contingent, unasserted or otherwise and whether due or to become due) other than those liabilities or obligations that are disclosed in the Financial Statements or which do not exceed, individually in excess of $50,000 and in the aggregate in excess of $200,000. The reserves, if any, established by the Company or the lack of reserves, if applicable, are reasonable based upon facts and circumstances known by the Company on the Execution Date and there are no loss contingencies that are required to be accrued by the Statement of Financial Accounting Standard No. 5 of the Financial Accounting Standards Board which are not provided for in the Financial Statements.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 During the past five year period, no current or former officer or director or, to the Knowledge of the Company, stockholder of the Company or any of its Subsidiaries has been the subject of any matter that would require disclosure under Paragraph (f) of Rule 401 of Regulation S-K that has not been publicly disclosed.</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w:t>
      </w:r>
      <w:r>
        <w:rPr>
          <w:rFonts w:ascii="Times New Roman;Times;Serif" w:hAnsi="Times New Roman;Times;Serif"/>
          <w:b w:val="false"/>
          <w:i w:val="false"/>
          <w:caps w:val="false"/>
          <w:smallCaps w:val="false"/>
          <w:sz w:val="20"/>
          <w:u w:val="single"/>
        </w:rPr>
        <w:t>Assets; Title</w:t>
      </w:r>
      <w:r>
        <w:rPr>
          <w:rFonts w:ascii="Times New Roman;Times;Serif" w:hAnsi="Times New Roman;Times;Serif"/>
          <w:b w:val="false"/>
          <w:i w:val="false"/>
          <w:caps w:val="false"/>
          <w:smallCaps w:val="false"/>
          <w:sz w:val="20"/>
        </w:rPr>
        <w:t>. Each of the Company and its Subsidiaries has good and valid title to, or a valid leasehold interest in, as applicable, all of its properties and assets, free and clear of all Liens except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and (iv) such as have been disposed of in the ordinary course of business. To the Company’s Knowledge, all tangible personal property owned by the Company and its Subsidiaries has been maintained in good operating condition and repair, except (x) for ordinary wear and tear, and (y) where such failure would not have a Material Adverse Effect. To the Company’s Knowledge, all assets leased by the Company or any of its Subsidiaries are in the condition required by the terms of the lease applicable thereto during the term of such lease and upon the expiration thereof. To the Company’s Knowledge,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Any real property and facilities held under lease by the Company or any of its Subsidiaries are held by them under valid, subsisting and enforceable leases with such exceptions as are not material and do not interfere with the use made and proposed to be made of such property and buildings by the Company and its Subsidiaries.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val="false"/>
          <w:i w:val="false"/>
          <w:caps w:val="false"/>
          <w:smallCaps w:val="false"/>
          <w:sz w:val="20"/>
          <w:u w:val="single"/>
        </w:rPr>
        <w:t>Subsidiary Rights</w:t>
      </w:r>
      <w:r>
        <w:rPr>
          <w:rFonts w:ascii="Times New Roman;Times;Serif" w:hAnsi="Times New Roman;Times;Serif"/>
          <w:b w:val="false"/>
          <w:i w:val="false"/>
          <w:caps w:val="false"/>
          <w:smallCaps w:val="false"/>
          <w:sz w:val="20"/>
        </w:rPr>
        <w:t>. The Company or one of its Subsidiaries has the unrestricted right to vote, and to receive dividends and distributions on, all equity securities of its Subsidiaries as owned by the Company or such Subsidiary.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To the Company’s Knowledge, the books of account, ledgers, order books, records and documents of the Company and its Subsidiaries accurately and completely reflect all information relating to the respective businesses of the Company and its Subsidiaries, the nature, acquisition, maintenance, location and collection of each of their respective assets, and the nature of all transactions giving rise to material obligations or accounts receivable of the Company or its Subsidiaries, as the case may be, except where the failure to so reflect such information would not have a Material Adverse Effect. To the Company’s Knowledge, the minute books of the Company and its Subsidiaries contain accurate records in all material respects of all meetings and accurately reflect all other actions taken by the stockholders, boards of directors and all committees of the boards of directors, and other governing Persons of the Company and its Subsidiaries, respectively.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Company and its Subsidiaries are in compliance with, and have not previously violated, the USA PATRIOT ACT of 2001 and all other applicable U.S. and non-U.S. anti-money laundering laws and regulations, including, but not limited to,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2659"/>
        <w:gridCol w:w="7198"/>
      </w:tblGrid>
      <w:tr>
        <w:trPr/>
        <w:tc>
          <w:tcPr>
            <w:tcW w:w="34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pPr>
            <w:r>
              <w:rPr/>
              <w:t>(d)</w:t>
            </w:r>
          </w:p>
        </w:tc>
        <w:tc>
          <w:tcPr>
            <w:tcW w:w="7198" w:type="dxa"/>
            <w:tcBorders/>
            <w:vAlign w:val="center"/>
          </w:tcPr>
          <w:p>
            <w:pPr>
              <w:pStyle w:val="TableContents"/>
              <w:bidi w:val="0"/>
              <w:spacing w:before="0" w:after="283"/>
              <w:jc w:val="both"/>
              <w:rPr>
                <w:u w:val="single"/>
              </w:rPr>
            </w:pPr>
            <w:r>
              <w:rPr>
                <w:u w:val="single"/>
              </w:rPr>
              <w:t>General</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understands and acknowledges the potentially dilutive effect to the Common Stock upon the issuance of the Conversion Shares upon conversion of the Notes. The Company further acknowledges that its obligation to issue Conversion Shares upon conversion of a Note is absolute and unconditional regardless of the dilutive effect that such issuances may have on the ownership interests of other stockholders of the Company.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If the Company breaches any of the representations or warranties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and in addition to any other remedies available to the Buyer pursuant to this Agreement, it will be considered an Event of Default.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Absence of Schedules</w:t>
      </w:r>
      <w:r>
        <w:rPr>
          <w:rFonts w:ascii="Times New Roman;Times;Serif" w:hAnsi="Times New Roman;Times;Serif"/>
          <w:b w:val="false"/>
          <w:i w:val="false"/>
          <w:caps w:val="false"/>
          <w:smallCaps w:val="false"/>
          <w:sz w:val="20"/>
        </w:rPr>
        <w:t>. In the event that at the Closing Date, the Company does not deliver and attach hereto any disclosure schedule contemplated by this Agreement, the Company hereby acknowledges and agrees that (i) each such undelivered disclosure schedule shall be deemed to read as follows: “Nothing to Disclose”, and (ii) the Buyer has not otherwise waived delivery of such disclosure schedule.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pPr>
            <w:r>
              <w:rPr/>
              <w:t>4.</w:t>
            </w:r>
          </w:p>
        </w:tc>
        <w:tc>
          <w:tcPr>
            <w:tcW w:w="9409" w:type="dxa"/>
            <w:tcBorders/>
            <w:vAlign w:val="center"/>
          </w:tcPr>
          <w:p>
            <w:pPr>
              <w:pStyle w:val="TableContents"/>
              <w:bidi w:val="0"/>
              <w:spacing w:before="0" w:after="283"/>
              <w:jc w:val="both"/>
              <w:rPr>
                <w:u w:val="single"/>
              </w:rPr>
            </w:pPr>
            <w:r>
              <w:rPr>
                <w:u w:val="single"/>
              </w:rPr>
              <w:t>GENERAL COVENANTS.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u w:val="single"/>
              </w:rPr>
              <w:t>Best Efforts</w:t>
            </w:r>
            <w:r>
              <w:rPr/>
              <w:t xml:space="preserve">. The parties shall use their commercially reasonable best efforts to satisfy timely each of the conditions described in </w:t>
            </w:r>
            <w:r>
              <w:rPr>
                <w:u w:val="single"/>
              </w:rPr>
              <w:t>Section 7</w:t>
            </w:r>
            <w:r>
              <w:rPr/>
              <w:t xml:space="preserve"> and </w:t>
            </w:r>
            <w:r>
              <w:rPr>
                <w:u w:val="single"/>
              </w:rPr>
              <w:t>8</w:t>
            </w:r>
            <w:r>
              <w:rPr/>
              <w:t xml:space="preserve"> of this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u w:val="single"/>
              </w:rPr>
              <w:t>Use of Proceeds</w:t>
            </w:r>
            <w:r>
              <w:rPr/>
              <w:t>. The Company shall use the proceeds from the sale of the Notes and each Funding to make its scheduled monthly payments under the senior secured convertible note issued by the Company to J.J. Astor &amp; Co., a Utah corporation (“</w:t>
            </w:r>
            <w:r>
              <w:rPr>
                <w:u w:val="single"/>
              </w:rPr>
              <w:t>J.J. Astor</w:t>
            </w:r>
            <w:r>
              <w:rPr/>
              <w:t>”) pursuant to that certain Loan Agreement dated as of December 4, 2025, by and between the Company and J.J. Astor (including any default amount and accrued interest thereon). In such connection, the Buyer shall wire the proceeds of each Funding directly to a bank account designated by J.J. Astor, each of which payment shall reduce the outstanding principal amount of the senior secured convertible notes issued to J.J. Astor (the “</w:t>
            </w:r>
            <w:r>
              <w:rPr>
                <w:u w:val="single"/>
              </w:rPr>
              <w:t>J.J. Astor Notes</w:t>
            </w:r>
            <w:r>
              <w:rPr/>
              <w:t>”) and shall be applied to reduce the monthly instalment payments in the J.J. Astor Notes in the order of the next maturing indebtedness.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u w:val="single"/>
              </w:rPr>
              <w:t>Payment of Balance of J.J. Astor Notes</w:t>
            </w:r>
            <w:r>
              <w:rPr/>
              <w:t>. Subject to satisfaction of the conditions set forth in the ELOC Agreement and the Registration Rights Agreement, the Company shall apply not less than 80% of all net proceeds received from the Buyer’s purchase of Common Stock under the ELOC Agreement to prepay the remaining balances due under the J.J. Astor Notes, until the same shall have been paid in full.</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u w:val="single"/>
              </w:rPr>
              <w:t>Financial Information</w:t>
            </w:r>
            <w:r>
              <w:rPr/>
              <w:t xml:space="preserve">. The Company agrees to send or make available the following reports to the Buyer until the Buyer transfers, assigns, or sells all of the Securities: (i) within ten (10) days after the filing with the SEC, a copy of its Annual Report on Form 10-K, its Quarterly Reports on Form 10-Q and any Current Reports on Form 8-K; (ii) within five (5) days after upload or filing, any filings made in the SEC Documents, (iii) within one (1) day after release, copies of all press releases issued by the Company or any of its Subsidiaries relating to the transactions contemplated hereby; and (iv) contemporaneously with the making available or giving to the stockholders of the Company, copies of any notices or other information the Company makes available or gives to such stockholders. For the avoidance of doubt, filing the documents required in (i) above via EDGAR or releasing any documents set forth in (ii) above via a recognized wire service shall satisfy the delivery requirements of this </w:t>
            </w:r>
            <w:r>
              <w:rPr>
                <w:u w:val="single"/>
              </w:rPr>
              <w:t>Section 4(d)</w:t>
            </w:r>
            <w:r>
              <w:rPr/>
              <w:t>.</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u w:val="single"/>
              </w:rPr>
              <w:t>Listing</w:t>
            </w:r>
            <w:r>
              <w:rPr/>
              <w:t>. The Company shall work in good faith to secure the listing of the Conversion Shares upon each national securities exchange or automated quotation system, if any, upon which shares of Common Stock are then listed (subject to official notice of issuance) and, so long as the Buyer owns any of the Securities, shall maintain, so long as any other shares of Common Stock shall be so listed, such listing of all Conversion Shares from time to time issuable upon exercise of the Notes. The Company will obtain and, so long as the Buyer owns any of the Securities, maintain the listing and trading of its Common Stock on the Trading Market and will comply in all respects with the Company’s reporting, filing and other obligations under the bylaws or rules of the Financial Industry Regulatory Authority (“</w:t>
            </w:r>
            <w:r>
              <w:rPr>
                <w:u w:val="single"/>
              </w:rPr>
              <w:t>FINRA</w:t>
            </w:r>
            <w:r>
              <w:rPr/>
              <w:t>”) and such exchanges, as applicable.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pPr>
            <w:r>
              <w:rPr>
                <w:u w:val="single"/>
              </w:rPr>
              <w:t>Corporate Existence</w:t>
            </w:r>
            <w:r>
              <w:rPr/>
              <w:t>. So long as the Buyer beneficially owns any of the Securities, the Company shall maintain its corporate existence and shall not sell all or substantially all of the Company’s assets, except in the event of a merger or consolidation or sale of all or substantially all of the Company’s assets, where the surviving or successor entity in such transaction (i) assumes the Company’s obligations hereunder and under the agreements and instruments entered into in connection herewith and (ii) is a publicly traded corporation whose Common Stock is listed or quoted for trading on the Trading Market.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(g)</w:t>
            </w:r>
          </w:p>
        </w:tc>
        <w:tc>
          <w:tcPr>
            <w:tcW w:w="9938" w:type="dxa"/>
            <w:tcBorders/>
            <w:vAlign w:val="center"/>
          </w:tcPr>
          <w:p>
            <w:pPr>
              <w:pStyle w:val="TableContents"/>
              <w:bidi w:val="0"/>
              <w:spacing w:before="0" w:after="283"/>
              <w:jc w:val="both"/>
              <w:rPr/>
            </w:pPr>
            <w:r>
              <w:rPr>
                <w:u w:val="single"/>
              </w:rPr>
              <w:t>No Integration; Other Investors</w:t>
            </w:r>
            <w:r>
              <w:rPr/>
              <w:t>. The Company shall not make any offers or sales of any security (other than the Securities) under circumstances that would require registration of the Securities being offered or sold hereunder under the Securities Act or cause the offering of the Securities to be integrated with any other offering of securities by the Company for the purpose of any stockholder approval provision applicable to the Company or its securities.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(h)</w:t>
            </w:r>
          </w:p>
        </w:tc>
        <w:tc>
          <w:tcPr>
            <w:tcW w:w="9929" w:type="dxa"/>
            <w:tcBorders/>
            <w:vAlign w:val="center"/>
          </w:tcPr>
          <w:p>
            <w:pPr>
              <w:pStyle w:val="TableContents"/>
              <w:bidi w:val="0"/>
              <w:spacing w:before="0" w:after="283"/>
              <w:jc w:val="both"/>
              <w:rPr/>
            </w:pPr>
            <w:r>
              <w:rPr>
                <w:u w:val="single"/>
              </w:rPr>
              <w:t>Failure to Comply with the Exchange Act</w:t>
            </w:r>
            <w:r>
              <w:rPr/>
              <w:t>. So long as the Buyer beneficially owns any of the Securities, the Company shall comply with the reporting requirements of the Exchange Act; and the Company be subject to the periodic reporting and other reporting requirements of the Exchange Act.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u w:val="single"/>
              </w:rPr>
              <w:t>Breach of Covenants</w:t>
            </w:r>
            <w:r>
              <w:rPr/>
              <w:t xml:space="preserve">. If the Company breaches any of the covenants set forth in this </w:t>
            </w:r>
            <w:r>
              <w:rPr>
                <w:u w:val="single"/>
              </w:rPr>
              <w:t>Section 4</w:t>
            </w:r>
            <w:r>
              <w:rPr/>
              <w:t>, then in addition to any other remedies available to the Buyer pursuant to this Agreement, each such breach will be considered an Event of Default.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(j)</w:t>
            </w:r>
          </w:p>
        </w:tc>
        <w:tc>
          <w:tcPr>
            <w:tcW w:w="10007" w:type="dxa"/>
            <w:tcBorders/>
            <w:vAlign w:val="center"/>
          </w:tcPr>
          <w:p>
            <w:pPr>
              <w:pStyle w:val="TableContents"/>
              <w:bidi w:val="0"/>
              <w:spacing w:before="0" w:after="283"/>
              <w:jc w:val="both"/>
              <w:rPr/>
            </w:pPr>
            <w:r>
              <w:rPr>
                <w:u w:val="single"/>
              </w:rPr>
              <w:t>Reservation of Shares</w:t>
            </w:r>
            <w:r>
              <w:rPr/>
              <w:t>. The Company covenants that while the Notes remain outstanding, the Company will reserve from its authorized and unissued Common Stock, three times (3x) the number of shares of Common Stock, free from pre-emptive rights, that would be issuable upon full, unconditioned conversion of all Notes calculated on the basis of the Conversion Price in effect as the Closing Date, which such reserved amounts shall be increased by the Company, or upon the written demand of the Buyer, from time to time. In addition to all other rights in this Agreement and the Notes, if, on any date (the “</w:t>
            </w:r>
            <w:r>
              <w:rPr>
                <w:u w:val="single"/>
              </w:rPr>
              <w:t>Reserve Depletion Date</w:t>
            </w:r>
            <w:r>
              <w:rPr/>
              <w:t>”), the Company does not have available enough authorized shares of Common Stock to satisfy any conversion request regarding a Note, the Company shall first convert as much as would be permitted based on the number of authorized and available shares of Common Stock and then repay all remaining outstanding amounts owed under the Notes in full within thirty (30) days of the Reserve Depletion Date at the election of the Buyer.</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(k)</w:t>
            </w:r>
          </w:p>
        </w:tc>
        <w:tc>
          <w:tcPr>
            <w:tcW w:w="9945" w:type="dxa"/>
            <w:tcBorders/>
            <w:vAlign w:val="center"/>
          </w:tcPr>
          <w:p>
            <w:pPr>
              <w:pStyle w:val="TableContents"/>
              <w:bidi w:val="0"/>
              <w:spacing w:before="0" w:after="283"/>
              <w:jc w:val="both"/>
              <w:rPr/>
            </w:pPr>
            <w:r>
              <w:rPr>
                <w:u w:val="single"/>
              </w:rPr>
              <w:t>Indemnification</w:t>
            </w:r>
            <w:r>
              <w:rPr/>
              <w:t>. Each party hereto (an “</w:t>
            </w:r>
            <w:r>
              <w:rPr>
                <w:u w:val="single"/>
              </w:rPr>
              <w:t>Indemnifying Party</w:t>
            </w:r>
            <w:r>
              <w:rPr/>
              <w:t>”) agrees to indemnify and hold harmless the other party along with its officers, directors, employees, and authorized agents, and each Person or entity, if any, who controls such party within the meaning of Section 15 of the Securities Act or Section 20 of the Exchange Act or the rules and regulations thereunder (an “</w:t>
            </w:r>
            <w:r>
              <w:rPr>
                <w:u w:val="single"/>
              </w:rPr>
              <w:t>Indemnified Party</w:t>
            </w:r>
            <w:r>
              <w:rPr/>
              <w:t>”) from and against any Damages, joint or several, and any action in respect thereof to which the Indemnified Party becomes subject to, resulting from, arising out of or relating to any misrepresentation, breach of warranty or nonfulfillment of or failure to perform any covenant or agreement on the part of the Indemnifying Party contained in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723"/>
        <w:gridCol w:w="9345"/>
      </w:tblGrid>
      <w:tr>
        <w:trPr/>
        <w:tc>
          <w:tcPr>
            <w:tcW w:w="13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pPr>
            <w:r>
              <w:rPr/>
              <w:t>5.</w:t>
            </w:r>
          </w:p>
        </w:tc>
        <w:tc>
          <w:tcPr>
            <w:tcW w:w="9345" w:type="dxa"/>
            <w:tcBorders/>
            <w:vAlign w:val="center"/>
          </w:tcPr>
          <w:p>
            <w:pPr>
              <w:pStyle w:val="TableContents"/>
              <w:bidi w:val="0"/>
              <w:spacing w:before="0" w:after="283"/>
              <w:jc w:val="both"/>
              <w:rPr>
                <w:u w:val="single"/>
              </w:rPr>
            </w:pPr>
            <w:r>
              <w:rPr>
                <w:u w:val="single"/>
              </w:rPr>
              <w:t>SPECIAL COVENANTS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u w:val="single"/>
              </w:rPr>
              <w:t>Repayment from Proceeds</w:t>
            </w:r>
            <w:r>
              <w:rPr/>
              <w:t>. While any portion of any Note is outstanding, if the Company receives cash proceeds from the issuance of securities pursuant to the ELOC Agreement, or pursuant to the exercise of any purchase under the Warrant, the Buyer shall have the right in its sole discretion to require the Company to immediately apply up to 10% of such proceeds to repay all or any portion of the outstanding amounts owed under the Notes.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u w:val="single"/>
              </w:rPr>
              <w:t>Compliance with Rule 15c2-11</w:t>
            </w:r>
            <w:r>
              <w:rPr/>
              <w:t>. The Company take all actions to maintain as publicly available all information required by paragraph (b) of Rule 15c2-11 of the Exchange Act (as effective on September 26, 2021), as amended, such that brokers or dealers attempting to publish any quotation for the Common Stock or, directly or indirectly, to submit any such quotation for publication, shall be able to comply with Rule 15c2-11(a).</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u w:val="single"/>
              </w:rPr>
              <w:t>Audit</w:t>
            </w:r>
            <w:r>
              <w:rPr/>
              <w:t>. The Company shall maintain an engagement with a PCAOB registered accounting firm at all times the Securities are outstanding.</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u w:val="single"/>
              </w:rPr>
              <w:t>Right of First Refusal</w:t>
            </w:r>
            <w:r>
              <w:rPr/>
              <w:t>. For so long as any Note remains outstanding, prior to entering into any definitive documents regarding any equity, equity-linked, or debt financing with any third-parties (a “</w:t>
            </w:r>
            <w:r>
              <w:rPr>
                <w:u w:val="single"/>
              </w:rPr>
              <w:t>Subsequent Financing</w:t>
            </w:r>
            <w:r>
              <w:rPr/>
              <w:t>”), the Company shall present the terms of such contemplated Subsequent Financing to the Buyer as a right of first refusal, and the Buyer shall have the option, in its sole discretion, to participate in such Subsequent Financing on a pro rata basis; provided, however, Buyer shall not have the right to participate in a Subsequent Financing if the Company elects to use proceeds therefrom to satisfy its obligations to Buyer pursuant to this Agreement and the Notes. The Company shall deliver to Buyer a written notice of the Company’s intention to effectuate a Subsequent Financing between the time period of 4:00 pm (New York City time) and 6:00 pm (New York City time) on the Trading Day immediately prior to the Trading Day of the expected announcement of the Subsequent Financing (or, if the Trading Day of the expected announcement of the subsequent financing is the first Trading Day following a holiday or a weekend (including a holiday weekend), between the time period of 4:00 pm (New York City time) on the Trading Day immediately prior to such holiday or weekend and 2:00 pm (New York City time) on the day immediately prior to the Trading Day of the expected announcement of the Subsequent Financing. The Buyer shall notify the Company of its election to participate in the Subsequent Financing in writing within ten (10) Trading Days of receiving notice thereof from the Company. For the avoidance of doubt a Subsequent Financing shall not include (A) the issuance of Common Stock pursuant to such an agreement already in existence at the date of this Agreement or pursuant to the Company’s 2024 Equity Incentive Plan, as such plan may be amended, restated, supplemented, or otherwise modified from time to time, or (B) the issuance of Common Stock in connection with strategic acquisitions, joint ventures, or other similar strategic transactions.</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283"/>
              <w:jc w:val="both"/>
              <w:rPr/>
            </w:pPr>
            <w:r>
              <w:rPr>
                <w:u w:val="single"/>
              </w:rPr>
              <w:t>Roll-Over Rights</w:t>
            </w:r>
            <w:r>
              <w:rPr/>
              <w:t>. For so long as any Note remains outstanding, the Buyer shall have the right, in its sole discretion to rollover all or any portion of the outstanding principal amount of the Note(s), together with all accrued but unpaid interest thereon, into the securities issued in a Subsequent Financing on the same terms and conditions applicable to the other investors participating therein (the “</w:t>
            </w:r>
            <w:r>
              <w:rPr>
                <w:u w:val="single"/>
              </w:rPr>
              <w:t>Roll-Over Right</w:t>
            </w:r>
            <w:r>
              <w:rPr/>
              <w:t>”); provided, however, Buyer shall not have the right to exercise its Roll-Over Right in connection with a Subsequent Financing if the Company elects to use proceeds therefrom to satisfy its obligations to Buyer pursuant to this Agreement and the Note(s). The Company shall deliver to Buyer a written notice of the Company’s intention to effectuate a Subsequent Financing as set forth in Section 5(d) above. The Buyer shall notify the Company of its election to exercise its Roll-Over Right in writing within ten (10) Trading Days of receiving notice thereof from the Company.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283"/>
              <w:jc w:val="both"/>
              <w:rPr/>
            </w:pPr>
            <w:r>
              <w:rPr>
                <w:u w:val="single"/>
              </w:rPr>
              <w:t>Registration Statement</w:t>
            </w:r>
            <w:r>
              <w:rPr/>
              <w:t>. The Company shall file with the SEC, within fifteen (15) Business Days after the Execution Date, a registration statement on Form S-1 covering the offering and resale of the Securities (the “</w:t>
            </w:r>
            <w:r>
              <w:rPr>
                <w:u w:val="single"/>
              </w:rPr>
              <w:t>Registration Statement</w:t>
            </w:r>
            <w:r>
              <w:rPr/>
              <w:t>”) pursuant to the Registration Rights Agreement. If such Registration Statement is not filed on or before the date that is fifteen (15) Business Days after the Execution Date, such failure will result in an Event of Default and Buyer shall have the option, in its sole discretion, to use the Default Conversion Price as the Conversion Price of the Note(s), at any time, and from time to time, thereafter while any Note remains outstanding.</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(g)</w:t>
            </w:r>
          </w:p>
        </w:tc>
        <w:tc>
          <w:tcPr>
            <w:tcW w:w="9951" w:type="dxa"/>
            <w:tcBorders/>
            <w:vAlign w:val="center"/>
          </w:tcPr>
          <w:p>
            <w:pPr>
              <w:pStyle w:val="TableContents"/>
              <w:bidi w:val="0"/>
              <w:spacing w:before="0" w:after="283"/>
              <w:jc w:val="both"/>
              <w:rPr/>
            </w:pPr>
            <w:r>
              <w:rPr>
                <w:u w:val="single"/>
              </w:rPr>
              <w:t>Stockholder Approval</w:t>
            </w:r>
            <w:r>
              <w:rPr/>
              <w:t>. The Company will use commercially reasonable efforts, including without limitation by the filing of a proposal in a preliminary proxy statement filed with the SEC on Schedule 14A (the “</w:t>
            </w:r>
            <w:r>
              <w:rPr>
                <w:u w:val="single"/>
              </w:rPr>
              <w:t>Preliminary Proxy Statement</w:t>
            </w:r>
            <w:r>
              <w:rPr/>
              <w:t>”) and, thereafter, a definitive proxy statement filed with the SEC on Schedule 14A (the “</w:t>
            </w:r>
            <w:r>
              <w:rPr>
                <w:u w:val="single"/>
              </w:rPr>
              <w:t>Definitive Proxy Statement</w:t>
            </w:r>
            <w:r>
              <w:rPr/>
              <w:t>”), to obtain Stockholder Approval, which shall expressly allow for issuances of all Securities hereunder, under the ELOC Agreement, and under the Warrant. If Stockholder Approval is not obtained by May 15, 2026 (as such date may be extended if the meeting is adjourned one or more times for purposes of soliciting additional votes for the Shareholder Approval for not more than thirty (30) calendar days), such failure will result in an Event of Default and Buyer shall have the option, in its sole discretion to use the Default Conversion Price as the Conversion Price of the Notes, at any time, and from time to time, thereafter while the Note(s) remain outstanding. “</w:t>
            </w:r>
            <w:r>
              <w:rPr>
                <w:u w:val="single"/>
              </w:rPr>
              <w:t>Stockholder Approval</w:t>
            </w:r>
            <w:r>
              <w:rPr/>
              <w:t>” means the approval of the holders of a majority of the Company’s outstanding voting Common Stock that are present or represented by proxy at a meeting, to effectuate the transactions contemplated by this Agreement, the issuance of all of the Securities in excess the Exchange Cap, subject to appropriate adjustment for any stock dividend, stock split, stock combination, rights offerings, reclassification or similar transaction that proportionately decreases or increases the Common Stock. “</w:t>
            </w:r>
            <w:r>
              <w:rPr>
                <w:u w:val="single"/>
              </w:rPr>
              <w:t>Exchange Cap</w:t>
            </w:r>
            <w:r>
              <w:rPr/>
              <w:t>” means that threshold amount of shares that the Company cannot issue to the Buyer related to this Agreement, and any other agreements with the Buyer, without first obtaining the approval of the Company’s stockholders in compliance with the rules of the Trading Market. For the avoidance of doubt, the Company shall obtain Stockholder Approval regarding the issuance to the Buyer of 20% or more of its outstanding shares of Common Stock as required by the NASDAQ stock market rules regarding the shares of Common Stock issuable under the Notes, the ELOC Agreement, and the Warrant. The Company shall use its best efforts to permit the Buyer to review and comment upon the proxy statement within a reasonable time prior to their filing with the SEC, and the Company shall give reasonable consideration to all such comments</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(h)</w:t>
            </w:r>
          </w:p>
        </w:tc>
        <w:tc>
          <w:tcPr>
            <w:tcW w:w="9948" w:type="dxa"/>
            <w:tcBorders/>
            <w:vAlign w:val="center"/>
          </w:tcPr>
          <w:p>
            <w:pPr>
              <w:pStyle w:val="TableContents"/>
              <w:bidi w:val="0"/>
              <w:spacing w:before="0" w:after="283"/>
              <w:jc w:val="both"/>
              <w:rPr/>
            </w:pPr>
            <w:r>
              <w:rPr>
                <w:u w:val="single"/>
              </w:rPr>
              <w:t>Variable Rate Prohibition</w:t>
            </w:r>
            <w:r>
              <w:rPr/>
              <w:t>. For so long as any Note remains outstanding, the Company shall not enter into, issue, or amend any Variable Rate Transaction or equity-linked financing with price reset or floating conversion features without Buyer’s prior written consent. Notwithstanding the foregoing, the Company may enter into or amend any Variable Rate Transaction or equity-linked financing with price reset or floating conversion features without the prior written consent of the Buyer if the use of proceeds from such transaction is to repay all of the Notes in full and no further Notes may be issued pursuant to this Agreement. Notwithstanding the foregoing, the Company shall be permitted to effect a secondary offering of shares of Common Stock or other equity securities of the Company, provided that the aggregate amount such offering does not exceed $10,000,000, (b) a private placement of convertible preferred stock or other securities convertible or exercisable, as applicable, into Common Stock at a fixed conversion or exercise price, as applicable, provided that the aggregate amount of such offering does not exceed $10,000,000, and/or (c) a bona fide purchase order that qualifies for factoring by a traditional commercial factor at a factoring rate of less than 3% per month has a face value of no less than $5,000,000.</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u w:val="single"/>
              </w:rPr>
              <w:t>Breach of Covenants</w:t>
            </w:r>
            <w:r>
              <w:rPr/>
              <w:t xml:space="preserve">. If the Company breaches any of the covenants set forth in this </w:t>
            </w:r>
            <w:r>
              <w:rPr>
                <w:u w:val="single"/>
              </w:rPr>
              <w:t>Section 5</w:t>
            </w:r>
            <w:r>
              <w:rPr/>
              <w:t>, then in addition to any other remedies available to the Buyer pursuant to this Agreement, each such breach will be considered an Event of Default.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caps/>
                <w:u w:val="single"/>
              </w:rPr>
              <w:t>Transfer Agent Instructions</w:t>
            </w:r>
            <w:r>
              <w:rPr/>
              <w:t>. Prior to registration of the Conversion Shares under the Securities Act or the date on which the Conversion Shares may be sold pursuant to Rule 144 without any restriction as to the number of Securities as of a particular date that can then be immediately sold, all such certificates shall bear the restrictive legend specified in the Notes or Warrants as applicable. The Company warrants that: (i) no stop transfer instructions will be given by the Company to its Transfer Agent and that the Securities shall otherwise be freely transferable on the books and records of the Company as and to the extent provided in this Agreement and the Note(s); (ii) it will not direct its Transfer Agent not to transfer or delay, impair, and/or hinder its Transfer Agent in transferring (or issuing) (electronically or in certificated form) any certificate for Conversion Shares to be issued to the Buyer upon conversion of or otherwise pursuant to the Note, as and when required by the Note(s) or this Agreement; and (iii) it will not fail to direct its Transfer Agent not to remove or impair, delay, and/or hinder its Transfer Agent from removing any restrictive legend (or to withdraw any stop transfer instructions in respect thereof) on any certificate for any Conversion Shares as contemplated by the terms of this Agreement and the Note(s), as applicable. Nothing in this Section shall affect in any way the Buyer’s obligations and agreement to comply with all applicable prospectus delivery requirements, if any, upon re-sale of the Securities. If the Buyer provides the Company, with (i) an opinion of counsel in form, substance and scope customary for opinions in comparable transactions and upon which the Transfer Agent may rely, to the effect that a public sale or transfer of any Securities may be made without registration under the Securities Act and such sale or transfer is effected or (ii) the Buyer provides reasonable assurances that the Securities can be sold pursuant to Rule 144, the Company shall permit the transfer, and, in the case of the Conversion Shares, promptly instruct its Transfer Agent to issue one or more certificates, free from restrictive legend, in such name and in such denominations as specified by the Buyer or, in the sole discretion of the Buyer, the Company shall take all action necessary to ensure that such Common Stock is transferred electronically as DWAC (as defined in the Notes) shares.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may be inadequate and agrees, in the event of a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u w:val="single"/>
              </w:rPr>
              <w:t>CONDITIONS PRECEDENT TO THE COMPANY’S OBLIGATIONS TO SELL</w:t>
            </w:r>
            <w:r>
              <w:rPr/>
              <w:t>. The obligation of the Company hereunder to issue and sell any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5"/>
        <w:gridCol w:w="9836"/>
      </w:tblGrid>
      <w:tr>
        <w:trPr/>
        <w:tc>
          <w:tcPr>
            <w:tcW w:w="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(a)</w:t>
            </w:r>
          </w:p>
        </w:tc>
        <w:tc>
          <w:tcPr>
            <w:tcW w:w="9836" w:type="dxa"/>
            <w:tcBorders/>
            <w:vAlign w:val="center"/>
          </w:tcPr>
          <w:p>
            <w:pPr>
              <w:pStyle w:val="TableContents"/>
              <w:bidi w:val="0"/>
              <w:spacing w:before="0" w:after="283"/>
              <w:jc w:val="both"/>
              <w:rPr/>
            </w:pPr>
            <w:r>
              <w:rPr/>
              <w:t>The Buyer shall have executed this Agreement and delivered the same to the Company.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5"/>
        <w:gridCol w:w="9827"/>
      </w:tblGrid>
      <w:tr>
        <w:trPr/>
        <w:tc>
          <w:tcPr>
            <w:tcW w:w="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9827" w:type="dxa"/>
            <w:tcBorders/>
            <w:vAlign w:val="center"/>
          </w:tcPr>
          <w:p>
            <w:pPr>
              <w:pStyle w:val="TableContents"/>
              <w:bidi w:val="0"/>
              <w:spacing w:before="0" w:after="283"/>
              <w:jc w:val="both"/>
              <w:rPr/>
            </w:pPr>
            <w:r>
              <w:rPr/>
              <w:t xml:space="preserve">The Buyer shall have delivered the Funding Amount in accordance with </w:t>
            </w:r>
            <w:r>
              <w:rPr>
                <w:u w:val="single"/>
              </w:rPr>
              <w:t>Section 1</w:t>
            </w:r>
            <w:r>
              <w:rPr/>
              <w:t xml:space="preserve"> above.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The representations and warranties of the Buyer shall be true and correct in all material respects as of the date when made and as of the First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First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pPr>
            <w:r>
              <w:rPr>
                <w:u w:val="single"/>
              </w:rPr>
              <w:t>CONDITIONS PRECEDENT TO THE BUYER’S OBLIGATION TO PURCHASE</w:t>
            </w:r>
            <w:r>
              <w:rPr/>
              <w:t>. The obligation of the Buyer hereunder to purchase any Note and fund any such Note at any Closing is subject to the satisfaction, at or before the applicable Closing Date of each of the following conditions, provided that these conditions are for the Buyer’s sole benefit and may be waived by the Buyer at any time in its sole discretion:</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The Company shall have executed this Agreement and delivered the same to the Buyer on the First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The Company shall have filed the Registration Statement with the SEC in accordance with Section 5(f) of this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945"/>
        <w:gridCol w:w="7992"/>
      </w:tblGrid>
      <w:tr>
        <w:trPr/>
        <w:tc>
          <w:tcPr>
            <w:tcW w:w="26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pPr>
            <w:r>
              <w:rPr/>
              <w:t>(c)</w:t>
            </w:r>
          </w:p>
        </w:tc>
        <w:tc>
          <w:tcPr>
            <w:tcW w:w="7992" w:type="dxa"/>
            <w:tcBorders/>
            <w:vAlign w:val="center"/>
          </w:tcPr>
          <w:p>
            <w:pPr>
              <w:pStyle w:val="TableContents"/>
              <w:bidi w:val="0"/>
              <w:spacing w:before="0" w:after="283"/>
              <w:jc w:val="both"/>
              <w:rPr/>
            </w:pPr>
            <w:r>
              <w:rPr/>
              <w:t>[Reserved.]</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283"/>
              <w:jc w:val="both"/>
              <w:rPr/>
            </w:pPr>
            <w:r>
              <w:rPr/>
              <w:t>The Company shall have executed the ELOC Agreement and delivered the same to the Buyer on the First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283"/>
              <w:jc w:val="both"/>
              <w:rPr/>
            </w:pPr>
            <w:r>
              <w:rPr/>
              <w:t>The Company shall have executed the Registration Rights Agreement and delivered the same to the Buyer on the First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(f)</w:t>
            </w:r>
          </w:p>
        </w:tc>
        <w:tc>
          <w:tcPr>
            <w:tcW w:w="9969" w:type="dxa"/>
            <w:tcBorders/>
            <w:vAlign w:val="center"/>
          </w:tcPr>
          <w:p>
            <w:pPr>
              <w:pStyle w:val="TableContents"/>
              <w:bidi w:val="0"/>
              <w:spacing w:before="0" w:after="283"/>
              <w:jc w:val="both"/>
              <w:rPr/>
            </w:pPr>
            <w:r>
              <w:rPr/>
              <w:t>The Company shall have received authorization and consent from J.J. Astor to grant to Buyer a second priority Lien and security interest in and to all assets of the Company, including, without limitation, the Intellectual Property of the Company.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(g)</w:t>
            </w:r>
          </w:p>
        </w:tc>
        <w:tc>
          <w:tcPr>
            <w:tcW w:w="9899" w:type="dxa"/>
            <w:tcBorders/>
            <w:vAlign w:val="center"/>
          </w:tcPr>
          <w:p>
            <w:pPr>
              <w:pStyle w:val="TableContents"/>
              <w:bidi w:val="0"/>
              <w:spacing w:before="0" w:after="283"/>
              <w:jc w:val="both"/>
              <w:rPr/>
            </w:pPr>
            <w:r>
              <w:rPr/>
              <w:t xml:space="preserve">The Company shall have delivered to the Buyer the duly executed Note in accordance with </w:t>
            </w:r>
            <w:r>
              <w:rPr>
                <w:u w:val="single"/>
              </w:rPr>
              <w:t>Section 1</w:t>
            </w:r>
            <w:r>
              <w:rPr/>
              <w:t xml:space="preserve"> above on the applicable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(h)</w:t>
            </w:r>
          </w:p>
        </w:tc>
        <w:tc>
          <w:tcPr>
            <w:tcW w:w="9893" w:type="dxa"/>
            <w:tcBorders/>
            <w:vAlign w:val="center"/>
          </w:tcPr>
          <w:p>
            <w:pPr>
              <w:pStyle w:val="TableContents"/>
              <w:bidi w:val="0"/>
              <w:spacing w:before="0" w:after="283"/>
              <w:jc w:val="both"/>
              <w:rPr/>
            </w:pPr>
            <w:r>
              <w:rPr/>
              <w:t>The Company shall have delivered to the Buyer the duly executed Transfer Agent Instruction Letter on the First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Company shall have delivered a copy of its Directors’ resolutions relating to the transactions contemplated hereby, the form of which is reasonably acceptable to the Buyer, on the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(j)</w:t>
            </w:r>
          </w:p>
        </w:tc>
        <w:tc>
          <w:tcPr>
            <w:tcW w:w="9997" w:type="dxa"/>
            <w:tcBorders/>
            <w:vAlign w:val="center"/>
          </w:tcPr>
          <w:p>
            <w:pPr>
              <w:pStyle w:val="TableContents"/>
              <w:bidi w:val="0"/>
              <w:spacing w:before="0" w:after="283"/>
              <w:jc w:val="both"/>
              <w:rPr/>
            </w:pPr>
            <w:r>
              <w:rPr/>
              <w:t>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as of each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(k)</w:t>
            </w:r>
          </w:p>
        </w:tc>
        <w:tc>
          <w:tcPr>
            <w:tcW w:w="9931" w:type="dxa"/>
            <w:tcBorders/>
            <w:vAlign w:val="center"/>
          </w:tcPr>
          <w:p>
            <w:pPr>
              <w:pStyle w:val="TableContents"/>
              <w:bidi w:val="0"/>
              <w:spacing w:before="0" w:after="283"/>
              <w:jc w:val="both"/>
              <w:rPr/>
            </w:pPr>
            <w:r>
              <w:rPr/>
              <w:t>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 as of the subject Closing Date.</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(l)</w:t>
            </w:r>
          </w:p>
        </w:tc>
        <w:tc>
          <w:tcPr>
            <w:tcW w:w="9967" w:type="dxa"/>
            <w:tcBorders/>
            <w:vAlign w:val="center"/>
          </w:tcPr>
          <w:p>
            <w:pPr>
              <w:pStyle w:val="TableContents"/>
              <w:bidi w:val="0"/>
              <w:spacing w:before="0" w:after="283"/>
              <w:jc w:val="both"/>
              <w:rPr/>
            </w:pPr>
            <w:r>
              <w:rPr/>
              <w:t>The Company shall have delivered to the Buyer a copy of its certificate of good standing with the State of Delaware dated within five (5) days of the subject Closing.</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(m)</w:t>
            </w:r>
          </w:p>
        </w:tc>
        <w:tc>
          <w:tcPr>
            <w:tcW w:w="9849" w:type="dxa"/>
            <w:tcBorders/>
            <w:vAlign w:val="center"/>
          </w:tcPr>
          <w:p>
            <w:pPr>
              <w:pStyle w:val="TableContents"/>
              <w:bidi w:val="0"/>
              <w:spacing w:before="0" w:after="283"/>
              <w:jc w:val="both"/>
              <w:rPr/>
            </w:pPr>
            <w:r>
              <w:rPr/>
              <w:t>The Company shall have delivered a legal opinion to the Transfer Agent regarding the issuance of the Conversion Shares in form and substance acceptable to the Buyer.</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(n)</w:t>
            </w:r>
          </w:p>
        </w:tc>
        <w:tc>
          <w:tcPr>
            <w:tcW w:w="9946" w:type="dxa"/>
            <w:tcBorders/>
            <w:vAlign w:val="center"/>
          </w:tcPr>
          <w:p>
            <w:pPr>
              <w:pStyle w:val="TableContents"/>
              <w:bidi w:val="0"/>
              <w:spacing w:before="0" w:after="283"/>
              <w:jc w:val="both"/>
              <w:rPr/>
            </w:pPr>
            <w:r>
              <w:rPr/>
              <w:t>The representations and warranties of the Company shall be true and correct in all material respects as of the date when made and as of the Execution Date and the subject Closing Date as though made at such time (except for representations and warranties that speak as of a specific date, which shall be true and correct in all material respects as of such specific date) and the Company shall have performed, satisfied and complied in all material respects with the covenants, agreements and conditions required by this Agreement to be performed, satisfied or complied with by the Company at or prior to the subject Closing Date. The Buyer shall have received a certificate or certificates, executed by the chief executive officer of the Company, dated as of the subject Closing Date, to the foregoing effect and as to such other matters as may be reasonably requested by the Buyer, in the form prescribed by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446"/>
        <w:gridCol w:w="9675"/>
      </w:tblGrid>
      <w:tr>
        <w:trPr/>
        <w:tc>
          <w:tcPr>
            <w:tcW w:w="8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pPr>
            <w:r>
              <w:rPr/>
              <w:t>9.</w:t>
            </w:r>
          </w:p>
        </w:tc>
        <w:tc>
          <w:tcPr>
            <w:tcW w:w="9675" w:type="dxa"/>
            <w:tcBorders/>
            <w:vAlign w:val="center"/>
          </w:tcPr>
          <w:p>
            <w:pPr>
              <w:pStyle w:val="TableContents"/>
              <w:bidi w:val="0"/>
              <w:spacing w:before="0" w:after="283"/>
              <w:jc w:val="both"/>
              <w:rPr/>
            </w:pPr>
            <w:r>
              <w:rPr>
                <w:u w:val="single"/>
              </w:rPr>
              <w:t>GOVERNING LAW; MISCELLANEOUS</w:t>
            </w:r>
            <w:r>
              <w:rPr/>
              <w: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u w:val="single"/>
              </w:rPr>
              <w:t>Governing Law</w:t>
            </w:r>
            <w:r>
              <w:rPr/>
              <w:t>. This Agreement shall be governed by and construed in accordance with the laws of the State of Nevada without regard to principles of conflicts of laws. Any dispute, controversy, difference or claim that may arise between the Company and the Buyer in connection with these Transaction Documents, shall be submitted to binding arbitration governed by the rules of the American Arbitration Association. The seat of the arbitration shall be in the State of Nevada and County of Clark. There shall be only one arbitrator selected in accordance with the rules of the American Arbitration Association. The arbitration shall be conducted in English and may be conducted in a virtual setting. The arbitrator’s decision shall be final and binding and judgment may be entered thereon.</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9923" w:type="dxa"/>
            <w:tcBorders/>
            <w:vAlign w:val="center"/>
          </w:tcPr>
          <w:p>
            <w:pPr>
              <w:pStyle w:val="TableContents"/>
              <w:bidi w:val="0"/>
              <w:spacing w:before="0" w:after="283"/>
              <w:jc w:val="both"/>
              <w:rPr>
                <w:b/>
              </w:rPr>
            </w:pPr>
            <w:r>
              <w:rPr>
                <w:b/>
                <w:u w:val="single"/>
              </w:rPr>
              <w:t>JURY TRIAL WAIVER</w:t>
            </w:r>
            <w:r>
              <w:rPr>
                <w:b/>
              </w:rPr>
              <w:t>. THE COMPANY AND THE BUYER HEREBY WAIVE A TRIAL BY JURY IN ANY ACTION, PROCEEDING OR COUNTERCLAIM BROUGHT BY EITHER OF THE PARTIES HERETO AGAINST THE OTHER IN RESPECT OF ANY MATTER ARISING OUT OF OR IN CONNECTION WITH THE TRANSACTION DOCUMENTS.</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u w:val="single"/>
              </w:rPr>
              <w:t>Counterparts; Signatures by Electronic Mail</w:t>
            </w:r>
            <w:r>
              <w:rPr/>
              <w:t>. This Agreement may be executed in one or more counterparts, each of which shall be deemed an original but all of which shall constitute one and the same agreement and shall become effective when counterparts have been signed by each party and delivered to the other party. This Agreement, once executed by a party, may be delivered to the other party hereto by electronic mail transmission of a copy of this Agreement bearing the signature of the party so delivering this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(d)</w:t>
            </w:r>
          </w:p>
        </w:tc>
        <w:tc>
          <w:tcPr>
            <w:tcW w:w="9905" w:type="dxa"/>
            <w:tcBorders/>
            <w:vAlign w:val="center"/>
          </w:tcPr>
          <w:p>
            <w:pPr>
              <w:pStyle w:val="TableContents"/>
              <w:bidi w:val="0"/>
              <w:spacing w:before="0" w:after="283"/>
              <w:jc w:val="both"/>
              <w:rPr/>
            </w:pPr>
            <w:r>
              <w:rPr>
                <w:u w:val="single"/>
              </w:rPr>
              <w:t>Headings</w:t>
            </w:r>
            <w:r>
              <w:rPr/>
              <w:t>. The headings of this Agreement are for convenience of reference only and shall not form part of, or affect the interpretation of, this Agreement.</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u w:val="single"/>
              </w:rPr>
              <w:t>Severability</w:t>
            </w:r>
            <w:r>
              <w:rPr/>
              <w:t>. In the event that any provision of this Agreement or of any of the Transaction Documents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both"/>
              <w:rPr/>
            </w:pPr>
            <w:r>
              <w:rPr>
                <w:u w:val="single"/>
              </w:rPr>
              <w:t>Entire Agreement; Amendments</w:t>
            </w:r>
            <w:r>
              <w:rPr/>
              <w:t>. This Agreement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may be waived or amended other than by an instrument in writing signed by the Buyer and the Company.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(g)</w:t>
            </w:r>
          </w:p>
        </w:tc>
        <w:tc>
          <w:tcPr>
            <w:tcW w:w="9948" w:type="dxa"/>
            <w:tcBorders/>
            <w:vAlign w:val="center"/>
          </w:tcPr>
          <w:p>
            <w:pPr>
              <w:pStyle w:val="TableContents"/>
              <w:bidi w:val="0"/>
              <w:spacing w:before="0" w:after="283"/>
              <w:jc w:val="both"/>
              <w:rPr/>
            </w:pPr>
            <w:r>
              <w:rPr>
                <w:u w:val="single"/>
              </w:rPr>
              <w:t>Notices</w:t>
            </w:r>
            <w:r>
              <w:rPr/>
              <w:t>. All notices, demands, requests, consents, approvals, and other communications required or permitted hereunder shall be in writing and, unless otherwise specified herein, shall be (a) personally served, (b) deposited in the mail, registered or certified, return receipt requested, postage prepaid, (c) delivered by reputable air courier service with charges prepaid, or (d) transmitted by hand delivery, or e-mail, addressed as set forth below or to such other address as such party shall have specified most recently by written notice given in accordance herewith. Any notice or other communication required or permitted to be given hereunder shall be deemed effective (i)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 or (ii) on the second business day following the date of mailing by express courier service or on the fifth business day after deposited in the mail, in each case, fully prepaid, addressed to such address, or upon actual receipt of such mailing, whichever shall first occur.</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2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2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89118</w:t>
      </w:r>
    </w:p>
    <w:p>
      <w:pPr>
        <w:pStyle w:val="TextBody"/>
        <w:bidi w:val="0"/>
        <w:spacing w:before="0" w:after="0"/>
        <w:ind w:left="2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Charles Maddox</w:t>
      </w:r>
    </w:p>
    <w:p>
      <w:pPr>
        <w:pStyle w:val="TextBody"/>
        <w:bidi w:val="0"/>
        <w:spacing w:before="0" w:after="0"/>
        <w:ind w:left="2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charlie@daic.ai</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 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#920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Yash Thukral, Managing Director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Either party hereto may from time to time change its address or e-mail for notices under this </w:t>
      </w:r>
      <w:r>
        <w:rPr>
          <w:rFonts w:ascii="Times New Roman;Times;Serif" w:hAnsi="Times New Roman;Times;Serif"/>
          <w:b w:val="false"/>
          <w:i w:val="false"/>
          <w:caps w:val="false"/>
          <w:smallCaps w:val="false"/>
          <w:sz w:val="20"/>
          <w:u w:val="single"/>
        </w:rPr>
        <w:t>Section 9(g)</w:t>
      </w:r>
      <w:r>
        <w:rPr>
          <w:rFonts w:ascii="Times New Roman;Times;Serif" w:hAnsi="Times New Roman;Times;Serif"/>
          <w:b w:val="false"/>
          <w:i w:val="false"/>
          <w:caps w:val="false"/>
          <w:smallCaps w:val="false"/>
          <w:sz w:val="20"/>
        </w:rPr>
        <w:t xml:space="preserve"> by giving prior written notice of such changed address to the other party hereto.</w:t>
      </w:r>
    </w:p>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u w:val="single"/>
              </w:rPr>
              <w:t>Successors and Assigns</w:t>
            </w:r>
            <w:r>
              <w:rPr/>
              <w:t xml:space="preserve">. This Agreement shall be binding upon and inure to the benefit of the parties and their successors and assigns. Neither the Company nor the Buyer shall assign this Agreement or any rights or obligations hereunder without the prior written consent of the other. Notwithstanding the foregoing, subject to </w:t>
            </w:r>
            <w:r>
              <w:rPr>
                <w:u w:val="single"/>
              </w:rPr>
              <w:t>Section 4(c)</w:t>
            </w:r>
            <w:r>
              <w:rPr/>
              <w:t>, the Buyer may assign its rights hereunder to any person that purchases Securities in a private transaction from the Buyer or to any of its “affiliates,” as that term is defined under the Exchange Act, without the consent of the Company.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u w:val="single"/>
              </w:rPr>
              <w:t>Third Party Beneficiaries</w:t>
            </w:r>
            <w:r>
              <w:rPr/>
              <w:t>. This Agreement is intended for the benefit of the parties hereto and their respective permitted successors and assigns and is not for the benefit of, nor may any provision hereof be enforced by, any other person.</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(j)</w:t>
            </w:r>
          </w:p>
        </w:tc>
        <w:tc>
          <w:tcPr>
            <w:tcW w:w="10007" w:type="dxa"/>
            <w:tcBorders/>
            <w:vAlign w:val="center"/>
          </w:tcPr>
          <w:p>
            <w:pPr>
              <w:pStyle w:val="TableContents"/>
              <w:bidi w:val="0"/>
              <w:spacing w:before="0" w:after="283"/>
              <w:jc w:val="both"/>
              <w:rPr/>
            </w:pPr>
            <w:r>
              <w:rPr>
                <w:u w:val="single"/>
              </w:rPr>
              <w:t>Survival</w:t>
            </w:r>
            <w:r>
              <w:rPr/>
              <w:t>. The representations and warranties of the Company and the agreements and covenants set forth in this Agreement shall survive the Closings hereunder as well as the termination/satisfaction of the Notes until the expiration of the statute of limitations applicable to matters covered thereby. The Company agrees to indemnify and hold harmless the Buyer and all their officers, directors, employees and agents for loss or damage arising as a result of or related to any breach by the Company of any of its representations, warranties and covenants set forth in this Agreement or any of its covenants and obligations under this Agreement, including advancement of expenses as they are incurred. The Buyer agrees to indemnify and hold harmless the Company and all its officers, directors, employees and agents for loss or damage arising as a result of or related to any breach by the Buyer of any of its representations, warranties and covenants set forth in this Agreement or any of its covenants and obligations under this Agreement, including advancement of expenses as they are incurred.</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(k)</w:t>
            </w:r>
          </w:p>
        </w:tc>
        <w:tc>
          <w:tcPr>
            <w:tcW w:w="9936" w:type="dxa"/>
            <w:tcBorders/>
            <w:vAlign w:val="center"/>
          </w:tcPr>
          <w:p>
            <w:pPr>
              <w:pStyle w:val="TableContents"/>
              <w:bidi w:val="0"/>
              <w:spacing w:before="0" w:after="283"/>
              <w:jc w:val="both"/>
              <w:rPr/>
            </w:pPr>
            <w:r>
              <w:rPr>
                <w:u w:val="single"/>
              </w:rPr>
              <w:t>Further Assurances</w:t>
            </w:r>
            <w:r>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(l)</w:t>
            </w:r>
          </w:p>
        </w:tc>
        <w:tc>
          <w:tcPr>
            <w:tcW w:w="9979" w:type="dxa"/>
            <w:tcBorders/>
            <w:vAlign w:val="center"/>
          </w:tcPr>
          <w:p>
            <w:pPr>
              <w:pStyle w:val="TableContents"/>
              <w:bidi w:val="0"/>
              <w:spacing w:before="0" w:after="283"/>
              <w:jc w:val="both"/>
              <w:rPr/>
            </w:pPr>
            <w:r>
              <w:rPr>
                <w:u w:val="single"/>
              </w:rPr>
              <w:t>No Strict Construction</w:t>
            </w:r>
            <w:r>
              <w:rPr/>
              <w:t>. The language used in this Agreement will be deemed to be the language chosen by the parties to express their mutual intent, and no rules of strict construction will be applied against any party.</w:t>
            </w:r>
          </w:p>
        </w:tc>
      </w:tr>
    </w:tbl>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528"/>
        <w:gridCol w:w="7403"/>
      </w:tblGrid>
      <w:tr>
        <w:trPr/>
        <w:tc>
          <w:tcPr>
            <w:tcW w:w="274"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pPr>
            <w:r>
              <w:rPr/>
              <w:t>(m)</w:t>
            </w:r>
          </w:p>
        </w:tc>
        <w:tc>
          <w:tcPr>
            <w:tcW w:w="7403" w:type="dxa"/>
            <w:tcBorders/>
            <w:vAlign w:val="center"/>
          </w:tcPr>
          <w:p>
            <w:pPr>
              <w:pStyle w:val="TableContents"/>
              <w:bidi w:val="0"/>
              <w:spacing w:before="0" w:after="283"/>
              <w:jc w:val="both"/>
              <w:rPr/>
            </w:pPr>
            <w:r>
              <w:rPr>
                <w:u w:val="single"/>
              </w:rPr>
              <w:t>Remedies</w:t>
            </w:r>
            <w:r>
              <w:rPr/>
              <w:t>.</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Buyer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any other remedy provided herein or in any document executed in connection herewith, the Company shall pay the Buyer for all costs, fees and expenses in connection with any arbitration, litigation, contest, dispute, suit or any other action to enforce any rights of the Buyer against the Company in connection herewith, including, but not limited to, costs and expenses and attorneys’ fees, and costs and time charges of counsel to the Buyer;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Company’s obligation to pay such costs, fees, and expenses shall only arise if and to the extent the Buyer prevails in such arbitration, litigation, contest, dispute, suit, or other action.</w:t>
      </w:r>
    </w:p>
    <w:p>
      <w:pPr>
        <w:pStyle w:val="TextBody"/>
        <w:bidi w:val="0"/>
        <w:spacing w:before="0" w:after="0"/>
        <w:ind w:left="23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(n)</w:t>
            </w:r>
          </w:p>
        </w:tc>
        <w:tc>
          <w:tcPr>
            <w:tcW w:w="9943" w:type="dxa"/>
            <w:tcBorders/>
            <w:vAlign w:val="center"/>
          </w:tcPr>
          <w:p>
            <w:pPr>
              <w:pStyle w:val="TableContents"/>
              <w:bidi w:val="0"/>
              <w:spacing w:before="0" w:after="283"/>
              <w:jc w:val="both"/>
              <w:rPr/>
            </w:pPr>
            <w:r>
              <w:rPr>
                <w:u w:val="single"/>
              </w:rPr>
              <w:t>Publicity</w:t>
            </w:r>
            <w:r>
              <w:rPr/>
              <w:t xml:space="preserve">. The Company and the Buyer shall have the right to review a reasonable period of time before issuance of any press releases, SEC, Trading Market, or FINRA filings, or any other public statements with respect to the transactions contemplated hereby; </w:t>
            </w:r>
            <w:r>
              <w:rPr>
                <w:u w:val="single"/>
              </w:rPr>
              <w:t>provided</w:t>
            </w:r>
            <w:r>
              <w:rPr/>
              <w:t xml:space="preserve">, </w:t>
            </w:r>
            <w:r>
              <w:rPr>
                <w:u w:val="single"/>
              </w:rPr>
              <w:t>however</w:t>
            </w:r>
            <w:r>
              <w:rPr/>
              <w:t>, that the Company shall be entitled, without the prior approval of the Buyer, to make any press release or SEC, Trading Market or FINRA filings with respect to such transactions as is required by applicable law and regulations (although the Buyer shall be consulted by the Company in connection with any such press release prior to its release and shall be provided with a copy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10.</w:t>
            </w:r>
          </w:p>
        </w:tc>
        <w:tc>
          <w:tcPr>
            <w:tcW w:w="9882" w:type="dxa"/>
            <w:tcBorders/>
            <w:vAlign w:val="center"/>
          </w:tcPr>
          <w:p>
            <w:pPr>
              <w:pStyle w:val="TableContents"/>
              <w:bidi w:val="0"/>
              <w:spacing w:before="0" w:after="283"/>
              <w:jc w:val="both"/>
              <w:rPr/>
            </w:pPr>
            <w:r>
              <w:rPr>
                <w:u w:val="single"/>
              </w:rPr>
              <w:t>DEFINED TERMS</w:t>
            </w:r>
            <w:r>
              <w:rPr/>
              <w:t>. As used in this Agreement, the following terms shall have the following meanings specified or indicated (such meanings to be equally applicable to both the singular and plural forms of the terms defined):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policies of such Person, whether through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mean any securities of the Company entitling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has the meaning set forth 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shall mean any loss, claim, damage, liability, cost and expense (including, without limitation, reasonable attorneys’ fees and disbursements and costs and expenses of expert witnesses and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Conversion Price</w:t>
      </w:r>
      <w:r>
        <w:rPr>
          <w:rFonts w:ascii="Times New Roman;Times;Serif" w:hAnsi="Times New Roman;Times;Serif"/>
          <w:b w:val="false"/>
          <w:i w:val="false"/>
          <w:caps w:val="false"/>
          <w:smallCaps w:val="false"/>
          <w:sz w:val="20"/>
        </w:rPr>
        <w:t>” has the meaning set forth 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set forth 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and includes any hazardous, toxic or dangerous waste, substance or material, the generation, handling, storage, disposal, treatment or emission of which is subject to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including the phrase “</w:t>
      </w:r>
      <w:r>
        <w:rPr>
          <w:rFonts w:ascii="Times New Roman;Times;Serif" w:hAnsi="Times New Roman;Times;Serif"/>
          <w:b w:val="false"/>
          <w:i w:val="false"/>
          <w:caps w:val="false"/>
          <w:smallCaps w:val="false"/>
          <w:sz w:val="20"/>
          <w:u w:val="single"/>
        </w:rPr>
        <w:t>to the Company’s Knowledge</w:t>
      </w:r>
      <w:r>
        <w:rPr>
          <w:rFonts w:ascii="Times New Roman;Times;Serif" w:hAnsi="Times New Roman;Times;Serif"/>
          <w:b w:val="false"/>
          <w:i w:val="false"/>
          <w:caps w:val="false"/>
          <w:smallCaps w:val="false"/>
          <w:sz w:val="20"/>
        </w:rPr>
        <w:t>” shall mean the actual knowledge after reasonable investigation of the Company’s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lien, charge, pledge, security interest, encumbrance, right of first refusal, pre-emptive right or any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effect on the business, operations, properties, or financial condition of the Company and/or the Subsidiaries that is material and adverse to the Company and/or the Subsidiaries and/or any condition, circumstance, or situation that prohibits or otherwise materially interferes with the ability of the Company and/or the Subsidiaries to enter into and/or perform its obligations under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means any Subsidiary with assets, liabilities or operations that is material to the business, operations, properties or financial condition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Discount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OID</w:t>
      </w:r>
      <w:r>
        <w:rPr>
          <w:rFonts w:ascii="Times New Roman;Times;Serif" w:hAnsi="Times New Roman;Times;Serif"/>
          <w:b w:val="false"/>
          <w:i w:val="false"/>
          <w:caps w:val="false"/>
          <w:smallCaps w:val="false"/>
          <w:sz w:val="20"/>
        </w:rPr>
        <w:t>” means the discount from the original principal amount at which each Note is sold to the Buyer, equal to twenty percent (20%).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or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hereof, among the Company and the Buyer,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collectively, the Notes, the Conversion Shares, and any other securities of the Company issued in connection with or in exchange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NASDAQ stock market shall be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Note, the Transfer Agent Instruction Letter and all schedules and exhibits hereto and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the current transfer agent of the Company,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 Instruction Letter</w:t>
      </w:r>
      <w:r>
        <w:rPr>
          <w:rFonts w:ascii="Times New Roman;Times;Serif" w:hAnsi="Times New Roman;Times;Serif"/>
          <w:b w:val="false"/>
          <w:i w:val="false"/>
          <w:caps w:val="false"/>
          <w:smallCaps w:val="false"/>
          <w:sz w:val="20"/>
        </w:rPr>
        <w:t xml:space="preserve">” means the letter from the Company to the Transfer Agent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or in such other form approved by the Buyer.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that provides for the issuance of additional equity securities of the Company or the payment of cash by the Company, or (iii) enters into any agreement, including, but not limited to, an “equity line of credit”, an “at-the-market” offering, or other continuous offering or similar offering of Common Stock or Common Stock Equivalents, whereby the Company may sell Common Stock or Common Stock Equivalents at a future determined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means that certain warrant to purchase Common Stock issued by the Company to the Buyer under the ELOC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Buyer and the Company have caused their respective signature page to this Note Purchase Agreement to be duly executed as of the Execution Date.</w:t>
      </w:r>
    </w:p>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590"/>
        <w:gridCol w:w="2180"/>
      </w:tblGrid>
      <w:tr>
        <w:trPr/>
        <w:tc>
          <w:tcPr>
            <w:tcW w:w="75" w:type="dxa"/>
            <w:tcBorders/>
            <w:vAlign w:val="center"/>
          </w:tcPr>
          <w:p>
            <w:pPr>
              <w:pStyle w:val="TableContents"/>
              <w:bidi w:val="0"/>
              <w:spacing w:before="0" w:after="283"/>
              <w:jc w:val="both"/>
              <w:rPr/>
            </w:pPr>
            <w:r>
              <w:rPr/>
              <w:t> </w:t>
            </w:r>
          </w:p>
        </w:tc>
        <w:tc>
          <w:tcPr>
            <w:tcW w:w="2770" w:type="dxa"/>
            <w:gridSpan w:val="2"/>
            <w:tcBorders/>
            <w:vAlign w:val="center"/>
          </w:tcPr>
          <w:p>
            <w:pPr>
              <w:pStyle w:val="TableContents"/>
              <w:bidi w:val="0"/>
              <w:spacing w:before="0" w:after="283"/>
              <w:jc w:val="both"/>
              <w:rPr>
                <w:b/>
                <w:sz w:val="20"/>
              </w:rPr>
            </w:pPr>
            <w:r>
              <w:rPr>
                <w:b/>
                <w:sz w:val="20"/>
                <w:u w:val="single"/>
              </w:rPr>
              <w:t>COMPANY</w:t>
            </w:r>
            <w:r>
              <w:rPr>
                <w:b/>
                <w:sz w:val="20"/>
              </w:rPr>
              <w:t>:</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70" w:type="dxa"/>
            <w:gridSpan w:val="2"/>
            <w:tcBorders/>
            <w:vAlign w:val="center"/>
          </w:tcPr>
          <w:p>
            <w:pPr>
              <w:pStyle w:val="TableContents"/>
              <w:bidi w:val="0"/>
              <w:spacing w:before="0" w:after="283"/>
              <w:jc w:val="both"/>
              <w:rPr>
                <w:b/>
                <w:sz w:val="20"/>
              </w:rPr>
            </w:pPr>
            <w:r>
              <w:rPr>
                <w:b/>
                <w:sz w:val="20"/>
              </w:rPr>
              <w:t>CID HOLDCO, INC.</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2180" w:type="dxa"/>
            <w:tcBorders/>
            <w:vAlign w:val="center"/>
          </w:tcPr>
          <w:p>
            <w:pPr>
              <w:pStyle w:val="TableContents"/>
              <w:bidi w:val="0"/>
              <w:spacing w:before="0" w:after="283"/>
              <w:jc w:val="both"/>
              <w:rPr>
                <w:sz w:val="20"/>
              </w:rPr>
            </w:pPr>
            <w:r>
              <w:rPr>
                <w:sz w:val="20"/>
              </w:rPr>
              <w:t>Edmund Nabrotzky</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2180" w:type="dxa"/>
            <w:tcBorders/>
            <w:vAlign w:val="center"/>
          </w:tcPr>
          <w:p>
            <w:pPr>
              <w:pStyle w:val="TableContents"/>
              <w:bidi w:val="0"/>
              <w:spacing w:before="0" w:after="283"/>
              <w:jc w:val="both"/>
              <w:rPr>
                <w:sz w:val="20"/>
              </w:rPr>
            </w:pPr>
            <w:r>
              <w:rPr>
                <w:sz w:val="20"/>
              </w:rPr>
              <w:t>Chief Executive Officer</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70" w:type="dxa"/>
            <w:gridSpan w:val="2"/>
            <w:tcBorders/>
            <w:vAlign w:val="center"/>
          </w:tcPr>
          <w:p>
            <w:pPr>
              <w:pStyle w:val="TableContents"/>
              <w:bidi w:val="0"/>
              <w:spacing w:before="0" w:after="283"/>
              <w:jc w:val="both"/>
              <w:rPr>
                <w:b/>
                <w:sz w:val="20"/>
              </w:rPr>
            </w:pPr>
            <w:r>
              <w:rPr>
                <w:b/>
                <w:sz w:val="20"/>
                <w:u w:val="single"/>
              </w:rPr>
              <w:t>BUYER</w:t>
            </w:r>
            <w:r>
              <w:rPr>
                <w:b/>
                <w:sz w:val="20"/>
              </w:rPr>
              <w:t>:</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b/>
                <w:caps/>
                <w:sz w:val="20"/>
              </w:rPr>
            </w:pPr>
            <w:r>
              <w:rPr>
                <w:b/>
                <w:caps/>
                <w:sz w:val="20"/>
              </w:rPr>
              <w:t>WHITE LION CAPITAL,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Yash Thukral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180" w:type="dxa"/>
            <w:tcBorders/>
            <w:vAlign w:val="center"/>
          </w:tcPr>
          <w:p>
            <w:pPr>
              <w:pStyle w:val="TableContents"/>
              <w:bidi w:val="0"/>
              <w:spacing w:before="0" w:after="283"/>
              <w:jc w:val="left"/>
              <w:rPr>
                <w:sz w:val="20"/>
              </w:rPr>
            </w:pPr>
            <w:r>
              <w:rPr>
                <w:sz w:val="20"/>
              </w:rPr>
              <w:t>Yash Thukral, JD</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Title: </w:t>
            </w:r>
          </w:p>
        </w:tc>
        <w:tc>
          <w:tcPr>
            <w:tcW w:w="2180" w:type="dxa"/>
            <w:tcBorders/>
            <w:vAlign w:val="center"/>
          </w:tcPr>
          <w:p>
            <w:pPr>
              <w:pStyle w:val="TableContents"/>
              <w:bidi w:val="0"/>
              <w:spacing w:before="0" w:after="283"/>
              <w:jc w:val="both"/>
              <w:rPr>
                <w:sz w:val="20"/>
              </w:rPr>
            </w:pPr>
            <w:r>
              <w:rPr>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Signature Page to Note Purchase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ISSUANCE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CLOSING</w:t>
      </w:r>
    </w:p>
    <w:p>
      <w:pPr>
        <w:pStyle w:val="TextBody"/>
        <w:bidi w:val="0"/>
        <w:spacing w:before="0" w:after="0"/>
        <w:ind w:left="0" w:right="0" w:hanging="0"/>
        <w:jc w:val="both"/>
        <w:rPr>
          <w:caps w:val="false"/>
          <w:smallCaps w:val="false"/>
        </w:rPr>
      </w:pPr>
      <w:r>
        <w:rPr>
          <w:caps w:val="false"/>
          <w:smallCaps w:val="false"/>
        </w:rPr>
        <w:t> </w:t>
      </w:r>
    </w:p>
    <w:tbl>
      <w:tblPr>
        <w:tblW w:w="6088" w:type="dxa"/>
        <w:jc w:val="left"/>
        <w:tblInd w:w="0" w:type="dxa"/>
        <w:tblLayout w:type="fixed"/>
        <w:tblCellMar>
          <w:top w:w="0" w:type="dxa"/>
          <w:left w:w="0" w:type="dxa"/>
          <w:bottom w:w="0" w:type="dxa"/>
          <w:right w:w="0" w:type="dxa"/>
        </w:tblCellMar>
      </w:tblPr>
      <w:tblGrid>
        <w:gridCol w:w="2435"/>
        <w:gridCol w:w="60"/>
        <w:gridCol w:w="291"/>
        <w:gridCol w:w="1663"/>
        <w:gridCol w:w="60"/>
        <w:gridCol w:w="60"/>
        <w:gridCol w:w="215"/>
        <w:gridCol w:w="1229"/>
        <w:gridCol w:w="75"/>
      </w:tblGrid>
      <w:tr>
        <w:trPr/>
        <w:tc>
          <w:tcPr>
            <w:tcW w:w="2435" w:type="dxa"/>
            <w:tcBorders/>
            <w:vAlign w:val="center"/>
          </w:tcPr>
          <w:p>
            <w:pPr>
              <w:pStyle w:val="TableContents"/>
              <w:bidi w:val="0"/>
              <w:spacing w:before="0" w:after="283"/>
              <w:jc w:val="left"/>
              <w:rPr>
                <w:b/>
                <w:sz w:val="20"/>
              </w:rPr>
            </w:pPr>
            <w:r>
              <w:rPr>
                <w:b/>
                <w:sz w:val="20"/>
              </w:rPr>
              <w:t>(1)</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sz w:val="20"/>
              </w:rPr>
            </w:pPr>
            <w:r>
              <w:rPr>
                <w:b/>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(3)</w:t>
            </w:r>
          </w:p>
        </w:tc>
        <w:tc>
          <w:tcPr>
            <w:tcW w:w="7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before="0" w:after="283"/>
              <w:jc w:val="left"/>
              <w:rPr>
                <w:b/>
              </w:rPr>
            </w:pPr>
            <w:r>
              <w:rPr>
                <w:b/>
              </w:rPr>
              <w:t>Buyer</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Face Value of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Funding Amount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SUBSEQUENT CLOSINGS</w:t>
      </w:r>
    </w:p>
    <w:p>
      <w:pPr>
        <w:pStyle w:val="TextBody"/>
        <w:bidi w:val="0"/>
        <w:spacing w:before="0" w:after="0"/>
        <w:ind w:left="0" w:right="0" w:hanging="0"/>
        <w:jc w:val="both"/>
        <w:rPr>
          <w:caps w:val="false"/>
          <w:smallCaps w:val="false"/>
        </w:rPr>
      </w:pPr>
      <w:r>
        <w:rPr>
          <w:caps w:val="false"/>
          <w:smallCaps w:val="false"/>
        </w:rPr>
        <w:t> </w:t>
      </w:r>
    </w:p>
    <w:tbl>
      <w:tblPr>
        <w:tblW w:w="6088" w:type="dxa"/>
        <w:jc w:val="left"/>
        <w:tblInd w:w="0" w:type="dxa"/>
        <w:tblLayout w:type="fixed"/>
        <w:tblCellMar>
          <w:top w:w="0" w:type="dxa"/>
          <w:left w:w="0" w:type="dxa"/>
          <w:bottom w:w="0" w:type="dxa"/>
          <w:right w:w="0" w:type="dxa"/>
        </w:tblCellMar>
      </w:tblPr>
      <w:tblGrid>
        <w:gridCol w:w="2435"/>
        <w:gridCol w:w="60"/>
        <w:gridCol w:w="291"/>
        <w:gridCol w:w="1663"/>
        <w:gridCol w:w="60"/>
        <w:gridCol w:w="60"/>
        <w:gridCol w:w="215"/>
        <w:gridCol w:w="1229"/>
        <w:gridCol w:w="75"/>
      </w:tblGrid>
      <w:tr>
        <w:trPr/>
        <w:tc>
          <w:tcPr>
            <w:tcW w:w="2435" w:type="dxa"/>
            <w:tcBorders/>
            <w:vAlign w:val="center"/>
          </w:tcPr>
          <w:p>
            <w:pPr>
              <w:pStyle w:val="TableContents"/>
              <w:bidi w:val="0"/>
              <w:spacing w:before="0" w:after="283"/>
              <w:jc w:val="left"/>
              <w:rPr>
                <w:b/>
                <w:sz w:val="20"/>
              </w:rPr>
            </w:pPr>
            <w:r>
              <w:rPr>
                <w:b/>
                <w:sz w:val="20"/>
              </w:rPr>
              <w:t>(1)</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sz w:val="20"/>
              </w:rPr>
            </w:pPr>
            <w:r>
              <w:rPr>
                <w:b/>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before="0" w:after="283"/>
              <w:jc w:val="left"/>
              <w:rPr>
                <w:b/>
              </w:rPr>
            </w:pPr>
            <w:r>
              <w:rPr>
                <w:b/>
              </w:rPr>
              <w:t>Buyer</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Face Value of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Funding Amount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White Lion Capital, LLC</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287,500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230,000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White Lion Capital, LLC</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287,500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230,000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White Lion Capital, LLC</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287,500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230,000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White Lion Capital, LLC</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287,500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230,000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White Lion Capital, LLC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287,500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230,000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 – 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 – FORM OF ELOC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 – FORM OF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 - TRANSFER AGENT INSTRUCTIONS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8687601_ex10-4.htm"/>
      <w:bookmarkStart w:id="36" w:name="ksea028687601_ex104"/>
      <w:bookmarkEnd w:id="35"/>
      <w:bookmarkEnd w:id="36"/>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NOR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FILED PURSUANT TO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OF 20%. PURSUANT TO TREASURY REGULATION §1.1275-3(b)(1). CHARLES MADDOX, A REPRESENTATIVE OF THE COMPANY, WILL, BEGINNING TEN DAYS AFTER THE ISSUANCE DATE OF THIS NOTE, PROMPTLY MAKE AVAILABLE TO THE HOLDER UPON REQUEST THE INFORMATION DESCRIBED IN TREASURY REGULATION §1.1275-3(b)(1)(i). CHARLES MADDOX MAY BE REACHED AT THE TELEPHONE NUMBER HERETOFORE PROVIDED TO THE HOLDER.</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320"/>
        <w:gridCol w:w="1520"/>
      </w:tblGrid>
      <w:tr>
        <w:trPr/>
        <w:tc>
          <w:tcPr>
            <w:tcW w:w="3320" w:type="dxa"/>
            <w:tcBorders/>
            <w:vAlign w:val="center"/>
          </w:tcPr>
          <w:p>
            <w:pPr>
              <w:pStyle w:val="TableContents"/>
              <w:bidi w:val="0"/>
              <w:spacing w:before="0" w:after="283"/>
              <w:jc w:val="left"/>
              <w:rPr>
                <w:b/>
              </w:rPr>
            </w:pPr>
            <w:r>
              <w:rPr>
                <w:b/>
              </w:rPr>
              <w:t>Original Principal Amount: $[●]</w:t>
            </w:r>
          </w:p>
        </w:tc>
        <w:tc>
          <w:tcPr>
            <w:tcW w:w="1520" w:type="dxa"/>
            <w:tcBorders/>
            <w:vAlign w:val="center"/>
          </w:tcPr>
          <w:p>
            <w:pPr>
              <w:pStyle w:val="TableContents"/>
              <w:bidi w:val="0"/>
              <w:spacing w:before="0" w:after="283"/>
              <w:jc w:val="right"/>
              <w:rPr>
                <w:b/>
              </w:rPr>
            </w:pPr>
            <w:r>
              <w:rPr>
                <w:b/>
              </w:rPr>
              <w:t>Issue Date: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SENIOR SECURED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as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CID Holdco, Inc.</w:t>
      </w:r>
      <w:r>
        <w:rPr>
          <w:rFonts w:ascii="Times New Roman;Times;Serif" w:hAnsi="Times New Roman;Times;Serif"/>
          <w:b w:val="false"/>
          <w:i w:val="false"/>
          <w:caps w:val="false"/>
          <w:smallCaps w:val="false"/>
          <w:sz w:val="20"/>
        </w:rPr>
        <w:t>, a Delaware corporation (hereinafter called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hereby promises to pay to the order of </w:t>
      </w:r>
      <w:r>
        <w:rPr>
          <w:rFonts w:ascii="Times New Roman;Times;Serif" w:hAnsi="Times New Roman;Times;Serif"/>
          <w:b/>
          <w:i w:val="false"/>
          <w:caps/>
          <w:sz w:val="20"/>
        </w:rPr>
        <w:t>White Lion CapitaL, LLC</w:t>
      </w:r>
      <w:r>
        <w:rPr>
          <w:rFonts w:ascii="Times New Roman;Times;Serif" w:hAnsi="Times New Roman;Times;Serif"/>
          <w:b w:val="false"/>
          <w:i w:val="false"/>
          <w:caps w:val="false"/>
          <w:smallCaps w:val="false"/>
          <w:sz w:val="20"/>
        </w:rPr>
        <w:t>, a Nevada limited liability company, or its registered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payable upon the earlier of maturity or upon prepayment of this Note as set forth herein. The term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and all references thereto, as used throughout this instrument, shall mean this instrument as originally executed, or if later amended or supplemented, then as so amended or supplemented. This Note has been issued with an original issue discount of twenty percent (20%). Interest shall accrue hereunder at the rate of 8% per annum on the Principal Amount of this Note; provided, however, that the interest for the first six months on the Principal shall accrue immediately and be guaranteed. </w:t>
      </w:r>
      <w:r>
        <w:rPr>
          <w:rFonts w:ascii="Times New Roman;Times;Serif" w:hAnsi="Times New Roman;Times;Serif"/>
          <w:b/>
          <w:i w:val="false"/>
          <w:caps w:val="false"/>
          <w:smallCaps w:val="false"/>
          <w:sz w:val="20"/>
        </w:rPr>
        <w:t>The maturity date of this Note shall be the six (6) month anniversary of the Issue Date (the “</w:t>
      </w:r>
      <w:r>
        <w:rPr>
          <w:rFonts w:ascii="Times New Roman;Times;Serif" w:hAnsi="Times New Roman;Times;Serif"/>
          <w:b/>
          <w:i w:val="false"/>
          <w:caps w:val="false"/>
          <w:smallCaps w:val="false"/>
          <w:sz w:val="20"/>
          <w:u w:val="single"/>
        </w:rPr>
        <w:t>Maturity Date</w:t>
      </w:r>
      <w:r>
        <w:rPr>
          <w:rFonts w:ascii="Times New Roman;Times;Serif" w:hAnsi="Times New Roman;Times;Serif"/>
          <w:b/>
          <w:i w:val="false"/>
          <w:caps w:val="false"/>
          <w:smallCaps w:val="false"/>
          <w:sz w:val="20"/>
        </w:rPr>
        <w:t>”), and is the date upon which the Principal Amount, as well as any accrued and unpaid interest and other fees, shall be due and payable.</w:t>
      </w:r>
      <w:r>
        <w:rPr>
          <w:rFonts w:ascii="Times New Roman;Times;Serif" w:hAnsi="Times New Roman;Times;Serif"/>
          <w:b w:val="false"/>
          <w:i w:val="false"/>
          <w:caps w:val="false"/>
          <w:smallCaps w:val="false"/>
          <w:sz w:val="20"/>
        </w:rPr>
        <w:t xml:space="preserve"> This Note may be prepaid in whole or in part as explicitly set forth herein. All payments due hereunder (to the extent not converted into common stock of the Company, $0.0001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 and, in the case of any interest payment date which is not the date on which this Note is paid in full, the extension of the due date thereof shall not be taken into account for purposes of determining the amount of interest due on such date. As used in this Note, the term “business day” shall mean any day other than a Saturday, Sunday or a day on which commercial banks in the city of Los Angeles, California are authorized or required by law or executive order to remain closed. Each capitalized term used herein, and not otherwise defined, shall have the meaning ascribed thereto in that certain Note Purchase Agreement dated </w:t>
      </w:r>
      <w:r>
        <w:rPr>
          <w:rFonts w:ascii="Times New Roman;Times;Serif" w:hAnsi="Times New Roman;Times;Serif"/>
          <w:b/>
          <w:i w:val="false"/>
          <w:caps w:val="false"/>
          <w:smallCaps w:val="false"/>
          <w:sz w:val="20"/>
        </w:rPr>
        <w:t xml:space="preserve">April 17, 2026 </w:t>
      </w:r>
      <w:r>
        <w:rPr>
          <w:rFonts w:ascii="Times New Roman;Times;Serif" w:hAnsi="Times New Roman;Times;Serif"/>
          <w:b w:val="false"/>
          <w:i w:val="false"/>
          <w:caps w:val="false"/>
          <w:smallCaps w:val="false"/>
          <w:sz w:val="20"/>
        </w:rPr>
        <w:t>between the parties, pursuant to which this Note was originally issued (as amended and/or restated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consideration delivered to the Borrower at the closing for the issuance of this Note is the delivery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of cash, as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affirms all of its obligations to the Holder under all of the Transaction Documents and agrees and affirms as follows: (i) that as of the Issue Date, the Company has performed, satisfied and complied in all material respects with all the covenants, agreements and conditions under each of the Transaction Documents to be performed, satisfied or complied with by the Company; (ii) that the Company shall continue to perform each and every covenant, agreement and condition set forth in each of the Transaction Documents and this Note, and continue to be bound by each and all of the terms and provisions thereof and hereof; (iii) that as of the Issue Date, no default or Event of Default has occurred or is continuing under the Purchase Agreement, the Note or any other Transaction Documents, and no event has occurred that, with the passage of time, the giving of notice, or both, would constitute a default or an Event of Default under the Purchase Agreement, the Note or any other Transaction Documents; and (iv) that as of the Issue Date, no event, fact, or other set of circumstances has occurred which could reasonably be expected to have, cause, or result in a Material Adverse Effect.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effect on the business, operations, properties, or financial condition of the Company and/or its Subsidiaries that is material and adverse to the Company and/or such Subsidiaries and/or any condition, circumstance, or situation that prohibits or otherwise materially interferes with the ability of the Company and/or its subsidiaries to enter into and/or perform its obligations under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represents, warrants and confirms to the Holder that: (i) each of the Transaction Documents executed by the Company are valid and binding obligations of the Company, enforceable against the Company in accordance with their respective terms; and (ii) no oral representations, statements, or inducements have been made by Holder, or any agent or representative of Holder, with respect to this Note, any other Note, the Purchase Agreement, and all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a second senior secured obligation of the Borrower, with priority over all existing and future Indebtedness (as defined below) of the Borrower except as provided for herein. The obligations of the Borrower under this Note are secured by all of the assets, personal property of every kind, intellectually property, claims and products and proceeds of the foregoing, of the Borrower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So long as the Borrower shall have any obligation under this Note, the Borrower shall not (directly or indirectly through any subsidiary or affiliate) incur or suffer to exist or guarantee any Indebtedness that is senior to or pari passu with (in priority of payment and performance) the Borrower’s obligations hereunder. Notwithstanding anything herein to the contrary, this Note shall be a second priority lien on and security interest in the Collateral and the exercise of any right or remedy by the Holder is subject to the senior first priority lien and security interest (the “</w:t>
      </w:r>
      <w:r>
        <w:rPr>
          <w:rFonts w:ascii="Times New Roman;Times;Serif" w:hAnsi="Times New Roman;Times;Serif"/>
          <w:b w:val="false"/>
          <w:i w:val="false"/>
          <w:caps w:val="false"/>
          <w:smallCaps w:val="false"/>
          <w:sz w:val="20"/>
          <w:u w:val="single"/>
        </w:rPr>
        <w:t>First Lien</w:t>
      </w:r>
      <w:r>
        <w:rPr>
          <w:rFonts w:ascii="Times New Roman;Times;Serif" w:hAnsi="Times New Roman;Times;Serif"/>
          <w:b w:val="false"/>
          <w:i w:val="false"/>
          <w:caps w:val="false"/>
          <w:smallCaps w:val="false"/>
          <w:sz w:val="20"/>
        </w:rPr>
        <w:t>”) perfected and secured pursuant to that certain Loan Agreement dated December 4, 2025, between the Company and J.J. Astor &amp; Co., a Utah corporation. For purposes of this paragraph, the term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shall include any subsidiary of the Borrower in addition to the Borrower. As used herein, the term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all indebtedness of the Borrower for borrowed money or for the deferred purchase price of property or services, including any type of letters of credit, but not including deferred purchase price obligations in place as of the Issue Date and as disclosed in the Company’s SEC filings or obligations to trade creditors incurred in the ordinary course of business, (b) all obligations of the Borrower evidenced by notes, bonds, debentures or other similar instruments, (c) purchase money indebtedness hereafter incurred by the Borrower to finance the purchase of fixed or capital assets, including all capital lease obligations of the Borrower which do not exceed the purchase price of the assets funded, (d) all guarantee obligations of the Borrower in respect of obligations of the kind referred to in clauses (a) through (c) above that the Borrower would not be permitted to incur or enter into, and (e) all obligations of the kind referred to in clauses (a) through (d) above that the Borrower is not permitted to incur or enter into that are secured and/or unsecured by (or for which the holder of such obligation has an existing right, contingent or otherwise, to be secured and/or unsecured by) any lien or encumbrance on property (including accounts and contract rights) owned by the Borrower, whether or not the Borrower has assumed or become liable for the payment of such obligation. The Borrower shall take all actions required to perfect the second priority security interest of the Holder in the Collateral, including, without limitation, with respect to all Collateral over which control may be obtained within the meaning of sections 8-106, 9-104, 9-105, 9-106 and 9-107 of the UCC. Subject to the First Lien, the Borrower shall immediately take all actions as may be requested from time to time by the Holder so that control of such Collateral is obtained and at all times held by the Holder. All of the foregoing shall be at the sole cost and expense of the Borrower. The Borrower hereby irrevocably authorizes the Holder at any time and from time to time to file in any relevant jurisdiction any financing statements, or file any documents with the United States Patent and Trademark Office and the United States Copyright Office, for the purpose of perfecting, confirming, continuing, enforcing or protecting the second priority security interest granted by the Borrower hereunder, without the signature of the Borrower where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terms shall also apply to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CONVERSION RIGHTS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The Holder shall have the right at any time, and from time to time, on or after the Issue Date until the complete satisfaction by the Borrower of all amounts owed under this Note to convert all or any part of the outstanding and unpaid Principal Amount, interest, fees, or any other obligation owed pursuant to this Note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selected by the Holder for any particular conversion, determined as provided herein (a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Holder be entitled to convert any portion of this Note in excess of that portion of this Note upon conversion of which the sum of (1) the number of shares of Common Stock beneficially owned by the Holder and its affiliates (other than shares of Common Stock which may be deemed beneficially owned through the ownership of the unconverted portion of this Note or the unexercised or unconverted portion of any other security of the Borrower subject to a limitation on conversion or exercise analogous to the limitations contained herein) and (2) the number of shares of Common Stock issuable upon the Conversion of the portion of this Note with respect to which the determination of this proviso is being made, would result in beneficial ownership by the Holder and its affiliates of more than 4.99% of the outstanding shares of Common Stock (the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provided that, the Holder may increase the Ownership Limitation up to 9.99% at its sole discretion upon sixty-one (61) days prior written notice to the Company. For purposes of the proviso to the immediately preceding sentence, beneficial ownership shall be determined in accordance with Section 13(d) of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xml:space="preserve">”), and Regulations 13D-G thereunder, except as otherwise provided in clause (1) of such proviso. The number of shares of Common Stock to be issued upon each Conversion of this Note shall be determined by dividing the Conversion Amount (as defined below) (the numerator) by the applicable Conversion Price then in effect on the date specified in the notice of conversion (the denominator),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xml:space="preserve">”), delivered to the Company by the Holder in accordance with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below; provided that the Notice of Conversion is submitted by facsimile or e-mail (or by other means resulting in, or reasonably expected to result in, notice) to the Borrower before 8:00 p.m., New York, New York time on such conversion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xml:space="preserve">”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w:t>
      </w:r>
    </w:p>
    <w:p>
      <w:pPr>
        <w:pStyle w:val="TextBody"/>
        <w:bidi w:val="0"/>
        <w:spacing w:before="0" w:after="0"/>
        <w:ind w:left="21"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Subject to the adjustments described herein, this Note shall be convertible into shares of Common Stock at any time, and from time to time, in any portion at the Conversion Price. The Conversion Price shall be automatically adjusted equitably for stock splits, stock dividends or rights offerings by the Borrower relating to the Borrower’s securities or the securities of any subsidiary of the Borrower, as well as combinations, recapitalization, reclassifications, extraordinary distributions and similar events:</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Variable Conversion Price</w:t>
      </w:r>
      <w:r>
        <w:rPr>
          <w:rFonts w:ascii="Times New Roman;Times;Serif" w:hAnsi="Times New Roman;Times;Serif"/>
          <w:b w:val="false"/>
          <w:i w:val="false"/>
          <w:caps w:val="false"/>
          <w:smallCaps w:val="false"/>
          <w:sz w:val="20"/>
        </w:rPr>
        <w:t>. At any time, and from time to time, the Holder may utilize the Variable Conversion Price for conversions of this Note into Common Stock. The Variable Conversion Price shall be a rate per share equal to 80% multiplied by the Market Price (as defined herein) (the “</w:t>
      </w:r>
      <w:r>
        <w:rPr>
          <w:rFonts w:ascii="Times New Roman;Times;Serif" w:hAnsi="Times New Roman;Times;Serif"/>
          <w:b w:val="false"/>
          <w:i w:val="false"/>
          <w:caps w:val="false"/>
          <w:smallCaps w:val="false"/>
          <w:sz w:val="20"/>
          <w:u w:val="single"/>
        </w:rPr>
        <w:t>Variable Conversion Price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means the lowest daily VWAP of the Common Stock during the fifteen (15) Trading Day period ending on the latest complete Trading Day prior to the Conversion Date. “</w:t>
      </w:r>
      <w:r>
        <w:rPr>
          <w:rFonts w:ascii="Times New Roman;Times;Serif" w:hAnsi="Times New Roman;Times;Serif"/>
          <w:b w:val="false"/>
          <w:i w:val="false"/>
          <w:caps w:val="false"/>
          <w:smallCaps w:val="false"/>
          <w:sz w:val="20"/>
          <w:u w:val="single"/>
        </w:rPr>
        <w:t>Trading Price</w:t>
      </w:r>
      <w:r>
        <w:rPr>
          <w:rFonts w:ascii="Times New Roman;Times;Serif" w:hAnsi="Times New Roman;Times;Serif"/>
          <w:b w:val="false"/>
          <w:i w:val="false"/>
          <w:caps w:val="false"/>
          <w:smallCaps w:val="false"/>
          <w:sz w:val="20"/>
        </w:rPr>
        <w:t>” means the lowest volume-weighted average daily price as reported on the principal securities exchange or trading market where such security is quoted, listed or traded or, if no trading price of such security is available in any of the foregoing manners, the average of the trading prices of any market makers for such security that are listed in the “pink sheets” by the National Quotation Bureau, Inc.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any day on which the Common Stock is tradable for any period on the NASDAQ stock market or on the principal securities exchange or other securities market on which the Common Stock is then being quoted or traded.</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14"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Additional Conversion Considerations</w:t>
      </w:r>
      <w:r>
        <w:rPr>
          <w:rFonts w:ascii="Times New Roman;Times;Serif" w:hAnsi="Times New Roman;Times;Serif"/>
          <w:b w:val="false"/>
          <w:i w:val="false"/>
          <w:caps w:val="false"/>
          <w:smallCaps w:val="false"/>
          <w:sz w:val="20"/>
        </w:rPr>
        <w:t>. To the extent the Conversion Price of the Borrower’s Common Stock closes below the par value per share, the Borrower will take all steps necessary to solicit the consent of the stockholders to reduce the par value of the Common Stock to the lowest value possible under law. The Borrower agrees to honor all conversions submitted pending this adjustment. If the shares of the Borrower’s Common Stock have not been delivered within two (2) business days to the Holder after its transmittal of the Notice of Conversion, the Notice of Conversion may be rescinded by the Holder in its sole discretion. If the Trading Price cannot be calculated for such security on such date in the manner provided above, the Trading Price shall be the fair market value as mutually determined by the Borrower and the Holder for which the calculation of the Trading Price is required in order to determine the Conversion Price of such Notes.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w:t>
      </w:r>
      <w:r>
        <w:rPr>
          <w:rFonts w:ascii="Times New Roman;Times;Serif" w:hAnsi="Times New Roman;Times;Serif"/>
          <w:b w:val="false"/>
          <w:i w:val="false"/>
          <w:caps w:val="false"/>
          <w:smallCaps w:val="false"/>
          <w:sz w:val="20"/>
          <w:u w:val="single"/>
        </w:rPr>
        <w:t>Additional Principal</w:t>
      </w:r>
      <w:r>
        <w:rPr>
          <w:rFonts w:ascii="Times New Roman;Times;Serif" w:hAnsi="Times New Roman;Times;Serif"/>
          <w:b w:val="false"/>
          <w:i w:val="false"/>
          <w:caps w:val="false"/>
          <w:smallCaps w:val="false"/>
          <w:sz w:val="20"/>
        </w:rPr>
        <w:t>”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The Note is convertible into shares of Common Stock at any time, and from time to time either of the Variable Conversion Price or the Default Conversion Price then in effect.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means the then applicable Variable Conversion Price or Default Conversion Price or other conversion price as determined in accordance with this Note.</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of a dispute as to the number of shares of Common Stock issuable to the Holder in connection with a conversion of this Note, the Borrower shall issue to the Holder the number of shares of Common Stock not in dispute and resolve such dispute in accordance with this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Common Stock a sufficient number of shares, free from preemptive rights, to provide for the issuance of Common Stock upon the full conversion of this Note issued pursuant to the Purchase Agreement. The Borrower is required at all times to have authorized and reserved three times (3x) the number of shares that is actually issuable upon full conversion of the Note (based on the Conversion Price of the Note in effect from time to time) (the “</w:t>
      </w:r>
      <w:r>
        <w:rPr>
          <w:rFonts w:ascii="Times New Roman;Times;Serif" w:hAnsi="Times New Roman;Times;Serif"/>
          <w:b w:val="false"/>
          <w:i w:val="false"/>
          <w:caps w:val="false"/>
          <w:smallCaps w:val="false"/>
          <w:sz w:val="20"/>
          <w:u w:val="single"/>
        </w:rPr>
        <w:t>Reserved Amount</w:t>
      </w:r>
      <w:r>
        <w:rPr>
          <w:rFonts w:ascii="Times New Roman;Times;Serif" w:hAnsi="Times New Roman;Times;Serif"/>
          <w:b w:val="false"/>
          <w:i w:val="false"/>
          <w:caps w:val="false"/>
          <w:smallCaps w:val="false"/>
          <w:sz w:val="20"/>
        </w:rPr>
        <w:t>”). Notwithstanding the foregoing, the Borrower shall be permitted to reduce the Reserved Amount in connection with a transaction where the use of proceeds is to repay the Notes in full and if no further Notes may be issued pursuant to the Purchase Agreement. The Borrower represents that upon issuance, such shares of Common Stock will be duly and validly issued, fully paid and non-assessable. In addition, if the Borrower shall issue any securities or make any change to its capital structure which would change the number of shares of Common Stock into which this Note shall be convertible at the then current Conversion Price, the Borrower shall at the same time make proper provision so that thereafter there shall be a sufficient number of shares of Common Stock authorized and reserved, free from preemptive rights, for conversion of the outstanding Note. The Borrower (i) represents that it has irrevocably instructed its transfer agent to issue certificates for the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failure to maintain or to replenish the Reserved Amount within two (2) business days of a request of the Holder, shall be an Event of Default under this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this Note may be converted by the Holder in whole or in part at any time from time to time on or after the Issue Date, by (i) submitting to the Borrower a Notice of Conversion (by facsimile, e-mail or other reasonable means of communication dispatched on the Conversion Date prior to 8:00 p.m., New York, New York time) and (ii) subject to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 surrendering this Note at the principal office of the Borrower.</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be controlling and determinative in the absence of manifest error. The Holder and any assignee, by acceptance of this Note, acknowledge and agree that, by reason of the provisions of this paragraph, following conversion of a portion of this Note, the unpaid and unconverted Principal Amount of this Note represented by this Note may be less than the amount stated on the face hereof.</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14"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xml:space="preserve">. Upon receipt by the Borrower from the Holder of a facsimile transmission or e-mail (or other reasonable means of communication) of a Notice of Conversion meeting the requirements for conversion as provided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the Borrower shall issue and deliver or cause to be issued and delivered to or upon the order of the Holder certificates (or electronic shares via DWAC transfer, at the option of Holder) for the Common Stock issuable upon such conversion within one (1) business day after such receipt (the “</w:t>
      </w:r>
      <w:r>
        <w:rPr>
          <w:rFonts w:ascii="Times New Roman;Times;Serif" w:hAnsi="Times New Roman;Times;Serif"/>
          <w:b w:val="false"/>
          <w:i w:val="false"/>
          <w:caps w:val="false"/>
          <w:smallCaps w:val="false"/>
          <w:sz w:val="20"/>
          <w:u w:val="single"/>
        </w:rPr>
        <w:t>Deadline</w:t>
      </w:r>
      <w:r>
        <w:rPr>
          <w:rFonts w:ascii="Times New Roman;Times;Serif" w:hAnsi="Times New Roman;Times;Serif"/>
          <w:b w:val="false"/>
          <w:i w:val="false"/>
          <w:caps w:val="false"/>
          <w:smallCaps w:val="false"/>
          <w:sz w:val="20"/>
        </w:rPr>
        <w:t>”) (and, solely in the case of conversion of the entire unpaid Principal Amount hereof, surrender of this Note) in accordance with the terms hereof. Notwithstanding the foregoing, if the Notice of Conversion is received by Borrower prior to (i) an effective registration statement being declared effective or (ii) an exemption from registration being available, the securities issued to Holder shall be “restricted” (as such term is defined under the 1933 Act.</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Upon receipt by the Borrower of a Notice of Conversion, the Holder shall be deemed to be the holder of record of the Common Stock issuable upon such conversion, the outstanding Principal Amount and the amount of accrued and unpaid interest on this Note shall be reduced to reflect such conversion, and, unless the Borrower defaults on its obligations under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and not rescinded such Notice of Conversion in connection with Section 1.2(b) herein, the Borrower’s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received by the Borrower before 8:00 p.m., New York, New York time, on such date.</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Common Stock by Electronic Transfer</w:t>
      </w:r>
      <w:r>
        <w:rPr>
          <w:rFonts w:ascii="Times New Roman;Times;Serif" w:hAnsi="Times New Roman;Times;Serif"/>
          <w:b w:val="false"/>
          <w:i w:val="false"/>
          <w:caps w:val="false"/>
          <w:smallCaps w:val="false"/>
          <w:sz w:val="20"/>
        </w:rPr>
        <w:t>. In lieu of delivering physical certificates representing the Common Stock issuable upon conversion, provided the Borrower is participating in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Fast Automated Securities Transfer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xml:space="preserve">”) program and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below, upon request of the Holder and its compliance with the provisions contained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the Borrower shall cause its transfer agent to electronically transmit the Common Stock issuable upon conversion to the Holder by crediting the account of Holder’s Prime Broker with DTC (as designated by the Holder in a Notice of Conversion) through its Deposit Withdrawal At Custodian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system.</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14"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Deliver Common Stock Prior to Delivery Deadline</w:t>
      </w:r>
      <w:r>
        <w:rPr>
          <w:rFonts w:ascii="Times New Roman;Times;Serif" w:hAnsi="Times New Roman;Times;Serif"/>
          <w:b w:val="false"/>
          <w:i w:val="false"/>
          <w:caps w:val="false"/>
          <w:smallCaps w:val="false"/>
          <w:sz w:val="20"/>
        </w:rPr>
        <w:t xml:space="preserve">. Without in any way limiting the Holder’s right to pursue other remedies, including actual damages and/or equitable relief, the parties agree that if delivery of the Common Stock issuable upon conversion of this Note is not delivered by the Deadline the Borrower shall pay to the Holder $1,000.00 per day in cash, for each day beyond the Deadline that the Borrower fails to deliver such Common Stock until the Borrower issues and delivers a certificate to the Holder or credit the Holder’s balance account with DTC for the number of shares of Common Stock to which the Holder is entitled upon such Holder’s conversion of any Conversion Amount (under Holder’s and Borrower’s expectation that any damages will tack back to the Issue Date).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Common Stock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xml:space="preserve"> are justified. Notwithstanding the foregoing, the Company shall not be obligated to make any payment or provide any remedy under this Section 1.4(f) to the extent that the Transfer Agent’s failure to timely transmit the shares of Common Stock is directly attributable to a delay or failure by the Transfer Agent or is otherwise outside the reasonable control of the Borrower, including any delay arising from a systems failure, force majeure event, or other circumstance affecting the Transfer Agent over which the Borrower has no authority or influence, so long as the Company has used commercially reasonable efforts to cause the Transfer Agent to timely deliver such shares of Common Stock.</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Rescindment of a Notice of Conversion</w:t>
      </w:r>
      <w:r>
        <w:rPr>
          <w:rFonts w:ascii="Times New Roman;Times;Serif" w:hAnsi="Times New Roman;Times;Serif"/>
          <w:b w:val="false"/>
          <w:i w:val="false"/>
          <w:caps w:val="false"/>
          <w:smallCaps w:val="false"/>
          <w:sz w:val="20"/>
        </w:rPr>
        <w:t>. If (i) the Borrower fails to respond to Holder within one (1) business day from the Conversion Date confirming the details of Notice of Conversion, (ii) the Borrower fails to provide any of the shares of the Borrower’s Common Stock requested in the Notice of Conversion within one (1) business day from the date of receipt of the Notice of Conversion, (iii) the Holder is unable to procure a legal opinion required to have the shares of the Borrower’s Common Stock issued unrestricted and/or deposited to sell for any reason related to the Borrower’s standing, (iv) the Holder is unable to deposit the shares of the Borrower’s Common Stock requested in the Notice of Conversion for any reason related to the Borrower’s standing, or (v) if there is a trading restriction on the Common Stock on the day of or any day after the Conversion Date, the Holder maintains the option and sole discretion to rescind the Notice of Conversion with a “Notice of Rescindment.”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Until such time as the shares of Common Stock issuable upon conversion of this Note have been registered under the 1933 Act or otherwise may be sold pursuant to Rule 144 without any restriction as to the number of securities as of a particular date that can then be immediately sold, each certificate for shares of Common Stock issuable upon conversion of this Note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727"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OR SALE OF THE SECURITIES REPRESENTED BY THIS CERTIFICATE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legend set forth above shall be removed and the Borrower shall issue to the Holder a new certificate therefore free of any transfer legend if (i) the Borrower or its transfer agent shall have received an opinion of counsel, in form, substance and scope customary for opinions of counsel in comparable transactions, to the effect that a public sale or transfer of such Common Stock may be made without registration under the 1933 Act, which opinion shall be reasonably accepted by the Company so that the sale or transfer is effected or (ii) in the case of the Common Stock issuable upon conversion of this Note, such security is registered for sale by the Holder under an effective registration statement filed under the 1933 Act or otherwise may be sold pursuant to Rule 144 without any restriction as to the number of securities as of a particular date that can then be immediately sold. In the event that the Company does not accept the opinion of counsel provided by the Holder with respect to the transfer of securities pursuant to an exemption from registration, such as Rule 144 or Regulation S, at the Deadline, and does not provide a suitable replacement opinion to the Holder within five (5) business days, it will be considered an Event of Default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of the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xml:space="preserv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either: (i) be deemed to be an Event of Default (as defined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pursuant to which the Borrower shall be required to pay to the Holder upon the consummation of and as a condition to such transaction an amount equal to the Default Amount (as defined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(ii) be treated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corporation, limited liability company, partnership, association, trust or other entity or organization.</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xml:space="preserve">. If, at any time when this Note is issued and outstanding and prior to conversion of all of the Notes,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unless (a) it first gives, to the extent reasonably practicable, thirty (30) days prior written notice (but in any event at least fifteen (15)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The above provisions shall similarly apply to successive consolidations, mergers, sales, transfers or share exchanges.</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14"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Dilutive Issuance</w:t>
      </w:r>
      <w:r>
        <w:rPr>
          <w:rFonts w:ascii="Times New Roman;Times;Serif" w:hAnsi="Times New Roman;Times;Serif"/>
          <w:b w:val="false"/>
          <w:i w:val="false"/>
          <w:caps w:val="false"/>
          <w:smallCaps w:val="false"/>
          <w:sz w:val="20"/>
        </w:rPr>
        <w:t xml:space="preserve">. If, at any time when this Note is issued and outstanding, the Borrower issues or sells, or in accordance with this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xml:space="preserve"> hereof is deemed to have issued or sold, any shares of Common Stock for no consideration or for a consideration per share less than the Conversion Price in effect on the date of such issuance (or deemed issuance) of such shares of Common Stock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then immediately upon the Dilutive Issuance, the Conversion Price will be reduced to the amount of the consideration per share received by the Borrower in such Dilutive Issuance, subject to the Holder’s other rights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select its Conversion Price; provided, however, that a Dilutive Issuance shall not include any issuance or sale (or deemed issuance or sale) of securities pursuant to or in connection with (i) the Borrower's 2024 Equity Incentive Plan, as such plan may be amended, restated, supplemented, or otherwise modified from time to time, (ii) a secondary offering of shares of Common Stock or other equity securities of the Company, provided that the aggregate amount of such offering does not to exceed $10,000,000, (iii) a private placement of convertible preferred stock or other securities convertible or exercisable, as applicable, into Common Stock at a fixed conversion or exercise price, as applicable, provided that the aggregate amount of such offering does not to exceed $10,000,000, or (iv) a bona fide purchase order that qualifies for factoring by a traditional commercial factor at a factoring rate of less than 3% per month and has a face value of no less than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be deemed to have issued or sold shares of Common Stock if the Borrower in any manner issues or grants any warrants, rights or options (not including employee stock option plans), whether or not immediately exercisable, to subscribe for or to purchase Common Stock or other securities convertible into or exchangeable for Common Stock (“</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(such warrants, rights and options to purchase Common Stock or Convertible Securities are hereinafter referred to as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and the price per share for which Common Stock is issuable upon the exercise of such Options is less than the Conversion Price then in effect, then the Conversion Price shall be equal to such price per share. For purposes of the preceding sentence, the “price per share for which Common Stock is issuable upon the exercise of such Options” is determined by dividing (i) the total amount, if any, received or receivable by the Borrower as consideration for the issuance or granting of all such Options, plus the minimum aggregate amount of additional consideration, if any, payable to the Borrower upon the exercise of all such Options, plus, in the case of Convertible Securities issuable upon the exercise of such Options, the minimum aggregate amount of additional consideration payable upon the conversion or exchange thereof at the time such Convertible Securities first become convertible or exchangeable, by (ii) the maximum total number of shares of Common Stock issuable upon the exercise of all such Options (assuming full conversion of Convertible Securities, if applicable). No further adjustment to the Conversion Price will be made upon the actual issuance of such Common Stock upon the exercise of such Options or upon the conversion or exchange of Convertible Securities issuable upon exercise of such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Borrower shall be deemed to have issued or sold shares of Common Stock if the Borrower in any manner issues or sells any Convertible Securities, whether or not immediately convertible (other than where the same are issuable upon the exercise of Options), and the price per share for which Common Stock is issuable upon such conversion or exchange is less than the Conversion Price then in effect, then the Conversion Price shall be equal to such price per share. For the purposes of the preceding sentence, the “price per share for which Common Stock is issuable upon such conversion or exchange” is determined by dividing (i) the total amount, if any, received or receivable by the Borrower as consideration for the issuance or sale of all such Convertible Securities, plus the minimum aggregate amount of additional consideration, if any, payable to the Borrower upon the conversion or exchange thereof at the time such Convertible Securities first become convertible or exchangeable, by (ii) the maximum total number of shares of Common Stock issuable upon the conversion or exchange of all such Convertible Securities. No further adjustment to the Conversion Price will be made upon the actual issuance of such Common Stock upon conversion or exchange of such Convertible Securities.</w:t>
      </w:r>
    </w:p>
    <w:p>
      <w:pPr>
        <w:pStyle w:val="TextBody"/>
        <w:bidi w:val="0"/>
        <w:spacing w:before="0" w:after="0"/>
        <w:ind w:left="14" w:right="0" w:firstLine="71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notwithstanding any other terms of this Note, if, at any time when this Note is issued and outstanding, the Borrower issues or sells any shares of Common Stock under an “equity line” common stock purchase agreement, or other agreement similar in function thereto, with the Borrower or other investor, for a purchase price per share less than the Conversion Price in effect on the date of such issuance of such shares of Common Stock, then such issuance shall constitute a Dilutive Issuance and the Conversion Price will be reduced to the amount of the purchase price per share received by the Borrower in such Dilutive Issuance, subject to the Holder’s other rights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select its Conversion Price.</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14"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when any Notes are issued and outstanding, the Borrower issues any Convertible Securities or rights to purchase stock, warrants, securities or other property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14"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(regarding stock splits, combinations, etc.), the Borrower, at its expense, shall promptly compute such adjustment or readjustment and prepare and furnish to the Holder a certificate setting forth such adjustment or readjustment and showing in detail the facts upon which such adjustment or readjustment is based. The Borrower shall, upon the written request at any time of the Holder, furnish to such Holder a like certificate setting forth (i) such adjustment or readjustment, (ii) the Conversion Price at the time in effect and (iii) the number of shares of Common Stock and the amount, if any, of other securities or property which at the time would be received upon conversion of the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Trading Market Limitations</w:t>
      </w:r>
      <w:r>
        <w:rPr>
          <w:rFonts w:ascii="Times New Roman;Times;Serif" w:hAnsi="Times New Roman;Times;Serif"/>
          <w:b w:val="false"/>
          <w:i w:val="false"/>
          <w:caps w:val="false"/>
          <w:smallCaps w:val="false"/>
          <w:sz w:val="20"/>
        </w:rPr>
        <w:t>. Unless permitted by the applicable rules and regulations of the principal securities market on which the Common Stock is then quoted, listed or traded, in no event shall the Borrower issue upon conversion of or otherwise pursuant to this Note more than the maximum number of shares of Common Stock that the Borrower can issue pursuant to any rule of the principal United States securities market on which the Common Stock is then traded (the “</w:t>
      </w:r>
      <w:r>
        <w:rPr>
          <w:rFonts w:ascii="Times New Roman;Times;Serif" w:hAnsi="Times New Roman;Times;Serif"/>
          <w:b w:val="false"/>
          <w:i w:val="false"/>
          <w:caps w:val="false"/>
          <w:smallCaps w:val="false"/>
          <w:sz w:val="20"/>
          <w:u w:val="single"/>
        </w:rPr>
        <w:t>Maximum Share Amount</w:t>
      </w:r>
      <w:r>
        <w:rPr>
          <w:rFonts w:ascii="Times New Roman;Times;Serif" w:hAnsi="Times New Roman;Times;Serif"/>
          <w:b w:val="false"/>
          <w:i w:val="false"/>
          <w:caps w:val="false"/>
          <w:smallCaps w:val="false"/>
          <w:sz w:val="20"/>
        </w:rPr>
        <w:t xml:space="preserve">”), subject to equitable adjustment from time to time for stock splits, stock dividends, combinations, capital reorganizations and similar events relating to the Common Stock occurring after the Issue Date. Once the Maximum Share Amount has been issued, if the Borrower fails to eliminate any prohibitions under applicable law or the rules or regulations of any stock exchange, interdealer quotation system or other self-regulatory organization with jurisdiction over the Borrower or any of its securities on the Borrower’s ability to issue shares of Common Stock in excess of the Maximum Share Amount, in lieu of any further right to convert this Note, this will be considered an Event of Default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of the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a Holder, (i) the shares covered thereby (other than the shares, if any, which cannot be issued because their issuance would exceed such Holder’s allocated portion of the Reserved Amount or Maximum Share Amount) shall be deemed converted into shares of Common Stock and (ii) the Holder’s rights as a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a Holder has not received certificates or transmission of such shares pursuant to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 xml:space="preserve">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this Note has not been surrendered, adjust its records to reflect that such portion of this Note has not been converted. In all cases, the Holder shall retain all of its rights and remedies (including, without limitation, (i) the right to receive Conversion default payments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to the extent required thereby for such Conversion default and any subsequent Conversion default and (ii) the right to have the Conversion Price with respect to subsequent conversions determined in accordance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for the Borrower’s failure to convert this Note.</w:t>
      </w:r>
    </w:p>
    <w:p>
      <w:pPr>
        <w:pStyle w:val="TextBody"/>
        <w:bidi w:val="0"/>
        <w:spacing w:before="0" w:after="0"/>
        <w:ind w:left="21" w:right="0" w:firstLine="720"/>
        <w:jc w:val="both"/>
        <w:rPr>
          <w:caps w:val="false"/>
          <w:smallCaps w:val="false"/>
        </w:rPr>
      </w:pPr>
      <w:r>
        <w:rPr>
          <w:caps w:val="false"/>
          <w:smallCaps w:val="false"/>
        </w:rPr>
        <w:t> </w:t>
      </w:r>
    </w:p>
    <w:p>
      <w:pPr>
        <w:pStyle w:val="TextBody"/>
        <w:bidi w:val="0"/>
        <w:spacing w:before="0" w:after="0"/>
        <w:ind w:left="21"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1"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The Borrower may, at any time and without the prior written consent of the Holder, prepay any Note in full for an amount equal to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(a) the Original Principal Amount of such Note or the Default Amount (as applicable), at such time, </w:t>
      </w:r>
      <w:r>
        <w:rPr>
          <w:rFonts w:ascii="Times New Roman;Times;Serif" w:hAnsi="Times New Roman;Times;Serif"/>
          <w:b w:val="false"/>
          <w:i/>
          <w:caps w:val="false"/>
          <w:smallCaps w:val="false"/>
          <w:sz w:val="20"/>
        </w:rPr>
        <w:t>less </w:t>
      </w:r>
      <w:r>
        <w:rPr>
          <w:rFonts w:ascii="Times New Roman;Times;Serif" w:hAnsi="Times New Roman;Times;Serif"/>
          <w:b w:val="false"/>
          <w:i w:val="false"/>
          <w:caps w:val="false"/>
          <w:smallCaps w:val="false"/>
          <w:sz w:val="20"/>
        </w:rPr>
        <w:t>(b) all payments previously made, </w:t>
      </w:r>
      <w:r>
        <w:rPr>
          <w:rFonts w:ascii="Times New Roman;Times;Serif" w:hAnsi="Times New Roman;Times;Serif"/>
          <w:b w:val="false"/>
          <w:i/>
          <w:caps w:val="false"/>
          <w:smallCaps w:val="false"/>
          <w:sz w:val="20"/>
        </w:rPr>
        <w:t>plus </w:t>
      </w:r>
      <w:r>
        <w:rPr>
          <w:rFonts w:ascii="Times New Roman;Times;Serif" w:hAnsi="Times New Roman;Times;Serif"/>
          <w:b w:val="false"/>
          <w:i w:val="false"/>
          <w:caps w:val="false"/>
          <w:smallCaps w:val="false"/>
          <w:sz w:val="20"/>
        </w:rPr>
        <w:t xml:space="preserve">(c) accrued and unpaid interest on the unpaid Principal Amount of this Note at such time (including all guaranteed interest),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(d) all other amounts, costs, expenses, and liquidated damages due under or in respect of such Note.</w:t>
      </w:r>
    </w:p>
    <w:p>
      <w:pPr>
        <w:pStyle w:val="TextBody"/>
        <w:bidi w:val="0"/>
        <w:spacing w:before="0" w:after="0"/>
        <w:ind w:left="21"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br/>
        <w:t>CERTAIN COVENANTS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Section 3(a)(9) or 3(a)(10) Transaction</w:t>
      </w:r>
      <w:r>
        <w:rPr>
          <w:rFonts w:ascii="Times New Roman;Times;Serif" w:hAnsi="Times New Roman;Times;Serif"/>
          <w:b w:val="false"/>
          <w:i w:val="false"/>
          <w:caps w:val="false"/>
          <w:smallCaps w:val="false"/>
          <w:sz w:val="20"/>
        </w:rPr>
        <w:t>. So long as this Note is outstanding, the Borrower shall not enter into any transaction or arrangement structured in accordance with, based upon, or related or pursuant to, in whole or in part, either Section 3(a)(9) of the 1933 Act (a “</w:t>
      </w:r>
      <w:r>
        <w:rPr>
          <w:rFonts w:ascii="Times New Roman;Times;Serif" w:hAnsi="Times New Roman;Times;Serif"/>
          <w:b w:val="false"/>
          <w:i w:val="false"/>
          <w:caps w:val="false"/>
          <w:smallCaps w:val="false"/>
          <w:sz w:val="20"/>
          <w:u w:val="single"/>
        </w:rPr>
        <w:t>3(a)(9) Transaction</w:t>
      </w:r>
      <w:r>
        <w:rPr>
          <w:rFonts w:ascii="Times New Roman;Times;Serif" w:hAnsi="Times New Roman;Times;Serif"/>
          <w:b w:val="false"/>
          <w:i w:val="false"/>
          <w:caps w:val="false"/>
          <w:smallCaps w:val="false"/>
          <w:sz w:val="20"/>
        </w:rPr>
        <w:t>”) or Section 3(a)(10) of the 1933 Act (a “</w:t>
      </w:r>
      <w:r>
        <w:rPr>
          <w:rFonts w:ascii="Times New Roman;Times;Serif" w:hAnsi="Times New Roman;Times;Serif"/>
          <w:b w:val="false"/>
          <w:i w:val="false"/>
          <w:caps w:val="false"/>
          <w:smallCaps w:val="false"/>
          <w:sz w:val="20"/>
          <w:u w:val="single"/>
        </w:rPr>
        <w:t>3(a)(10) Transaction</w:t>
      </w:r>
      <w:r>
        <w:rPr>
          <w:rFonts w:ascii="Times New Roman;Times;Serif" w:hAnsi="Times New Roman;Times;Serif"/>
          <w:b w:val="false"/>
          <w:i w:val="false"/>
          <w:caps w:val="false"/>
          <w:smallCaps w:val="false"/>
          <w:sz w:val="20"/>
        </w:rPr>
        <w:t>”), provided, however, that the foregoing restriction shall not apply to any 3(a)(9) Transaction or 3(a)(10) Transaction undertaken solely with respect to any Existing Instrument. For purposes of this Section 2.1, “</w:t>
      </w:r>
      <w:r>
        <w:rPr>
          <w:rFonts w:ascii="Times New Roman;Times;Serif" w:hAnsi="Times New Roman;Times;Serif"/>
          <w:b w:val="false"/>
          <w:i w:val="false"/>
          <w:caps w:val="false"/>
          <w:smallCaps w:val="false"/>
          <w:sz w:val="20"/>
          <w:u w:val="single"/>
        </w:rPr>
        <w:t>Existing Instrument</w:t>
      </w:r>
      <w:r>
        <w:rPr>
          <w:rFonts w:ascii="Times New Roman;Times;Serif" w:hAnsi="Times New Roman;Times;Serif"/>
          <w:b w:val="false"/>
          <w:i w:val="false"/>
          <w:caps w:val="false"/>
          <w:smallCaps w:val="false"/>
          <w:sz w:val="20"/>
        </w:rPr>
        <w:t>” means any instrument, security, or obligation of the Borrower that is outstanding as of the Issue Date (a “</w:t>
      </w:r>
      <w:r>
        <w:rPr>
          <w:rFonts w:ascii="Times New Roman;Times;Serif" w:hAnsi="Times New Roman;Times;Serif"/>
          <w:b w:val="false"/>
          <w:i w:val="false"/>
          <w:caps w:val="false"/>
          <w:smallCaps w:val="false"/>
          <w:sz w:val="20"/>
          <w:u w:val="single"/>
        </w:rPr>
        <w:t>Permitted Transaction</w:t>
      </w:r>
      <w:r>
        <w:rPr>
          <w:rFonts w:ascii="Times New Roman;Times;Serif" w:hAnsi="Times New Roman;Times;Serif"/>
          <w:b w:val="false"/>
          <w:i w:val="false"/>
          <w:caps w:val="false"/>
          <w:smallCaps w:val="false"/>
          <w:sz w:val="20"/>
        </w:rPr>
        <w:t>”). In the event that the Borrower does enter into, or makes any issuance of Common Stock related to a 3(a)(9) Transaction or a 3(a)(10) Transaction that is not a Permitted Transaction while this Note is outstanding, a liquidated damages charge of 25% of the outstanding Principal Amount balance of this Note, but not less than Fifteen Thousand Dollars ($15,000.00), will be assessed and will become immediately due and payable to the Holder at its election in the form of cash payment or addition to the balance of this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Borrower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Borrower hereby covenants and agrees that the Borrower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the provisions of this Note and take all action as may be required to protect the rights of the Holder.</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If the Holder provides the Company with (i) an opinion of counsel in form, substance and scope customary for opinions in comparable transactions, to the effect that a public sale or transfer of the shares may be made without registration under the 1933 Act and such sale or transfer is effected and upon which the Transfer Agent may rely, or (ii) the Holder provides reasonable assurances that the Shares can be sold pursuant to Rule 144 and provides the Company with an opinion of counsel upon which the Transfer Agent may rely, the Company shall permit the transfer, and, in the case of the Shares, promptly instruct its transfer agent to issue one or more certificates, free from restrictive legend, in such name and in such denominations as specified by the Holder or, in the sole discretion of the Holder, the Company shall take all action necessary to ensure that such Shares are transferred electronically as DWAC shares. The Company acknowledges that a breach by it of its obligations hereunder will cause irreparable harm to the Holder, by vitiating the intent and purpose of the transactions contemplated hereby. Accordingly, the Company acknowledges that the remedy at law for a breach of its obligations under this Section may be inadequate and agrees, in the event of a breach or threatened breach by the Company of the provisions of this Section, that the Holder shall be entitled, in addition to all other available remedies (including without limitation consequential damages), to an injunction restraining any breach and requiring immediate transfer, without the necessity of showing economic loss and without any bond or other security being required.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1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following shall each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with no right to notice or the right to cure except as specifically stated: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The Borrower fails to pay the Principal Amount hereof or interest thereon when due on this Note, whether at the Maturity Date, or upon any granted optional prepayment date, upon acceleration or otherwise.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instruct the Transfer Agent to issue shares of Common Stock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Common Stock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Common Stock to be issued to the Holder upon conversion of or otherwise pursuant to this Note as and when required by this Note, or fails to direct its transfer agent not to remove or impairs, delays, and/or hinders its transfer agent from removing any restrictive legend (or to withdraw any stop transfer instructions in respect thereof) on any certificate for any shares of Common Stock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the foregoing, it shall not be an Event of Default if the Transfer Agent’s failure to timely transmit the shares of Common Stock is directly attributable to a delay or failure by the Transfer Agent or is otherwise outside the reasonable control of the Borrower, including any delay arising from a systems failure, force majeure event, or other circumstance affecting the Transfer Agent over which the Borrower has no authority or influence, so long as the Borrower has used commercially reasonable efforts to cause the Transfer Agent to timely deliver such shares of Common Stock.</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w:t>
      </w:r>
      <w:r>
        <w:rPr>
          <w:rFonts w:ascii="Times New Roman;Times;Serif" w:hAnsi="Times New Roman;Times;Serif"/>
          <w:b w:val="false"/>
          <w:i w:val="false"/>
          <w:caps w:val="false"/>
          <w:smallCaps w:val="false"/>
          <w:sz w:val="20"/>
        </w:rPr>
        <w:t>. The Borrower breaches any covenant or other term or condition contained in this Note or in any of the Transaction Documents, including but not limited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1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R</w:t>
      </w:r>
      <w:r>
        <w:rPr>
          <w:rFonts w:ascii="Times New Roman;Times;Serif" w:hAnsi="Times New Roman;Times;Serif"/>
          <w:b w:val="false"/>
          <w:i w:val="false"/>
          <w:caps w:val="false"/>
          <w:smallCaps w:val="false"/>
          <w:sz w:val="20"/>
          <w:u w:val="single"/>
        </w:rPr>
        <w:t>eceiver or Trustee</w:t>
      </w:r>
      <w:r>
        <w:rPr>
          <w:rFonts w:ascii="Times New Roman;Times;Serif" w:hAnsi="Times New Roman;Times;Serif"/>
          <w:b w:val="false"/>
          <w:i w:val="false"/>
          <w:caps w:val="false"/>
          <w:smallCaps w:val="false"/>
          <w:sz w:val="20"/>
        </w:rPr>
        <w:t>. The Company or any subsidiary of the Company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Except with respect to the $500,000 claim filed by Benjamin Securities, Inc. prior to the Issue Date, if any money judgment, writ or similar process shall be entered or filed against the Borrower or any subsidiary of the Borrower or any of its property or other assets for more than $50,000.00, and shall remain unvacated, unbonded or unstayed for a period of twenty (20) days unless otherwise consented to by the Holder, which consent will not be unreasonably withheld.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 Liquidation</w:t>
      </w:r>
      <w:r>
        <w:rPr>
          <w:rFonts w:ascii="Times New Roman;Times;Serif" w:hAnsi="Times New Roman;Times;Serif"/>
          <w:b w:val="false"/>
          <w:i w:val="false"/>
          <w:caps w:val="false"/>
          <w:smallCaps w:val="false"/>
          <w:sz w:val="20"/>
        </w:rPr>
        <w:t>. (i) Bankruptcy, insolvency, reorganization or liquidation proceedings or other proceedings, voluntary or involuntary, for relief under any bankruptcy law or any law for the relief of debtors shall be instituted by or against the Company or any subsidiary of the Company or the Borrower admits in writing its inability to pay its debts generally as they mature, or have filed against it an involuntary petition for bankruptcy; or (ii) any dissolution, liquidation, or winding up of Borrower or any substantial portion of its business occurs.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Delisting of Common Stock</w:t>
      </w:r>
      <w:r>
        <w:rPr>
          <w:rFonts w:ascii="Times New Roman;Times;Serif" w:hAnsi="Times New Roman;Times;Serif"/>
          <w:b w:val="false"/>
          <w:i w:val="false"/>
          <w:caps w:val="false"/>
          <w:smallCaps w:val="false"/>
          <w:sz w:val="20"/>
        </w:rPr>
        <w:t>. The Borrower shall fail to maintain the listing of the Common Stock on the NASDAQ stock market.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timely comply with the reporting requirements of the 1934 Act (including but not limited to becoming delinquent in its filings); and/or the Borrower shall cease to be subject to the reporting requirements of the Exchange Act; and/or the Borrower shall not have publicly available all information required by paragraph (b) of Rule 15c2-11 of the Exchange Act (as effective on September 26, 2021), as amended, such that brokers or dealers attempting to publish any quotation for the Common Stock or, directly or indirectly, to submit any such quotation for publication, shall be able to comply with Rule 15c2-11(a).</w:t>
      </w:r>
    </w:p>
    <w:p>
      <w:pPr>
        <w:pStyle w:val="TextBody"/>
        <w:bidi w:val="0"/>
        <w:spacing w:before="0" w:after="0"/>
        <w:ind w:left="21"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the event that the Company (i) loses its ability to deliver shares via “DWAC/FAST” electronic transfer, or (ii) loses its stats as “DTC Eligible.”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The failure by Borrower to maintain any material intellectual property rights, personal, real property or other assets which are necessary to conduct its business (whether now or in the future) or any disposition or conveyance of any material asset of the Borrower.</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for any date or period from two years prior to the Issue Date of this Note and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1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Transfer Agent Instruction Letter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Cessation of Trading</w:t>
      </w:r>
      <w:r>
        <w:rPr>
          <w:rFonts w:ascii="Times New Roman;Times;Serif" w:hAnsi="Times New Roman;Times;Serif"/>
          <w:b w:val="false"/>
          <w:i w:val="false"/>
          <w:caps w:val="false"/>
          <w:smallCaps w:val="false"/>
          <w:sz w:val="20"/>
        </w:rPr>
        <w:t>. Any cessation of trading of the Common Stock on the NASDAQ stock market, and such cessation of trading shall continue for a period of five consecutive (5) Trading Days.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non-compliance, or default by the Borrower of any covenant or other term or condition contained in any of the Other Agreements,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w:t>
      </w: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means, collectively, all agreements and instruments between, among or by: (1) the Borrower, and, or for the benefit of, (2) the Holder and any affiliate of the Holder. For the avoidance of doubt, Other Agreements shall include, without limitation, the Purchase Agreement, that certain Common Stock Purchase Agreement “equity line”, as amended, between the Holder and Borrower (“</w:t>
      </w:r>
      <w:r>
        <w:rPr>
          <w:rFonts w:ascii="Times New Roman;Times;Serif" w:hAnsi="Times New Roman;Times;Serif"/>
          <w:b w:val="false"/>
          <w:i w:val="false"/>
          <w:caps w:val="false"/>
          <w:smallCaps w:val="false"/>
          <w:sz w:val="20"/>
          <w:u w:val="single"/>
        </w:rPr>
        <w:t>ELOC Agreement</w:t>
      </w:r>
      <w:r>
        <w:rPr>
          <w:rFonts w:ascii="Times New Roman;Times;Serif" w:hAnsi="Times New Roman;Times;Serif"/>
          <w:b w:val="false"/>
          <w:i w:val="false"/>
          <w:caps w:val="false"/>
          <w:smallCaps w:val="false"/>
          <w:sz w:val="20"/>
        </w:rPr>
        <w:t>”), that certain Warrant to be issued pursuant to the ELOC Agreement, and that certain Registration Rights Agreement between the Holder and the Borrower. Any loan transactions will be cross-defaulted with each other loan transaction and with all other existing and future debt of Borrower to the Holder.</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attempt by the Borrower or its officers, directors, and/or affiliates to transmit, convey, disclose, or any actual transmittal, conveyance, or disclosure by the Borrower or its officers, directors, and/or affiliates of, material non-public information concerning the Borrower, to the Holder or its successors and assigns, where (i) the Holder has not consented in writing to the receipt of such information and agreed with the Borrower to keep such information confidential or (ii) which is not immediately cured by Borrower’s filing of a Form 8-K pursuant to Regulation FD on that same date.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which is six (6) months following the Issue Date, the Holder is unable to (i) obtain a standard “144 legal opinion letter” from an attorney reasonably acceptable to the Holder, the Holder’s brokerage firm (and respective clearing firm), and the Borrower’s transfer agent in order to facilitate the Holder’s conversion of any portion of the Note into free trading shares of the Borrower’s Common Stock pursuant to Rule 144, and (ii) thereupon deposit such shares into the Holder’s brokerage account.</w:t>
      </w:r>
    </w:p>
    <w:p>
      <w:pPr>
        <w:pStyle w:val="TextBody"/>
        <w:bidi w:val="0"/>
        <w:spacing w:before="0" w:after="0"/>
        <w:ind w:left="14" w:right="0" w:firstLine="713"/>
        <w:jc w:val="both"/>
        <w:rPr>
          <w:caps w:val="false"/>
          <w:smallCaps w:val="false"/>
        </w:rPr>
      </w:pPr>
      <w:r>
        <w:rPr>
          <w:caps w:val="false"/>
          <w:smallCaps w:val="false"/>
        </w:rPr>
        <w:t> </w:t>
      </w:r>
    </w:p>
    <w:p>
      <w:pPr>
        <w:pStyle w:val="TextBody"/>
        <w:bidi w:val="0"/>
        <w:spacing w:before="0" w:after="0"/>
        <w:ind w:left="0" w:right="0" w:firstLine="7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First Lien, upon the occurrence of any Event of Default specified above, exercisable through the delivery of written notice to the Borrower by such Holders (the “</w:t>
      </w:r>
      <w:r>
        <w:rPr>
          <w:rFonts w:ascii="Times New Roman;Times;Serif" w:hAnsi="Times New Roman;Times;Serif"/>
          <w:b w:val="false"/>
          <w:i w:val="false"/>
          <w:caps w:val="false"/>
          <w:smallCaps w:val="false"/>
          <w:sz w:val="20"/>
          <w:u w:val="single"/>
        </w:rPr>
        <w:t>Default Notice</w:t>
      </w:r>
      <w:r>
        <w:rPr>
          <w:rFonts w:ascii="Times New Roman;Times;Serif" w:hAnsi="Times New Roman;Times;Serif"/>
          <w:b w:val="false"/>
          <w:i w:val="false"/>
          <w:caps w:val="false"/>
          <w:smallCaps w:val="false"/>
          <w:sz w:val="20"/>
        </w:rPr>
        <w:t xml:space="preserve">”) the Note shall become immediately due and payable and the Borrower shall pay to the Holder, in full satisfaction of its obligations hereunder, an amount equal to (x)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accrued and unpaid interest on the unpaid Principal Amount of this Note to the date of payment on the amounts referred to in clauses (x) and/or (y)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w:t>
      </w:r>
      <w:r>
        <w:rPr>
          <w:rFonts w:ascii="Times New Roman;Times;Serif" w:hAnsi="Times New Roman;Times;Serif"/>
          <w:b w:val="false"/>
          <w:i w:val="false"/>
          <w:caps w:val="false"/>
          <w:smallCaps w:val="false"/>
          <w:sz w:val="20"/>
          <w:u w:val="single"/>
        </w:rPr>
        <w:t>Sections 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1.4(f)</w:t>
      </w:r>
      <w:r>
        <w:rPr>
          <w:rFonts w:ascii="Times New Roman;Times;Serif" w:hAnsi="Times New Roman;Times;Serif"/>
          <w:b w:val="false"/>
          <w:i w:val="false"/>
          <w:caps w:val="false"/>
          <w:smallCaps w:val="false"/>
          <w:sz w:val="20"/>
        </w:rPr>
        <w:t xml:space="preserve">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w:t>
      </w:r>
      <w:r>
        <w:rPr>
          <w:rFonts w:ascii="Times New Roman;Times;Serif" w:hAnsi="Times New Roman;Times;Serif"/>
          <w:b w:val="false"/>
          <w:i w:val="false"/>
          <w:caps w:val="false"/>
          <w:smallCaps w:val="false"/>
          <w:sz w:val="20"/>
          <w:u w:val="single"/>
        </w:rPr>
        <w:t>Default Amount</w:t>
      </w:r>
      <w:r>
        <w:rPr>
          <w:rFonts w:ascii="Times New Roman;Times;Serif" w:hAnsi="Times New Roman;Times;Serif"/>
          <w:b w:val="false"/>
          <w:i w:val="false"/>
          <w:caps w:val="false"/>
          <w:smallCaps w:val="false"/>
          <w:sz w:val="20"/>
        </w:rPr>
        <w:t>”). Notwithstanding anything herein to the contrary, upon delivery by the Holder to the Borrower of a Default Notice (as defined herein) setting forth the Event of Default under the Note and if not cured within ten (10) business days if curable, at the sole option of the Holder the Default Conversion Price (as defined below) can be used by the Holder as the Conversion Price, at any time, and from time to time, thereafter while the Note remains outstanding. The “</w:t>
      </w:r>
      <w:r>
        <w:rPr>
          <w:rFonts w:ascii="Times New Roman;Times;Serif" w:hAnsi="Times New Roman;Times;Serif"/>
          <w:b w:val="false"/>
          <w:i w:val="false"/>
          <w:caps w:val="false"/>
          <w:smallCaps w:val="false"/>
          <w:sz w:val="20"/>
          <w:u w:val="single"/>
        </w:rPr>
        <w:t>Default Conversion Price</w:t>
      </w:r>
      <w:r>
        <w:rPr>
          <w:rFonts w:ascii="Times New Roman;Times;Serif" w:hAnsi="Times New Roman;Times;Serif"/>
          <w:b w:val="false"/>
          <w:i w:val="false"/>
          <w:caps w:val="false"/>
          <w:smallCaps w:val="false"/>
          <w:sz w:val="20"/>
        </w:rPr>
        <w:t xml:space="preserve">” shall mean $0.01 per share, as may be subsequently adjusted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14" w:right="0" w:firstLine="713"/>
        <w:jc w:val="both"/>
        <w:rPr>
          <w:caps w:val="false"/>
          <w:smallCaps w:val="false"/>
        </w:rPr>
      </w:pPr>
      <w:r>
        <w:rPr>
          <w:caps w:val="false"/>
          <w:smallCaps w:val="false"/>
        </w:rPr>
        <w:t> </w:t>
      </w:r>
    </w:p>
    <w:p>
      <w:pPr>
        <w:pStyle w:val="TextBody"/>
        <w:bidi w:val="0"/>
        <w:spacing w:before="0" w:after="0"/>
        <w:ind w:left="14" w:right="0" w:firstLine="71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14" w:right="0" w:firstLine="713"/>
        <w:jc w:val="both"/>
        <w:rPr>
          <w:caps w:val="false"/>
          <w:smallCaps w:val="false"/>
        </w:rPr>
      </w:pPr>
      <w:r>
        <w:rPr>
          <w:caps w:val="false"/>
          <w:smallCaps w:val="false"/>
        </w:rPr>
        <w:t> </w:t>
      </w:r>
    </w:p>
    <w:p>
      <w:pPr>
        <w:pStyle w:val="TextBody"/>
        <w:bidi w:val="0"/>
        <w:spacing w:before="0" w:after="0"/>
        <w:ind w:left="0" w:right="0" w:firstLine="7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have the right at any time after the date that is ten (10) days following the occurrence of an Event of Default that has not been cured, to require the Borrower to immediately issue, in lieu of the Default Amount, the number of shares of Common Stock of the Borrower equal to the Default Amount divided by the Conversion Price then in effect, subject to the terms of this Note. This requirement by the Borrower shall automatically apply upon the occurrence of such ten (10) day period without the need for any party to give any notice or take any other action.</w:t>
      </w:r>
    </w:p>
    <w:p>
      <w:pPr>
        <w:pStyle w:val="TextBody"/>
        <w:bidi w:val="0"/>
        <w:spacing w:before="0" w:after="0"/>
        <w:ind w:left="21" w:right="0" w:firstLine="706"/>
        <w:jc w:val="both"/>
        <w:rPr>
          <w:caps w:val="false"/>
          <w:smallCaps w:val="false"/>
        </w:rPr>
      </w:pPr>
      <w:r>
        <w:rPr>
          <w:caps w:val="false"/>
          <w:smallCaps w:val="false"/>
        </w:rPr>
        <w:t> </w:t>
      </w:r>
    </w:p>
    <w:p>
      <w:pPr>
        <w:pStyle w:val="TextBody"/>
        <w:bidi w:val="0"/>
        <w:spacing w:before="0" w:after="0"/>
        <w:ind w:left="21"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shall commence an action or proceeding to enforce any provisions of this Note, including, without limitation, engaging an attorney, then if the Holder prevails in such action, the Holder shall be reimbursed by the Borrower for its attorneys’ fees and other costs and expenses incurred in the investigation, preparation and prosecution of such action or proceeding.</w:t>
      </w:r>
    </w:p>
    <w:p>
      <w:pPr>
        <w:pStyle w:val="TextBody"/>
        <w:bidi w:val="0"/>
        <w:spacing w:before="0" w:after="0"/>
        <w:ind w:left="21" w:right="0" w:firstLine="70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br/>
        <w:t>MISCELLANEOUS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delivered as contemplated by the notice provisions under </w:t>
      </w:r>
      <w:r>
        <w:rPr>
          <w:rFonts w:ascii="Times New Roman;Times;Serif" w:hAnsi="Times New Roman;Times;Serif"/>
          <w:b w:val="false"/>
          <w:i w:val="false"/>
          <w:caps w:val="false"/>
          <w:smallCaps w:val="false"/>
          <w:sz w:val="20"/>
          <w:u w:val="single"/>
        </w:rPr>
        <w:t>Section 9(g)</w:t>
      </w:r>
      <w:r>
        <w:rPr>
          <w:rFonts w:ascii="Times New Roman;Times;Serif" w:hAnsi="Times New Roman;Times;Serif"/>
          <w:b w:val="false"/>
          <w:i w:val="false"/>
          <w:caps w:val="false"/>
          <w:smallCaps w:val="false"/>
          <w:sz w:val="20"/>
        </w:rPr>
        <w:t xml:space="preserve"> of the Purchase Agreement.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Note shall be binding upon the Borrower and its successors and assigns, and shall inure to the benefit of the Holder and its successors and assigns. The Borrower shall not assign this Note or any rights or obligations hereunder without the prior written consent of the Holder. Notwithstanding anything in this Note to the contrary, this Note may be pledged as collateral in connection with a bonafide margin account or other lending arrangement. The Holder and any assignee, by acceptance of this Note, acknowledge and agree that following conversion of a portion of this Note, the unpaid and unconverted Principal Amount of this Note represented by this Note may be less than the amount stated on the face hereof.</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reasonable costs of collection, including reasonable attorneys’ fees.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1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 Dispute Resolution</w:t>
      </w:r>
      <w:r>
        <w:rPr>
          <w:rFonts w:ascii="Times New Roman;Times;Serif" w:hAnsi="Times New Roman;Times;Serif"/>
          <w:b w:val="false"/>
          <w:i w:val="false"/>
          <w:caps w:val="false"/>
          <w:smallCaps w:val="false"/>
          <w:sz w:val="20"/>
        </w:rPr>
        <w:t>. This Note shall be governed by and interpreted in accordance with the laws of the State of Nevada without regard to the principles of conflicts of law. THE COMPANY AND THE HOLDER HEREBY WAIVE A TRIAL BY JURY IN ANY ACTION, PROCEEDING OR COUNTERCLAIM BROUGHT BY EITHER OF THE PARTIES HERETO AGAINST THE OTHER IN RESPECT OF ANY MATTER ARISING OUT OF OR IN CONNECTION WITH THIS NOTE. Any dispute, controversy, difference or claim that may arise between the Company and the Holder in connection with this Note; and all claims arising out of or relating to the validity, construction, interpretation, enforceability, breach, performance, application or termination of this Note, shall be submitted to binding arbitration governed by the rules of the American Arbitration Association. The seat of the arbitration shall be in the State of Nevada and County of Clark. There shall be only one arbitrator selected in accordance with the rules of the American Arbitration Association. The arbitration shall be conducted in English and may be conducted in a virtual setting. The arbitrator’s decision shall be final and binding and judgment may be entered thereon. Provided a party has made a sufficient showing under applicable law, the arbitrator shall have the freedom to invoke, and the parties agree to abide by, injunctive measures that either party submits in writing for arbitration claims requiring immediate relief. Additionally, nothing in this Section shall preclude either party from seeking equitable relief or interim or provisional relief from a court of competent jurisdiction, including a temporary restraining order, preliminary injunction or other equitable relief, concerning a dispute either prior to or during arbitration if necessary to protect the interests of such party or to preserve the status quo pending the arbitration proceeding. Each side must bear its own costs and legal fees during the pendency of the arbitration. A party’s failure to pay any costs or fees required to proceed in the arbitration, as they timely come due, shall result in an immediate default against that party. The prevailing party in the arbitration shall be entitled to recoup all its reasonable attorneys’ fees and costs from the nonprevailing, including, without limitation, all of its costs relating to the arbitration. The arbitrator’s final award shall include this assessment of costs and fees.</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Whenever pursuant to this Note the Borrower is required to pay an amount in excess of the outstanding Principal Amount (or the portion thereof required to be paid at that time) plus accrued and unpaid interest, the Borrower and the Holder agree that the actual damages to the Holder from the receipt of cash payment on this Note may be difficult to determine and the amount to be so paid by the Borrower represents stipulated damages and not a penalty.</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Notice of Corporate Events</w:t>
      </w:r>
      <w:r>
        <w:rPr>
          <w:rFonts w:ascii="Times New Roman;Times;Serif" w:hAnsi="Times New Roman;Times;Serif"/>
          <w:b w:val="false"/>
          <w:i w:val="false"/>
          <w:caps w:val="false"/>
          <w:smallCaps w:val="false"/>
          <w:sz w:val="20"/>
        </w:rPr>
        <w:t xml:space="preserve">. Except as otherwise provided in this Note, the Holder of this Note shall have no rights as a Holder of Common Stock unless and only to the extent that it converts this Note into Common Stock. The Borrower shall provide the Holder with prior notification of any meeting of the Borrower’s shareholders. In the event of any taking by the Borrower of a record of its shareholders for the purpose of determining shareholders who are entitled to receive payment of any dividend or other distribution, any right to subscribe for, purchase or otherwise acquire (including by way of merger, consolidation, reclassification or recapitalization) any share of any class or any other securities or property, or to receive any other right, or for the purpose of determining shareholders who are entitled to vote in connection with any proposed sale, lease or conveyance of all or substantially all of the assets of the Borrower or any proposed liquidation, dissolution or winding up of the Borrower, the Borrower shall mail a notice to the Holder, at least twenty (20) days prior to the record date specified therein (or thirty (30) days prior to the consummation of the transaction or event, whichever is earlier), of the date on which any such record is to be taken for the purpose of such dividend, distribution, right or other event, and a brief statement regarding the amount and character of such dividend, distribution, right or other event to the extent known at such time. The Borrower shall make a public announcement of any event requiring notification to the Holder hereunder substantially simultaneously with the notification to the Holder in accordance with the terms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including, but not limited to, name changes, recapitalizations, etc. as soon as possible under law.</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If it shall be found that any interest or other amount deemed interest due hereunder violates the applicable law governing usury, the applicable provision shall automatically be revised to equal the maximum rate of interest or other amount deemed interest permitted under applicable law. The Borrower covenants (to the extent that it may lawfully do so) that it will not seek to claim or take advantage of any usury law that would prohibit or forgive the Borrower from paying all or a portion of the Principal Amount or interest on this Note.</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1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 No provision of this Note shall alter or impair the obligation of the Borrower, which is absolute and unconditional, to pay the Principal Amount of, and interest on, this Note at the time, place, and rate, and in the form, herein prescribed.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security with any term more favorable to the holder of such security or with a term (including without limitation any Conversion Price) in favor of the holder of such security that was not similarly provided to the Holder in this Note (other than a future financing with the Holder), then the Borrower shall notify the Holder of such additional or more favorable term and such term, at Holder’s option, shall become a part of the Transaction Documents with the Holder. The types of terms contained in another security that may be more favorable to the holder of such security include, but are not limited to, terms addressing conversion discounts, prepayment rate, conversion lookback periods, interest rates, original issue discounts, stock sale price, private placement price per share, and warrant coverage.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follows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as of the Issue Date.</w:t>
      </w:r>
    </w:p>
    <w:p>
      <w:pPr>
        <w:pStyle w:val="TextBody"/>
        <w:bidi w:val="0"/>
        <w:spacing w:before="0" w:after="0"/>
        <w:ind w:left="0" w:right="0" w:firstLine="720"/>
        <w:jc w:val="both"/>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564"/>
        <w:gridCol w:w="1195"/>
      </w:tblGrid>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u w:val="single"/>
              </w:rPr>
              <w:t>COMPANY</w:t>
            </w:r>
            <w:r>
              <w:rPr>
                <w:b/>
                <w:sz w:val="20"/>
              </w:rPr>
              <w:t>:</w:t>
            </w:r>
          </w:p>
        </w:tc>
      </w:tr>
      <w:tr>
        <w:trPr/>
        <w:tc>
          <w:tcPr>
            <w:tcW w:w="75"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rPr>
              <w:t>CID HOLDCO, INC.</w:t>
            </w:r>
          </w:p>
        </w:tc>
      </w:tr>
      <w:tr>
        <w:trPr/>
        <w:tc>
          <w:tcPr>
            <w:tcW w:w="75"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sz w:val="20"/>
              </w:rPr>
            </w:pPr>
            <w:r>
              <w:rPr>
                <w:sz w:val="20"/>
              </w:rPr>
              <w:t>By:</w:t>
            </w:r>
          </w:p>
        </w:tc>
        <w:tc>
          <w:tcPr>
            <w:tcW w:w="1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sz w:val="20"/>
              </w:rPr>
            </w:pPr>
            <w:r>
              <w:rPr>
                <w:sz w:val="20"/>
              </w:rPr>
              <w:t>Name:</w:t>
            </w:r>
          </w:p>
        </w:tc>
        <w:tc>
          <w:tcPr>
            <w:tcW w:w="1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sz w:val="20"/>
              </w:rPr>
            </w:pPr>
            <w:r>
              <w:rPr>
                <w:sz w:val="20"/>
              </w:rPr>
              <w:t>Title:</w:t>
            </w:r>
          </w:p>
        </w:tc>
        <w:tc>
          <w:tcPr>
            <w:tcW w:w="1195" w:type="dxa"/>
            <w:tcBorders/>
            <w:vAlign w:val="center"/>
          </w:tcPr>
          <w:p>
            <w:pPr>
              <w:pStyle w:val="TableContents"/>
              <w:bidi w:val="0"/>
              <w:spacing w:before="0" w:after="283"/>
              <w:jc w:val="left"/>
              <w:rPr/>
            </w:pPr>
            <w:r>
              <w:rPr/>
              <w:t> </w:t>
            </w:r>
          </w:p>
        </w:tc>
      </w:tr>
    </w:tbl>
    <w:p>
      <w:pPr>
        <w:pStyle w:val="TextBody"/>
        <w:bidi w:val="0"/>
        <w:spacing w:before="0" w:after="0"/>
        <w:ind w:left="4327"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NOTICE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$_________________ Principal Amount of the Note (defined below) together with $________________ of accrued and unpaid interest thereto, totaling $_____________ into that number of shares of Common Stock to be issued pursuant to the conversion of the Note (“Common Stock”) as set forth below, of CID Holdco, Inc., a Delaware corporation (the “Borrower”), according to the conditions of the senior secured convertible note of the Borrower dated as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1447"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Borrower shall electronically transmit the Common Stock issuable pursuant to this Notice of Conversion to the account of the undersigned or its nominee with DTC through its Deposit Withdrawal At Custodian system (“DWAC Transfer”).</w:t>
            </w:r>
          </w:p>
        </w:tc>
      </w:tr>
    </w:tbl>
    <w:p>
      <w:pPr>
        <w:pStyle w:val="TextBody"/>
        <w:bidi w:val="0"/>
        <w:spacing w:before="0" w:after="0"/>
        <w:ind w:left="2167" w:right="0" w:hanging="720"/>
        <w:jc w:val="both"/>
        <w:rPr>
          <w:caps w:val="false"/>
          <w:smallCaps w:val="false"/>
        </w:rPr>
      </w:pPr>
      <w:r>
        <w:rPr>
          <w:caps w:val="false"/>
          <w:smallCaps w:val="false"/>
        </w:rPr>
        <w:t> </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 _______________________________________________________</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________________________________________________________________</w:t>
      </w:r>
    </w:p>
    <w:p>
      <w:pPr>
        <w:pStyle w:val="TextBody"/>
        <w:bidi w:val="0"/>
        <w:spacing w:before="0" w:after="0"/>
        <w:ind w:left="1447"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2174" w:right="0" w:hanging="720"/>
        <w:jc w:val="both"/>
        <w:rPr>
          <w:caps w:val="false"/>
          <w:smallCaps w:val="false"/>
        </w:rPr>
      </w:pPr>
      <w:r>
        <w:rPr>
          <w:caps w:val="false"/>
          <w:smallCaps w:val="false"/>
        </w:rPr>
        <w:t> </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r>
        <w:rPr>
          <w:rFonts w:ascii="Times New Roman;Times;Serif" w:hAnsi="Times New Roman;Times;Serif"/>
          <w:b w:val="false"/>
          <w:i w:val="false"/>
          <w:caps w:val="false"/>
          <w:smallCaps w:val="false"/>
          <w:sz w:val="20"/>
          <w:u w:val="single"/>
        </w:rPr>
        <w:t>[NAME]                                                                                                                                                        </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[ADDRESS]                                                                                                                                              </w:t>
      </w:r>
    </w:p>
    <w:p>
      <w:pPr>
        <w:pStyle w:val="TextBody"/>
        <w:bidi w:val="0"/>
        <w:spacing w:before="0" w:after="0"/>
        <w:ind w:left="2174" w:right="0" w:hanging="720"/>
        <w:jc w:val="both"/>
        <w:rPr>
          <w:caps w:val="false"/>
          <w:smallCaps w:val="false"/>
        </w:rPr>
      </w:pPr>
      <w:r>
        <w:rPr>
          <w:caps w:val="false"/>
          <w:smallCaps w:val="false"/>
        </w:rPr>
        <w:t> </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 ____________________________________</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 $____________________________</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Conversion of the Notes: _______________________</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Principal Balance Due remaining</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after this conversion: ______________________</w:t>
      </w:r>
    </w:p>
    <w:p>
      <w:pPr>
        <w:pStyle w:val="TextBody"/>
        <w:bidi w:val="0"/>
        <w:spacing w:before="0" w:after="0"/>
        <w:ind w:left="180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unpaid interest remaining: ____________________</w:t>
      </w:r>
    </w:p>
    <w:p>
      <w:pPr>
        <w:pStyle w:val="TextBody"/>
        <w:bidi w:val="0"/>
        <w:spacing w:before="0" w:after="0"/>
        <w:ind w:left="2174" w:right="0" w:hanging="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p>
      <w:pPr>
        <w:pStyle w:val="TextBody"/>
        <w:bidi w:val="0"/>
        <w:spacing w:before="0" w:after="0"/>
        <w:ind w:left="2174" w:right="0" w:hanging="72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590"/>
        <w:gridCol w:w="4940"/>
      </w:tblGrid>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both"/>
              <w:rPr>
                <w:sz w:val="20"/>
              </w:rPr>
            </w:pPr>
            <w:r>
              <w:rPr>
                <w:sz w:val="20"/>
              </w:rPr>
              <w:t>By:</w:t>
            </w:r>
          </w:p>
        </w:tc>
        <w:tc>
          <w:tcPr>
            <w:tcW w:w="4940" w:type="dxa"/>
            <w:tcBorders/>
            <w:vAlign w:val="center"/>
          </w:tcPr>
          <w:p>
            <w:pPr>
              <w:pStyle w:val="TableContents"/>
              <w:bidi w:val="0"/>
              <w:spacing w:before="0" w:after="283"/>
              <w:jc w:val="both"/>
              <w:rPr>
                <w:u w:val="single"/>
              </w:rPr>
            </w:pPr>
            <w:r>
              <w:rPr>
                <w:u w:val="single"/>
              </w:rPr>
              <w:t>                                                                                 </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both"/>
              <w:rPr>
                <w:sz w:val="20"/>
              </w:rPr>
            </w:pPr>
            <w:r>
              <w:rPr>
                <w:sz w:val="20"/>
              </w:rPr>
              <w:t xml:space="preserve">Name: </w:t>
            </w:r>
          </w:p>
        </w:tc>
        <w:tc>
          <w:tcPr>
            <w:tcW w:w="4940" w:type="dxa"/>
            <w:tcBorders/>
            <w:vAlign w:val="center"/>
          </w:tcPr>
          <w:p>
            <w:pPr>
              <w:pStyle w:val="TableContents"/>
              <w:bidi w:val="0"/>
              <w:spacing w:before="0" w:after="283"/>
              <w:jc w:val="both"/>
              <w:rPr>
                <w:u w:val="single"/>
              </w:rPr>
            </w:pPr>
            <w:r>
              <w:rPr>
                <w:u w:val="single"/>
              </w:rPr>
              <w:t>[NAME]                                                                   </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both"/>
              <w:rPr>
                <w:sz w:val="20"/>
              </w:rPr>
            </w:pPr>
            <w:r>
              <w:rPr>
                <w:sz w:val="20"/>
              </w:rPr>
              <w:t xml:space="preserve">Title: </w:t>
            </w:r>
          </w:p>
        </w:tc>
        <w:tc>
          <w:tcPr>
            <w:tcW w:w="4940" w:type="dxa"/>
            <w:tcBorders/>
            <w:vAlign w:val="center"/>
          </w:tcPr>
          <w:p>
            <w:pPr>
              <w:pStyle w:val="TableContents"/>
              <w:bidi w:val="0"/>
              <w:spacing w:before="0" w:after="283"/>
              <w:jc w:val="both"/>
              <w:rPr>
                <w:u w:val="single"/>
              </w:rPr>
            </w:pPr>
            <w:r>
              <w:rPr>
                <w:u w:val="single"/>
              </w:rPr>
              <w:t>[TITLE]                                                                    </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both"/>
              <w:rPr>
                <w:sz w:val="20"/>
              </w:rPr>
            </w:pPr>
            <w:r>
              <w:rPr>
                <w:sz w:val="20"/>
              </w:rPr>
              <w:t xml:space="preserve">Date: </w:t>
            </w:r>
          </w:p>
        </w:tc>
        <w:tc>
          <w:tcPr>
            <w:tcW w:w="4940" w:type="dxa"/>
            <w:tcBorders/>
            <w:vAlign w:val="center"/>
          </w:tcPr>
          <w:p>
            <w:pPr>
              <w:pStyle w:val="TableContents"/>
              <w:bidi w:val="0"/>
              <w:spacing w:before="0" w:after="283"/>
              <w:jc w:val="both"/>
              <w:rPr>
                <w:sz w:val="20"/>
                <w:u w:val="single"/>
              </w:rPr>
            </w:pPr>
            <w:r>
              <w:rPr>
                <w:sz w:val="20"/>
                <w:u w:val="single"/>
              </w:rPr>
              <w:t>[DATE]                                                                    </w:t>
            </w:r>
          </w:p>
        </w:tc>
      </w:tr>
    </w:tbl>
    <w:p>
      <w:pPr>
        <w:pStyle w:val="TextBody"/>
        <w:bidi w:val="0"/>
        <w:spacing w:before="0" w:after="0"/>
        <w:ind w:left="2174" w:right="0" w:hanging="720"/>
        <w:jc w:val="both"/>
        <w:rPr>
          <w:caps w:val="false"/>
          <w:smallCaps w:val="false"/>
        </w:rPr>
      </w:pPr>
      <w:r>
        <w:rPr>
          <w:caps w:val="false"/>
          <w:smallCaps w:val="false"/>
        </w:rPr>
        <w:t> </w:t>
      </w:r>
    </w:p>
    <w:p>
      <w:pPr>
        <w:pStyle w:val="TextBody"/>
        <w:bidi w:val="0"/>
        <w:spacing w:before="0" w:after="0"/>
        <w:ind w:left="2181" w:right="0" w:hanging="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2181" w:right="0" w:hanging="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70911</Words>
  <Characters>372520</Characters>
  <CharactersWithSpaces>444078</CharactersWithSpaces>
  <Paragraphs>2493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