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65601-8k_cidhold.htm"/>
      <w:bookmarkStart w:id="1" w:name="ksea02656018k_cidhol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w:t>
      </w:r>
      <w:bookmarkStart w:id="2" w:name="xdx_90F_edei--DocumentType_c20251113__20"/>
      <w:bookmarkEnd w:id="2"/>
      <w:r>
        <w:rPr>
          <w:rFonts w:ascii="Times New Roman;Times;Serif" w:hAnsi="Times New Roman;Times;Serif"/>
          <w:b/>
          <w:i w:val="false"/>
          <w:caps/>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November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5_edei--EntityRegistrantName_c2025"/>
      <w:bookmarkEnd w:id="4"/>
      <w:r>
        <w:rPr>
          <w:rFonts w:ascii="Times New Roman;Times;Serif" w:hAnsi="Times New Roman;Times;Serif"/>
          <w:b/>
          <w:i w:val="false"/>
          <w:caps w:val="false"/>
          <w:smallCaps w:val="false"/>
          <w:sz w:val="24"/>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51113"/>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99-2578850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5661 S Cameron St,</w:t>
            </w:r>
            <w:bookmarkStart w:id="9" w:name="xdx_90F_edei--EntityAddressAddressLine2_"/>
            <w:bookmarkEnd w:id="9"/>
            <w:r>
              <w:rPr>
                <w:b/>
                <w:sz w:val="20"/>
              </w:rPr>
              <w:t> Suite 100,</w:t>
              <w:br/>
            </w:r>
            <w:bookmarkStart w:id="10" w:name="xdx_906_edei--EntityAddressCityOrTown_c2"/>
            <w:bookmarkEnd w:id="10"/>
            <w:r>
              <w:rPr>
                <w:b/>
                <w:sz w:val="20"/>
              </w:rPr>
              <w:t>Las Vegas,</w:t>
            </w:r>
            <w:bookmarkStart w:id="11" w:name="xdx_900_edei--EntityAddressStateOrProvin"/>
            <w:bookmarkEnd w:id="11"/>
            <w:r>
              <w:rPr>
                <w:b/>
                <w:sz w:val="20"/>
              </w:rPr>
              <w:t xml:space="preserve"> 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3_edei--EntityAddressPostalZipCode"/>
            <w:bookmarkEnd w:id="12"/>
            <w:r>
              <w:rPr>
                <w:b/>
                <w:sz w:val="20"/>
              </w:rPr>
              <w:t>89118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51113__20"/>
      <w:bookmarkEnd w:id="13"/>
      <w:r>
        <w:rPr>
          <w:rFonts w:ascii="Times New Roman;Times;Serif" w:hAnsi="Times New Roman;Times;Serif"/>
          <w:b/>
          <w:i w:val="false"/>
          <w:caps w:val="false"/>
          <w:smallCaps w:val="false"/>
          <w:sz w:val="20"/>
        </w:rPr>
        <w:t>303)-</w:t>
      </w:r>
      <w:bookmarkStart w:id="14" w:name="xdx_909_edei--LocalPhoneNumber_c20251113"/>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both"/>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2_edei--SolicitingMaterial_c202511"/>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52"/>
        <w:gridCol w:w="60"/>
        <w:gridCol w:w="1347"/>
        <w:gridCol w:w="60"/>
        <w:gridCol w:w="2986"/>
      </w:tblGrid>
      <w:tr>
        <w:trPr/>
        <w:tc>
          <w:tcPr>
            <w:tcW w:w="5752"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98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5752" w:type="dxa"/>
            <w:tcBorders/>
            <w:shd w:fill="CCEEFF" w:val="clear"/>
            <w:tcMar>
              <w:bottom w:w="0" w:type="dxa"/>
            </w:tcMar>
            <w:vAlign w:val="center"/>
          </w:tcPr>
          <w:p>
            <w:pPr>
              <w:pStyle w:val="TableContents"/>
              <w:bidi w:val="0"/>
              <w:spacing w:before="0" w:after="283"/>
              <w:jc w:val="center"/>
              <w:rPr>
                <w:b/>
              </w:rPr>
            </w:pPr>
            <w:bookmarkStart w:id="19" w:name="xdx_902_edei--Security12bTitle_c20251113"/>
            <w:bookmarkEnd w:id="19"/>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7" w:type="dxa"/>
            <w:tcBorders/>
            <w:shd w:fill="CCEEFF" w:val="clear"/>
            <w:tcMar>
              <w:bottom w:w="0" w:type="dxa"/>
            </w:tcMar>
            <w:vAlign w:val="center"/>
          </w:tcPr>
          <w:p>
            <w:pPr>
              <w:pStyle w:val="TableContents"/>
              <w:bidi w:val="0"/>
              <w:spacing w:before="0" w:after="283"/>
              <w:jc w:val="center"/>
              <w:rPr>
                <w:b/>
              </w:rPr>
            </w:pPr>
            <w:bookmarkStart w:id="20" w:name="xdx_90A_edei--TradingSymbol_c20251113__2"/>
            <w:bookmarkEnd w:id="20"/>
            <w:r>
              <w:rPr>
                <w:b/>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86" w:type="dxa"/>
            <w:tcBorders/>
            <w:shd w:fill="CCEEFF" w:val="clear"/>
            <w:tcMar>
              <w:bottom w:w="0" w:type="dxa"/>
            </w:tcMar>
            <w:vAlign w:val="center"/>
          </w:tcPr>
          <w:p>
            <w:pPr>
              <w:pStyle w:val="TableContents"/>
              <w:bidi w:val="0"/>
              <w:spacing w:before="0" w:after="283"/>
              <w:jc w:val="center"/>
              <w:rPr>
                <w:b/>
              </w:rPr>
            </w:pPr>
            <w:r>
              <w:rPr>
                <w:b/>
              </w:rPr>
              <w:t xml:space="preserve">The </w:t>
            </w:r>
            <w:bookmarkStart w:id="21" w:name="xdx_90D_edei--SecurityExchangeName_c2025"/>
            <w:bookmarkEnd w:id="21"/>
            <w:r>
              <w:rPr>
                <w:b/>
              </w:rPr>
              <w:t>Nasdaq Stock Market LLC</w:t>
            </w:r>
          </w:p>
        </w:tc>
      </w:tr>
      <w:tr>
        <w:trPr/>
        <w:tc>
          <w:tcPr>
            <w:tcW w:w="5752" w:type="dxa"/>
            <w:tcBorders/>
            <w:tcMar>
              <w:bottom w:w="0" w:type="dxa"/>
            </w:tcMar>
            <w:vAlign w:val="center"/>
          </w:tcPr>
          <w:p>
            <w:pPr>
              <w:pStyle w:val="TableContents"/>
              <w:bidi w:val="0"/>
              <w:spacing w:before="0" w:after="283"/>
              <w:jc w:val="center"/>
              <w:rPr>
                <w:b/>
              </w:rPr>
            </w:pPr>
            <w:bookmarkStart w:id="22" w:name="xdx_90E_edei--Security12bTitle_c20251113"/>
            <w:bookmarkEnd w:id="22"/>
            <w:r>
              <w:rPr>
                <w:b/>
              </w:rPr>
              <w:t>Warrants, each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347" w:type="dxa"/>
            <w:tcBorders/>
            <w:tcMar>
              <w:bottom w:w="0" w:type="dxa"/>
            </w:tcMar>
            <w:vAlign w:val="center"/>
          </w:tcPr>
          <w:p>
            <w:pPr>
              <w:pStyle w:val="TableContents"/>
              <w:bidi w:val="0"/>
              <w:spacing w:before="0" w:after="283"/>
              <w:jc w:val="center"/>
              <w:rPr>
                <w:b/>
              </w:rPr>
            </w:pPr>
            <w:bookmarkStart w:id="23" w:name="xdx_908_edei--TradingSymbol_c20251113__2"/>
            <w:bookmarkEnd w:id="23"/>
            <w:r>
              <w:rPr>
                <w:b/>
              </w:rPr>
              <w:t>DAICW</w:t>
            </w:r>
          </w:p>
        </w:tc>
        <w:tc>
          <w:tcPr>
            <w:tcW w:w="60" w:type="dxa"/>
            <w:tcBorders/>
            <w:tcMar>
              <w:bottom w:w="0" w:type="dxa"/>
            </w:tcMar>
            <w:vAlign w:val="center"/>
          </w:tcPr>
          <w:p>
            <w:pPr>
              <w:pStyle w:val="TableContents"/>
              <w:bidi w:val="0"/>
              <w:spacing w:before="0" w:after="283"/>
              <w:jc w:val="center"/>
              <w:rPr/>
            </w:pPr>
            <w:r>
              <w:rPr/>
              <w:t> </w:t>
            </w:r>
          </w:p>
        </w:tc>
        <w:tc>
          <w:tcPr>
            <w:tcW w:w="2986" w:type="dxa"/>
            <w:tcBorders/>
            <w:tcMar>
              <w:bottom w:w="0" w:type="dxa"/>
            </w:tcMar>
            <w:vAlign w:val="center"/>
          </w:tcPr>
          <w:p>
            <w:pPr>
              <w:pStyle w:val="TableContents"/>
              <w:bidi w:val="0"/>
              <w:spacing w:before="0" w:after="283"/>
              <w:jc w:val="center"/>
              <w:rPr>
                <w:b/>
              </w:rPr>
            </w:pPr>
            <w:r>
              <w:rPr>
                <w:b/>
              </w:rPr>
              <w:t xml:space="preserve">The </w:t>
            </w:r>
            <w:bookmarkStart w:id="24" w:name="xdx_90F_edei--SecurityExchangeName_c2025"/>
            <w:bookmarkEnd w:id="24"/>
            <w:r>
              <w:rPr>
                <w:b/>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CID Holdco, Inc. (the “Company”) issued a press release announcing financial results for the three and nine months ended September 30, 2025. A copy of the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both"/>
              <w:rPr/>
            </w:pPr>
            <w:hyperlink w:anchor="ea026560101ex99-1_cidhold.htm">
              <w:r>
                <w:rPr>
                  <w:rStyle w:val="InternetLink"/>
                </w:rPr>
                <w:t>Press Release dated November 13, 2025</w:t>
              </w:r>
            </w:hyperlink>
          </w:p>
        </w:tc>
      </w:tr>
      <w:tr>
        <w:trPr/>
        <w:tc>
          <w:tcPr>
            <w:tcW w:w="120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shd w:fill="FFFF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firstLine="6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2025</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85"/>
        <w:gridCol w:w="3530"/>
        <w:gridCol w:w="75"/>
      </w:tblGrid>
      <w:tr>
        <w:trPr/>
        <w:tc>
          <w:tcPr>
            <w:tcW w:w="4315" w:type="dxa"/>
            <w:gridSpan w:val="2"/>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By: </w:t>
            </w:r>
          </w:p>
        </w:tc>
        <w:tc>
          <w:tcPr>
            <w:tcW w:w="353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Name:  </w:t>
            </w:r>
          </w:p>
        </w:tc>
        <w:tc>
          <w:tcPr>
            <w:tcW w:w="3530"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Title: </w:t>
            </w:r>
          </w:p>
        </w:tc>
        <w:tc>
          <w:tcPr>
            <w:tcW w:w="3530" w:type="dxa"/>
            <w:tcBorders/>
            <w:vAlign w:val="center"/>
          </w:tcPr>
          <w:p>
            <w:pPr>
              <w:pStyle w:val="TableContents"/>
              <w:bidi w:val="0"/>
              <w:spacing w:before="0" w:after="283"/>
              <w:jc w:val="left"/>
              <w:rPr/>
            </w:pPr>
            <w:r>
              <w:rPr/>
              <w:t>Chief Executive Officer and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6560101ex99-1_cidhold.htm"/>
      <w:bookmarkStart w:id="28" w:name="ksea026560101ex991_cidhold"/>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CONFIDENTIAL DRAFT</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876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74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sz w:val="20"/>
        </w:rPr>
      </w:pPr>
      <w:r>
        <w:rPr>
          <w:b/>
          <w:sz w:val="20"/>
        </w:rPr>
        <w:t>Dot Ai Announces</w:t>
      </w:r>
      <w:r>
        <w:rPr>
          <w:sz w:val="20"/>
        </w:rPr>
        <w:t xml:space="preserve"> </w:t>
      </w:r>
      <w:r>
        <w:rPr>
          <w:b/>
          <w:sz w:val="20"/>
        </w:rPr>
        <w:t>Third Quarter 2025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Nevada</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November 13, 2025</w:t>
      </w:r>
      <w:r>
        <w:rPr>
          <w:rFonts w:ascii="Times New Roman;Times;Serif" w:hAnsi="Times New Roman;Times;Serif"/>
          <w:b w:val="false"/>
          <w:i w:val="false"/>
          <w:caps w:val="false"/>
          <w:smallCaps w:val="false"/>
          <w:sz w:val="20"/>
        </w:rPr>
        <w:t xml:space="preserve"> – Dot Ai (Nasdaq: DAIC) (“Dot Ai” or the “Company”), an IoT and AI-based SaaS company at the forefront of Asset Intelligence technology, today announced its financial results for the third quarter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third quarter, we built and shipped our initial hardware platform orders, validating market demand for our innovative solutions and demonstrating momentum in the business,” said Ed Nabrotzky, CEO of Dot Ai. “Looking to the balance of 2025 and into next year, we have the right team and strategy in place to accelerate pipeline conversion and drive material revenue contribution, delivering on our commitment to revolutionize asset intelligence and transform the modern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and Financial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Third quarter revenue of approximately $800k represents initial order fulfillment and production ramp at our Puerto Rico facility.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November, Dot Ai announced leadership additions including Robyn D‘Elia, an experienced former public company CFO to enhance our finance function on a fractional basis, and Miles Bradley, our new Director of Channels, with primary responsibility for expanding the company’s partner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October, Dot Ai completed development of a new version of our SaaS architecture, Dot Matrix 3.0, which includes a multi-tenant architecture designed to deliver in-process visibility and secure asset management across a wide range of industries and environments, allowing distributors, integrators, and operators to deploy and manage complex, multi-site programs from a single platform. This platform will continue under tests throughout the fourth quarter.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September, Dot Ai obtained certification of its cybersecurity system compliant with SOC 2 Type 1 standards. In September, Dot Ai announced new hardware platform orders and an expansion of its Puerto Rico manufacturing operations, reflecting the broad applicability of Dot Ai's Asset Intelligence platform, and its commitment to advancing high-tech manufacturing in Puerto Rico.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August, Dot Ai announced its first international distribution partnership with CanTech Group in Australia, who will serve as Dot Ai’s Australia-region reseller and installation partner for the company’s SaaS platform and proprietary tracking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August, Dot Ai welcomed two new directors, Janice Bryant Howroyd and Walter Skowronski, executives with proven track records scaling public organizations and navigating complex industries.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July, Dot Ai commenced production at its Barceloneta, Puerto Rico manufacturing facility, with the new facility intended for full production of Dot Ai’s Zero Infrastructure Mesh Bridge (ZiM Bridge) and smart asset tags.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763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will host a conference call today, November 13, 2025, to discuss its results at 5 p.m. Eastern Time. A live webcast of the conference call can be accessed here or dial-in using the below number. A webcast replay of the call will also be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dial-in: 1-877-407-0789 or 1-201-689-8562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heart of the technological revolution in asset management and security lies Dot Ai, a trailblazing SaaS service that is defining Asset Intelligence for smart supply chain operations. By harnessing the power of real-time IoT tracking technology and AI-enhanced analytics, Dot Ai stands at the forefront of innovation, offering patented solutions that are not just advanced but transformative. Through relentless research and development, Dot Ai has engineered a suite of technologies that empower organizations to not only streamline their logistics and supply chain processes but also bolster operational security to unprecedented levels. Leveraging state-of-the-art AI engines, cutting-edge 5G RF and BLE technology, and seamless API integrations, Dot Ai transcends traditional boundaries, offering real-time asset visibility and predictive analytics that integrate effortlessly with existing infrastructure. This is not just technology; it's a vision for a more secure, efficient, and connected world. Discover more about how Dot Ai is leading the charge in Asset Intelligence by visiting https://daic.ai.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anticipated production capacity increases, facility expansion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and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dotai@icrinc.com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763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5"/>
        <w:gridCol w:w="60"/>
        <w:gridCol w:w="145"/>
        <w:gridCol w:w="1219"/>
        <w:gridCol w:w="95"/>
        <w:gridCol w:w="60"/>
        <w:gridCol w:w="151"/>
        <w:gridCol w:w="1281"/>
        <w:gridCol w:w="89"/>
      </w:tblGrid>
      <w:tr>
        <w:trPr/>
        <w:tc>
          <w:tcPr>
            <w:tcW w:w="7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89" w:type="dxa"/>
            <w:tcBorders/>
            <w:vAlign w:val="center"/>
          </w:tcPr>
          <w:p>
            <w:pPr>
              <w:pStyle w:val="TableContents"/>
              <w:bidi w:val="0"/>
              <w:spacing w:before="0" w:after="283"/>
              <w:jc w:val="left"/>
              <w:rPr/>
            </w:pPr>
            <w:r>
              <w:rPr/>
              <w:t> </w:t>
            </w:r>
          </w:p>
        </w:tc>
      </w:tr>
      <w:tr>
        <w:trPr/>
        <w:tc>
          <w:tcPr>
            <w:tcW w:w="7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0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0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1,418,834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721,032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915,027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50,264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468,102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65,248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744,194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167,551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3,546,157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1,004,095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478,171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11,286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Operating lease right-of-use assets (ROU)</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735,871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307,892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2,660,194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1,761,396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Long-term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25,713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12,103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3,899,949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2,092,677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FFFFFF" w:val="clear"/>
            <w:tcMar>
              <w:bottom w:w="28" w:type="dxa"/>
            </w:tcMar>
            <w:vAlign w:val="center"/>
          </w:tcPr>
          <w:p>
            <w:pPr>
              <w:pStyle w:val="TableContents"/>
              <w:bidi w:val="0"/>
              <w:spacing w:before="0" w:after="283"/>
              <w:jc w:val="right"/>
              <w:rPr/>
            </w:pPr>
            <w:r>
              <w:rPr/>
              <w:t>7,446,106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pPr>
            <w:r>
              <w:rPr/>
              <w:t>3,096,772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b/>
              </w:rPr>
            </w:pPr>
            <w:r>
              <w:rPr>
                <w:b/>
              </w:rPr>
              <w:t>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933,306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770,276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1,119,808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24,219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75,228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246,720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Accrued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3,913,668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2,772,178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1,142,643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135,976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36,225</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8,950,164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2,220,083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SAFE notes,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23,334,626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1,570,572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614,126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614,126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9,564,290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b/>
              </w:rPr>
            </w:pPr>
            <w:r>
              <w:rPr>
                <w:b/>
              </w:rPr>
              <w:t>Shareholders’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Common stock, $0.0001 par value; 300,000,000 shares authorized; 27,743,322 and 12,210,718 shares issued and outstanding as of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1,221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0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56,972,621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438,120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10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(59,093,579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105" w:type="dxa"/>
            <w:tcBorders/>
            <w:shd w:fill="FFFFFF" w:val="clear"/>
            <w:vAlign w:val="center"/>
          </w:tcPr>
          <w:p>
            <w:pPr>
              <w:pStyle w:val="TableContents"/>
              <w:bidi w:val="0"/>
              <w:spacing w:before="0" w:after="283"/>
              <w:jc w:val="left"/>
              <w:rPr>
                <w:b/>
              </w:rPr>
            </w:pPr>
            <w:r>
              <w:rPr>
                <w:b/>
              </w:rPr>
              <w:t>Total shareholders'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(2,118,184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105" w:type="dxa"/>
            <w:tcBorders/>
            <w:shd w:fill="CCEEFF" w:val="clear"/>
            <w:vAlign w:val="center"/>
          </w:tcPr>
          <w:p>
            <w:pPr>
              <w:pStyle w:val="TableContents"/>
              <w:bidi w:val="0"/>
              <w:spacing w:before="0" w:after="283"/>
              <w:jc w:val="left"/>
              <w:rPr>
                <w:b/>
              </w:rPr>
            </w:pPr>
            <w:r>
              <w:rPr>
                <w:b/>
              </w:rPr>
              <w:t>Total liabilities and shareholders’ equity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7,446,106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742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763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3425"/>
        <w:gridCol w:w="60"/>
        <w:gridCol w:w="154"/>
        <w:gridCol w:w="1210"/>
        <w:gridCol w:w="104"/>
        <w:gridCol w:w="66"/>
        <w:gridCol w:w="154"/>
        <w:gridCol w:w="1210"/>
        <w:gridCol w:w="95"/>
        <w:gridCol w:w="60"/>
        <w:gridCol w:w="141"/>
        <w:gridCol w:w="1185"/>
        <w:gridCol w:w="95"/>
        <w:gridCol w:w="60"/>
        <w:gridCol w:w="141"/>
        <w:gridCol w:w="1185"/>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778,482</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81,636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1,257,813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183,631</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488,286</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7,997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18,006</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290,196</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73,639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685,255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165,625</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2,742,753</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506,886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4,184,688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1,064,461</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397,135</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186,678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972,640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459,991</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1,111,895</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638,584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2,564,891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1,763,170</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Acquisition and integration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243,230</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635,459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1,154,857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1,501,261</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11,738</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16,839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4,506,751</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1,967,607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8,893,915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4,788,883</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(4,216,555</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(1,893,968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(8,208,660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(4,623,258</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(328,763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(764,446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(17,368,415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(14,227,156</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(2,726,183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(5,728,295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(764,446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(26,151,656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(14,227,156</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(4,216,555</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(2,658,414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(34,360,316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(18,850,414</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10" w:space="0" w:color="000000"/>
            </w:tcBorders>
            <w:shd w:fill="FFFFFF" w:val="clear"/>
            <w:tcMar>
              <w:bottom w:w="28" w:type="dxa"/>
            </w:tcMar>
            <w:vAlign w:val="center"/>
          </w:tcPr>
          <w:p>
            <w:pPr>
              <w:pStyle w:val="TableContents"/>
              <w:bidi w:val="0"/>
              <w:spacing w:before="0" w:after="283"/>
              <w:jc w:val="right"/>
              <w:rPr/>
            </w:pPr>
            <w:r>
              <w:rPr/>
              <w:t>(4,216,555</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10" w:space="0" w:color="000000"/>
            </w:tcBorders>
            <w:shd w:fill="FFFFFF" w:val="clear"/>
            <w:tcMar>
              <w:bottom w:w="28" w:type="dxa"/>
            </w:tcMar>
            <w:vAlign w:val="center"/>
          </w:tcPr>
          <w:p>
            <w:pPr>
              <w:pStyle w:val="TableContents"/>
              <w:bidi w:val="0"/>
              <w:spacing w:before="0" w:after="283"/>
              <w:jc w:val="right"/>
              <w:rPr/>
            </w:pPr>
            <w:r>
              <w:rPr/>
              <w:t>(2,658,414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(34,360,316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(18,850,414</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(0.15</w:t>
            </w:r>
          </w:p>
        </w:tc>
        <w:tc>
          <w:tcPr>
            <w:tcW w:w="104"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Weighted average number of shares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27,645,033</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12,210,718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18,146,608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12,095,288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74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763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 (UNAUDITED)</w:t>
      </w:r>
    </w:p>
    <w:p>
      <w:pPr>
        <w:pStyle w:val="TextBody"/>
        <w:bidi w:val="0"/>
        <w:spacing w:before="0" w:after="0"/>
        <w:ind w:left="0" w:right="0" w:hanging="0"/>
        <w:jc w:val="left"/>
        <w:rPr>
          <w:caps w:val="false"/>
          <w:smallCaps w:val="false"/>
        </w:rPr>
      </w:pPr>
      <w:r>
        <w:rPr>
          <w:caps w:val="false"/>
          <w:smallCaps w:val="false"/>
        </w:rPr>
        <w:t> </w:t>
      </w:r>
    </w:p>
    <w:tbl>
      <w:tblPr>
        <w:tblW w:w="9927" w:type="dxa"/>
        <w:jc w:val="left"/>
        <w:tblInd w:w="0" w:type="dxa"/>
        <w:tblLayout w:type="fixed"/>
        <w:tblCellMar>
          <w:top w:w="0" w:type="dxa"/>
          <w:left w:w="0" w:type="dxa"/>
          <w:bottom w:w="0" w:type="dxa"/>
          <w:right w:w="0" w:type="dxa"/>
        </w:tblCellMar>
      </w:tblPr>
      <w:tblGrid>
        <w:gridCol w:w="6950"/>
        <w:gridCol w:w="60"/>
        <w:gridCol w:w="141"/>
        <w:gridCol w:w="1185"/>
        <w:gridCol w:w="95"/>
        <w:gridCol w:w="60"/>
        <w:gridCol w:w="141"/>
        <w:gridCol w:w="1185"/>
        <w:gridCol w:w="110"/>
      </w:tblGrid>
      <w:tr>
        <w:trPr/>
        <w:tc>
          <w:tcPr>
            <w:tcW w:w="6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September 30,</w:t>
            </w:r>
          </w:p>
        </w:tc>
        <w:tc>
          <w:tcPr>
            <w:tcW w:w="110" w:type="dxa"/>
            <w:tcBorders/>
            <w:vAlign w:val="center"/>
          </w:tcPr>
          <w:p>
            <w:pPr>
              <w:pStyle w:val="TableContents"/>
              <w:bidi w:val="0"/>
              <w:spacing w:before="0" w:after="283"/>
              <w:jc w:val="center"/>
              <w:rPr/>
            </w:pPr>
            <w:r>
              <w:rPr/>
              <w:t> </w:t>
            </w:r>
          </w:p>
        </w:tc>
      </w:tr>
      <w:tr>
        <w:trPr/>
        <w:tc>
          <w:tcPr>
            <w:tcW w:w="6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6950"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132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(34,360,316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(18,850,414</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 in fair value of SAFE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17,368,415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14,227,156</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Transaction costs paid in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156,869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28,862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187,001</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64,857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11,890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5,728,295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Reverse recapitalization transaction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(4,739,169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Fair value of shares issued as commitment fee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(864,763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(92,252</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Prepaid and other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(572,655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107,218</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(402,854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(134,448</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693,309</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Accrued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1,095,589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6,572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compensation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(171,492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(7,872</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3,913,668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(61,968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2,611</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58,963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(8,197,830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(3,099,229</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(483,724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(898,798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(579,327</w:t>
            </w:r>
          </w:p>
        </w:tc>
        <w:tc>
          <w:tcPr>
            <w:tcW w:w="11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(1,382,522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(579,327</w:t>
            </w:r>
          </w:p>
        </w:tc>
        <w:tc>
          <w:tcPr>
            <w:tcW w:w="11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Proceeds from issuance of bridge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issuance of SAFE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23,752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3,834,500</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Repayment of bridge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(1,660,545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PIPE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10,837,643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Purchase of 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Proceeds from Trust account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5,577,304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10,278,154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3,834,500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Net increase in cash during period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697,802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155,944</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721,032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605,760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1,418,834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pPr>
            <w:r>
              <w:rPr/>
              <w:t>761,704</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b/>
              </w:rPr>
            </w:pPr>
            <w:r>
              <w:rPr>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ROU asset obtained in exchange for lease liability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482,227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324,426</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Conversion of SAFE notes to equity</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Conversion of short-term debt to equity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2,456,500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39,462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2069</Words>
  <Characters>12021</Characters>
  <CharactersWithSpaces>14473</CharactersWithSpaces>
  <Paragraphs>1398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