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46607-8k_cidhold.htm"/>
      <w:bookmarkStart w:id="1" w:name="ksea02466078k_cidhold"/>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50618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June 25, 2025 (</w:t>
      </w:r>
      <w:bookmarkStart w:id="3" w:name="xdx_90D_edei--DocumentPeriodEndDate_c202"/>
      <w:bookmarkEnd w:id="3"/>
      <w:r>
        <w:rPr>
          <w:rFonts w:ascii="Times New Roman;Times;Serif" w:hAnsi="Times New Roman;Times;Serif"/>
          <w:b/>
          <w:i w:val="false"/>
          <w:caps w:val="false"/>
          <w:smallCaps w:val="false"/>
          <w:sz w:val="20"/>
        </w:rPr>
        <w:t>June 18,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3_edei--EntityRegistrantName_c2025"/>
      <w:bookmarkEnd w:id="4"/>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6675" w:type="dxa"/>
        <w:jc w:val="left"/>
        <w:tblInd w:w="0" w:type="dxa"/>
        <w:tblLayout w:type="fixed"/>
        <w:tblCellMar>
          <w:top w:w="0" w:type="dxa"/>
          <w:left w:w="0" w:type="dxa"/>
          <w:bottom w:w="28" w:type="dxa"/>
          <w:right w:w="0" w:type="dxa"/>
        </w:tblCellMar>
      </w:tblPr>
      <w:tblGrid>
        <w:gridCol w:w="2570"/>
        <w:gridCol w:w="60"/>
        <w:gridCol w:w="2210"/>
        <w:gridCol w:w="60"/>
        <w:gridCol w:w="1775"/>
      </w:tblGrid>
      <w:tr>
        <w:trPr/>
        <w:tc>
          <w:tcPr>
            <w:tcW w:w="2570" w:type="dxa"/>
            <w:tcBorders>
              <w:bottom w:val="single" w:sz="12" w:space="0" w:color="000000"/>
            </w:tcBorders>
            <w:vAlign w:val="center"/>
          </w:tcPr>
          <w:p>
            <w:pPr>
              <w:pStyle w:val="TableContents"/>
              <w:bidi w:val="0"/>
              <w:spacing w:before="0" w:after="283"/>
              <w:jc w:val="center"/>
              <w:rPr>
                <w:b/>
                <w:sz w:val="20"/>
              </w:rPr>
            </w:pPr>
            <w:bookmarkStart w:id="5" w:name="xdx_908_edei--EntityIncorporationStateCo"/>
            <w:bookmarkEnd w:id="5"/>
            <w:r>
              <w:rPr>
                <w:b/>
                <w:sz w:val="20"/>
              </w:rPr>
              <w:t>Nevada</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9_edei--EntityFileNumber_c20250618"/>
            <w:bookmarkEnd w:id="6"/>
            <w:r>
              <w:rPr>
                <w:b/>
                <w:sz w:val="20"/>
              </w:rPr>
              <w:t>001-42711</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sz w:val="20"/>
              </w:rPr>
            </w:pPr>
            <w:bookmarkStart w:id="7" w:name="xdx_90D_edei--EntityTaxIdentificationNum"/>
            <w:bookmarkEnd w:id="7"/>
            <w:r>
              <w:rPr>
                <w:b/>
                <w:sz w:val="20"/>
              </w:rPr>
              <w:t>99-2578850</w:t>
            </w:r>
          </w:p>
        </w:tc>
      </w:tr>
      <w:tr>
        <w:trPr/>
        <w:tc>
          <w:tcPr>
            <w:tcW w:w="257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 xml:space="preserve">5661 S Cameron St, </w:t>
            </w:r>
            <w:bookmarkStart w:id="9" w:name="xdx_90F_edei--EntityAddressAddressLine2_"/>
            <w:bookmarkEnd w:id="9"/>
            <w:r>
              <w:rPr>
                <w:rFonts w:ascii="Times New Roman;Times;Serif" w:hAnsi="Times New Roman;Times;Serif"/>
                <w:b/>
                <w:i w:val="false"/>
                <w:caps w:val="false"/>
                <w:smallCaps w:val="false"/>
                <w:sz w:val="20"/>
              </w:rPr>
              <w:t xml:space="preserve">Suite 100, </w:t>
              <w:br/>
            </w:r>
            <w:bookmarkStart w:id="10" w:name="xdx_90C_edei--EntityAddressCityOrTown_c2"/>
            <w:bookmarkEnd w:id="10"/>
            <w:r>
              <w:rPr>
                <w:rFonts w:ascii="Times New Roman;Times;Serif" w:hAnsi="Times New Roman;Times;Serif"/>
                <w:b/>
                <w:i w:val="false"/>
                <w:caps w:val="false"/>
                <w:smallCaps w:val="false"/>
                <w:sz w:val="20"/>
              </w:rPr>
              <w:t xml:space="preserve">Las Vegas, </w:t>
            </w:r>
            <w:bookmarkStart w:id="11" w:name="xdx_90D_edei--EntityAddressStateOrProvin"/>
            <w:bookmarkEnd w:id="11"/>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C_edei--EntityAddressPostalZipCode"/>
            <w:bookmarkEnd w:id="12"/>
            <w:r>
              <w:rPr>
                <w:b/>
                <w:sz w:val="20"/>
              </w:rPr>
              <w:t>89118</w:t>
            </w:r>
          </w:p>
        </w:tc>
      </w:tr>
      <w:tr>
        <w:trPr/>
        <w:tc>
          <w:tcPr>
            <w:tcW w:w="32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9_edei--CityAreaCode_c20250618__20"/>
      <w:bookmarkEnd w:id="13"/>
      <w:r>
        <w:rPr>
          <w:rFonts w:ascii="Times New Roman;Times;Serif" w:hAnsi="Times New Roman;Times;Serif"/>
          <w:b/>
          <w:i w:val="false"/>
          <w:caps w:val="false"/>
          <w:smallCaps w:val="false"/>
          <w:sz w:val="20"/>
        </w:rPr>
        <w:t>303)-</w:t>
      </w:r>
      <w:bookmarkStart w:id="14" w:name="xdx_906_edei--LocalPhoneNumber_c20250618"/>
      <w:bookmarkEnd w:id="14"/>
      <w:r>
        <w:rPr>
          <w:rFonts w:ascii="Times New Roman;Times;Serif" w:hAnsi="Times New Roman;Times;Serif"/>
          <w:b/>
          <w:i w:val="false"/>
          <w:caps w:val="false"/>
          <w:smallCaps w:val="false"/>
          <w:sz w:val="20"/>
        </w:rPr>
        <w:t>332-4122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both"/>
              <w:rPr/>
            </w:pPr>
            <w:bookmarkStart w:id="15" w:name="xdx_90D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both"/>
              <w:rPr/>
            </w:pPr>
            <w:bookmarkStart w:id="16" w:name="xdx_908_edei--SolicitingMaterial_c202506"/>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pPr>
            <w:bookmarkStart w:id="17" w:name="xdx_906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both"/>
              <w:rPr/>
            </w:pPr>
            <w:bookmarkStart w:id="18" w:name="xdx_905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62"/>
        <w:gridCol w:w="60"/>
        <w:gridCol w:w="1284"/>
        <w:gridCol w:w="60"/>
        <w:gridCol w:w="2439"/>
      </w:tblGrid>
      <w:tr>
        <w:trPr/>
        <w:tc>
          <w:tcPr>
            <w:tcW w:w="6362"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284"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439" w:type="dxa"/>
            <w:tcBorders>
              <w:bottom w:val="single" w:sz="12" w:space="0" w:color="000000"/>
            </w:tcBorders>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6362" w:type="dxa"/>
            <w:tcBorders/>
            <w:shd w:fill="CCEEFF" w:val="clear"/>
            <w:tcMar>
              <w:bottom w:w="0" w:type="dxa"/>
            </w:tcMar>
            <w:vAlign w:val="center"/>
          </w:tcPr>
          <w:p>
            <w:pPr>
              <w:pStyle w:val="TableContents"/>
              <w:bidi w:val="0"/>
              <w:spacing w:before="0" w:after="283"/>
              <w:jc w:val="center"/>
              <w:rPr>
                <w:b/>
                <w:sz w:val="20"/>
              </w:rPr>
            </w:pPr>
            <w:bookmarkStart w:id="19" w:name="xdx_909_edei--Security12bTitle_c20250618"/>
            <w:bookmarkEnd w:id="19"/>
            <w:r>
              <w:rPr>
                <w:b/>
                <w:sz w:val="20"/>
              </w:rPr>
              <w:t>Common Stock, par value $0.001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4" w:type="dxa"/>
            <w:tcBorders/>
            <w:shd w:fill="CCEEFF" w:val="clear"/>
            <w:tcMar>
              <w:bottom w:w="0" w:type="dxa"/>
            </w:tcMar>
            <w:vAlign w:val="center"/>
          </w:tcPr>
          <w:p>
            <w:pPr>
              <w:pStyle w:val="TableContents"/>
              <w:bidi w:val="0"/>
              <w:spacing w:before="0" w:after="283"/>
              <w:jc w:val="center"/>
              <w:rPr>
                <w:b/>
                <w:sz w:val="20"/>
              </w:rPr>
            </w:pPr>
            <w:bookmarkStart w:id="20" w:name="xdx_905_edei--TradingSymbol_c20250618__2"/>
            <w:bookmarkEnd w:id="20"/>
            <w:r>
              <w:rPr>
                <w:b/>
                <w:sz w:val="20"/>
              </w:rPr>
              <w:t>DAIC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9" w:type="dxa"/>
            <w:tcBorders/>
            <w:shd w:fill="CCEEFF" w:val="clear"/>
            <w:tcMar>
              <w:bottom w:w="0" w:type="dxa"/>
            </w:tcMar>
            <w:vAlign w:val="center"/>
          </w:tcPr>
          <w:p>
            <w:pPr>
              <w:pStyle w:val="TableContents"/>
              <w:bidi w:val="0"/>
              <w:spacing w:before="0" w:after="283"/>
              <w:jc w:val="center"/>
              <w:rPr>
                <w:b/>
                <w:sz w:val="20"/>
              </w:rPr>
            </w:pPr>
            <w:r>
              <w:rPr>
                <w:b/>
                <w:sz w:val="20"/>
              </w:rPr>
              <w:t xml:space="preserve">The </w:t>
            </w:r>
            <w:bookmarkStart w:id="21" w:name="xdx_901_edei--SecurityExchangeName_c2025"/>
            <w:bookmarkEnd w:id="21"/>
            <w:r>
              <w:rPr>
                <w:b/>
                <w:sz w:val="20"/>
              </w:rPr>
              <w:t>Nasdaq Stock Market LLC</w:t>
            </w:r>
          </w:p>
        </w:tc>
      </w:tr>
      <w:tr>
        <w:trPr/>
        <w:tc>
          <w:tcPr>
            <w:tcW w:w="6362" w:type="dxa"/>
            <w:tcBorders/>
            <w:shd w:fill="FFFFFF" w:val="clear"/>
            <w:tcMar>
              <w:bottom w:w="0" w:type="dxa"/>
            </w:tcMar>
            <w:vAlign w:val="center"/>
          </w:tcPr>
          <w:p>
            <w:pPr>
              <w:pStyle w:val="TableContents"/>
              <w:bidi w:val="0"/>
              <w:spacing w:before="0" w:after="283"/>
              <w:jc w:val="center"/>
              <w:rPr>
                <w:b/>
                <w:sz w:val="20"/>
              </w:rPr>
            </w:pPr>
            <w:bookmarkStart w:id="22" w:name="xdx_90B_edei--Security12bTitle_c20250618"/>
            <w:bookmarkEnd w:id="22"/>
            <w:r>
              <w:rPr>
                <w:b/>
                <w:sz w:val="20"/>
              </w:rPr>
              <w:t>Warrants, each exercisable for one share of Common Stock at an exercise price of $11.50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4" w:type="dxa"/>
            <w:tcBorders/>
            <w:shd w:fill="FFFFFF" w:val="clear"/>
            <w:tcMar>
              <w:bottom w:w="0" w:type="dxa"/>
            </w:tcMar>
            <w:vAlign w:val="center"/>
          </w:tcPr>
          <w:p>
            <w:pPr>
              <w:pStyle w:val="TableContents"/>
              <w:bidi w:val="0"/>
              <w:spacing w:before="0" w:after="283"/>
              <w:jc w:val="center"/>
              <w:rPr>
                <w:b/>
                <w:sz w:val="20"/>
              </w:rPr>
            </w:pPr>
            <w:bookmarkStart w:id="23" w:name="xdx_901_edei--TradingSymbol_c20250618__2"/>
            <w:bookmarkEnd w:id="23"/>
            <w:r>
              <w:rPr>
                <w:b/>
                <w:sz w:val="20"/>
              </w:rPr>
              <w:t>DAIC.W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9" w:type="dxa"/>
            <w:tcBorders/>
            <w:shd w:fill="FFFFFF" w:val="clear"/>
            <w:tcMar>
              <w:bottom w:w="0" w:type="dxa"/>
            </w:tcMar>
            <w:vAlign w:val="center"/>
          </w:tcPr>
          <w:p>
            <w:pPr>
              <w:pStyle w:val="TableContents"/>
              <w:bidi w:val="0"/>
              <w:spacing w:before="0" w:after="283"/>
              <w:jc w:val="center"/>
              <w:rPr>
                <w:b/>
                <w:sz w:val="20"/>
              </w:rPr>
            </w:pPr>
            <w:r>
              <w:rPr>
                <w:b/>
                <w:sz w:val="20"/>
              </w:rPr>
              <w:t xml:space="preserve">The </w:t>
            </w:r>
            <w:bookmarkStart w:id="24" w:name="xdx_904_edei--SecurityExchangeName_c2025"/>
            <w:bookmarkEnd w:id="24"/>
            <w:r>
              <w:rPr>
                <w:b/>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1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5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INTRODUCTORY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Current Report on Form 8-K (this “Report”), unless otherwise stated or the context clearly indicates otherwise, the terms the “Company,” “we,” “us” and “our” refer to SEE ID, Inc., incorporated in the State of Nevada, and its subsidiaries before giving effect to the Mergers (as defined below) and CID Holdco, Inc. after giving effect to the Mergers. As used in this Report, unless otherwise stated or the context clearly indicates otherwise, the term “Holdings” refers to CID Holdco, Inc. before giving effect to 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“Closing Date”), the Company consummated the transactions contemplated by that certain Business Combination Agreement, dated March 18, 2024 (the “Business Combination Agreement”), by and among the Company, ShoulderUp Technology Acquisition Corp, a Delaware corporation (“SUAC”), ShoulderUp Merger Sub, Inc., a Delaware corporation (“ShoulderUp Merger Sub”), SEI Merger Sub, Inc., a Delaware Corporation (“SEI Merger Sub”) and SEE ID, Inc., a Nevada corporation (“SEE ID”). Certain terms used in this Report have the same meaning as set forth in the Company’s proxy statement/prospectus statement dated January 17, 2025 (the “</w:t>
      </w:r>
      <w:r>
        <w:rPr>
          <w:rFonts w:ascii="Times New Roman;Times;Serif" w:hAnsi="Times New Roman;Times;Serif"/>
          <w:b w:val="false"/>
          <w:i w:val="false"/>
          <w:caps w:val="false"/>
          <w:smallCaps w:val="false"/>
          <w:strike w:val="false"/>
          <w:dstrike w:val="false"/>
          <w:sz w:val="20"/>
          <w:u w:val="none"/>
          <w:effect w:val="none"/>
        </w:rPr>
        <w:t>Proxy Statement/Prospectus</w:t>
      </w:r>
      <w:r>
        <w:rPr>
          <w:rFonts w:ascii="Times New Roman;Times;Serif" w:hAnsi="Times New Roman;Times;Serif"/>
          <w:b w:val="false"/>
          <w:i w:val="false"/>
          <w:caps w:val="false"/>
          <w:smallCaps w:val="false"/>
          <w:sz w:val="20"/>
        </w:rPr>
        <w:t>”) and filed by the Company with the Securities and Exchange Commission (the “</w:t>
      </w:r>
      <w:r>
        <w:rPr>
          <w:rFonts w:ascii="Times New Roman;Times;Serif" w:hAnsi="Times New Roman;Times;Serif"/>
          <w:b w:val="false"/>
          <w:i w:val="false"/>
          <w:caps w:val="false"/>
          <w:smallCaps w:val="false"/>
          <w:strike w:val="false"/>
          <w:dstrike w:val="false"/>
          <w:sz w:val="20"/>
          <w:u w:val="none"/>
          <w:effect w:val="none"/>
        </w:rPr>
        <w:t>SEC</w:t>
      </w:r>
      <w:r>
        <w:rPr>
          <w:rFonts w:ascii="Times New Roman;Times;Serif" w:hAnsi="Times New Roman;Times;Serif"/>
          <w:b w:val="false"/>
          <w:i w:val="false"/>
          <w:caps w:val="false"/>
          <w:smallCaps w:val="false"/>
          <w:sz w:val="20"/>
        </w:rPr>
        <w:t>”) on January 17,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Business Combination Agreement, on the Closing Date, (i) ShoulderUp Merger Sub merged with and into SUAC (the “</w:t>
      </w:r>
      <w:r>
        <w:rPr>
          <w:rFonts w:ascii="Times New Roman;Times;Serif" w:hAnsi="Times New Roman;Times;Serif"/>
          <w:b w:val="false"/>
          <w:i w:val="false"/>
          <w:caps w:val="false"/>
          <w:smallCaps w:val="false"/>
          <w:strike w:val="false"/>
          <w:dstrike w:val="false"/>
          <w:sz w:val="20"/>
          <w:u w:val="none"/>
          <w:effect w:val="none"/>
        </w:rPr>
        <w:t>ShoulderUp Merger</w:t>
      </w:r>
      <w:r>
        <w:rPr>
          <w:rFonts w:ascii="Times New Roman;Times;Serif" w:hAnsi="Times New Roman;Times;Serif"/>
          <w:b w:val="false"/>
          <w:i w:val="false"/>
          <w:caps w:val="false"/>
          <w:smallCaps w:val="false"/>
          <w:sz w:val="20"/>
        </w:rPr>
        <w:t>”),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payable to the shareholders of SEE ID in connection with the Business Combination (the “SEE ID Merger Consideration”) was equal to a number of shares of Holdings Common Stock equal to the (a) </w:t>
      </w:r>
      <w:r>
        <w:rPr>
          <w:rFonts w:ascii="Times New Roman;Times;Serif" w:hAnsi="Times New Roman;Times;Serif"/>
          <w:b w:val="false"/>
          <w:i w:val="false"/>
          <w:caps w:val="false"/>
          <w:smallCaps w:val="false"/>
          <w:sz w:val="20"/>
          <w:u w:val="single"/>
        </w:rPr>
        <w:t>quotient</w:t>
      </w:r>
      <w:r>
        <w:rPr>
          <w:rFonts w:ascii="Times New Roman;Times;Serif" w:hAnsi="Times New Roman;Times;Serif"/>
          <w:b w:val="false"/>
          <w:i w:val="false"/>
          <w:caps w:val="false"/>
          <w:smallCaps w:val="false"/>
          <w:sz w:val="20"/>
        </w:rPr>
        <w:t xml:space="preserve"> of (i) $171,635,010 </w:t>
      </w:r>
      <w:r>
        <w:rPr>
          <w:rFonts w:ascii="Times New Roman;Times;Serif" w:hAnsi="Times New Roman;Times;Serif"/>
          <w:b w:val="false"/>
          <w:i w:val="false"/>
          <w:caps w:val="false"/>
          <w:smallCaps w:val="false"/>
          <w:sz w:val="20"/>
          <w:u w:val="single"/>
        </w:rPr>
        <w:t>divided</w:t>
      </w:r>
      <w:r>
        <w:rPr>
          <w:rFonts w:ascii="Times New Roman;Times;Serif" w:hAnsi="Times New Roman;Times;Serif"/>
          <w:b w:val="false"/>
          <w:i w:val="false"/>
          <w:caps w:val="false"/>
          <w:smallCaps w:val="false"/>
          <w:sz w:val="20"/>
        </w:rPr>
        <w:t> by (ii) $10.00.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and Lock 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the Company entered into that certain Registration Rights and Lock-Up Agreement (the “Registration Rights and Lock-Up Agreement) with certain holders listed on Schedule A thereto (the “Holders”), pursuant to which, (1) subject to certain exceptions, the Holders may not transfer or make any public announcement of any intention to effect a transfer of any of the equity interests of securities of the Company beneficially owned by the Holder during the period ending 180 days after the Closing Date; and (2) the Holders are entitled to certain “shelf” and “piggyback” registration rights. The Registration Rights and Lock-Up Agreement also provides that the Company will pay certain expenses relating to such registrations and indemnify the stockholder signatories thereto against (or make contributions in respect of) certain liabilities that may arise under the Securities 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This summary is qualified in its entirety by reference to the text of the Registration Rights and Lock-Up Agreement, which is included as Exhibit 10.10 to this Report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Assumption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Continental Stock Transfer &amp; Trust Company (the “</w:t>
      </w:r>
      <w:r>
        <w:rPr>
          <w:rFonts w:ascii="Times New Roman;Times;Serif" w:hAnsi="Times New Roman;Times;Serif"/>
          <w:b w:val="false"/>
          <w:i w:val="false"/>
          <w:caps w:val="false"/>
          <w:smallCaps w:val="false"/>
          <w:strike w:val="false"/>
          <w:dstrike w:val="false"/>
          <w:sz w:val="20"/>
          <w:u w:val="none"/>
          <w:effect w:val="none"/>
        </w:rPr>
        <w:t>Transfer Agent</w:t>
      </w:r>
      <w:r>
        <w:rPr>
          <w:rFonts w:ascii="Times New Roman;Times;Serif" w:hAnsi="Times New Roman;Times;Serif"/>
          <w:b w:val="false"/>
          <w:i w:val="false"/>
          <w:caps w:val="false"/>
          <w:smallCaps w:val="false"/>
          <w:sz w:val="20"/>
        </w:rPr>
        <w:t>”), SUAC and the Company entered into the Warrant Assumption and Assignment Agreement (the “</w:t>
      </w:r>
      <w:r>
        <w:rPr>
          <w:rFonts w:ascii="Times New Roman;Times;Serif" w:hAnsi="Times New Roman;Times;Serif"/>
          <w:b w:val="false"/>
          <w:i w:val="false"/>
          <w:caps w:val="false"/>
          <w:smallCaps w:val="false"/>
          <w:strike w:val="false"/>
          <w:dstrike w:val="false"/>
          <w:sz w:val="20"/>
          <w:u w:val="none"/>
          <w:effect w:val="none"/>
        </w:rPr>
        <w:t>Warrant Assumption Agreement</w:t>
      </w:r>
      <w:r>
        <w:rPr>
          <w:rFonts w:ascii="Times New Roman;Times;Serif" w:hAnsi="Times New Roman;Times;Serif"/>
          <w:b w:val="false"/>
          <w:i w:val="false"/>
          <w:caps w:val="false"/>
          <w:smallCaps w:val="false"/>
          <w:sz w:val="20"/>
        </w:rPr>
        <w:t>”), pursuant to which, among other things, SUAC assigned to the Company all of SUAC’s right, title and interest in and to, and the Company assumed all of SUAC’s liabilities and obligations under the certain Warrant Agreement, dated as of November 16, 2021, between SUAC and Continental Stock Transfer &amp; Trust Company (the “</w:t>
      </w:r>
      <w:r>
        <w:rPr>
          <w:rFonts w:ascii="Times New Roman;Times;Serif" w:hAnsi="Times New Roman;Times;Serif"/>
          <w:b w:val="false"/>
          <w:i w:val="false"/>
          <w:caps w:val="false"/>
          <w:smallCaps w:val="false"/>
          <w:strike w:val="false"/>
          <w:dstrike w:val="false"/>
          <w:sz w:val="20"/>
          <w:u w:val="none"/>
          <w:effect w:val="none"/>
        </w:rPr>
        <w:t>Existing Warrant Agreement</w:t>
      </w:r>
      <w:r>
        <w:rPr>
          <w:rFonts w:ascii="Times New Roman;Times;Serif" w:hAnsi="Times New Roman;Times;Serif"/>
          <w:b w:val="false"/>
          <w:i w:val="false"/>
          <w:caps w:val="false"/>
          <w:smallCaps w:val="false"/>
          <w:sz w:val="20"/>
        </w:rPr>
        <w: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qualified in its entirety by reference to the text of Warrant Assumption Agreement, which is included as Exhibit 4.4 to this Current Report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PIPE Subscription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June 10, 2025 and June 17, 2025, the Company entered into subscription agreements (the “PIPE Subscription Agreements”) with certain unaffiliated third-party investors (each, a “PIPE Investor” and collectively, the “PIPE Investors”), pursuant to which, among other things, the Company agreed to issue and sell to the PIPE Investors, and the PIPE Investors agreed to subscribe for and purchase an aggregate of 3,323,536 shares of the Company's common stock, par value $0.0001 per share (“PIPE Shares”) at a purchase price of $4.00 per share for an aggregate purchase price of $13,294,143, in a private placement (the private placement contemplated by the PIPE Subscriptions Agreements, the “PIPE Investment”). Of the total PIPE Investment, $1,456,500 represents the conversion of bridge loan principal and accrued interest, such that the Company received an additional $11,837,643 from the PIPE Investors at Closing. The PIPE Investment closed substantially concurrently with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PIPE Investment and prior to the Closing, the Sponsor and the Company entered into a side letter dated June 17, 2025, pursuant to which the Sponsor forfeited and cancelled 1,959,166 shares of Class A common stock of SUAC, held by the Sponsor as founder shares. In addition, at the Closing, the SEE ID, Inc. Shareholders received an aggregate of 4,163,501 additional shares of Company Common Stock as Merger Consideration, pro-rata.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PIPE Investment was to raise additional capital for use by the Company following the Closing. The PIPE Subscription Agreements contained customary representations and warranties of each of the Company and the PIPE Investors, and customary conditions to closing, including the consummation of the Business Combination and listing of the shares of the post-combination company on Nasdaq Global Market. Under the terms of the PIPE Subscription Agreements, the Company is obligated to file a registration statement to register for the resale of all the PIPE Shares of the PIPE Investors following the Closing.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sold in connection with the PIPE Investment were sold under the exemption from registration under the Securities Act in reliance upon Section 4(a)(2) of the Securities Act or Regulation D promulgated thereunder as a transaction by an issuer not involving any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form of the PIPE Subscription Agreement is filed as Exhibit 10.12 to this Current Report on Form 8-K and is incorporated herein by reference. The disclosures set forth in this Item 1.01 are intended to be summaries only and are qualified in their entirety by reference to the form of the PIPE Subscription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qualified in its entirety by reference to the text of the form of the PIPE Subscription Agreement, which is included as Exhibit 10.8 to this Current Report and is incorporated herein by reference.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Circle Share Purchase Agreement and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the Company entered into that certain Share Purchase Agreement (the “Purchase Agreement”) with New Circle Principal Investments LLC, a Delaware limited liability company (“New Circle”), pursuant to which New Circle has committed to purchase, subject to certain limitations, up to $50 million (the “Total Commitment”) of the Company’s common stock, par value $0.001 per share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and subject to the conditions of the Purchase Agreement, the Company has the right, but not the obligation, to direct New Circle to purchase up to the Total Commitment of our Common Stock. Such sales of Common Stock by the Company, if any, will be subject to certain limitations, and may occur from time-to-time in the Company’s sole discretion for a period of 36 months, commencing once certain conditions are satisfied, including the filing of a resale registration statement (the “Registration Statement”) with the U.S. Securities and Exchange Commission (the “SEC”) registering the resale of the shares to be sold to New Circle under the Purchase Agreement, and the effectiveness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Circle is obligated to purchase shares of Common Stock as the Company directs, subject to certain conditions and limitations. Upon the Company’s submission of a purchase notice, shares will be issued from the Company to New Circle, and New Circle will pay a price per share calculated based on a discount to recent trading prices of the Common Stock. The purchase price per share for each purchase will be, at our election: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85.0% of the volume weighted average price per share of our Common Stock during the period commencing (i) if the Company submits the purchase notice prior to 9:00 a.m. Eastern Time on a trading day, the open of trading on such day, or (ii) if the Company submits the purchase notice after 9:00 a.m. Eastern Time on a trading day, the opening of trading on the immediately succeeding trading day, and in each case, ending on 4:00 pm Eastern Time on such trading day;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97.0% of the lowest volume weighed average price per share of our Common Stock during the three consecutive trading days commencing on (i) if we submitted the purchase notice prior to 9:00 a.m. Eastern Time on a trading day, the open of trading on such day, or (ii) if we submitted the purchase notice after 9:00 a.m. Eastern Time on a trading day, the opening of trading on the immediately succeeding trading day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upper limits on the price per share that New Circle must pay for shares of the Company’s Common Stock. Actual sales of shares of Common Stock to New Circle will depend on a variety of factors to be determined by the Company from time-to-time, including, among other things, market conditions, the trading price of the Company’s Common Stock, and determinations by the Company as to the appropriate sources of funding for the Company and its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consideration for New Circle’s irrevocable commitment to purchase shares of the Company’s Common Stock upon the terms of and subject to satisfaction of the conditions set forth in the Purchase Agreement, the Company paid New Circle a structuring fee of $25,000 and a legal fee of $25,000. In addition, the Company will pay a commitment fee of $350,000 to New Circle, which we may issue in the form of the Company’s Common Stock (the “Commitment Fee”), the market value of which shall be determined based on the closing price of the Common Stock on the date the Registration Statement is declared effective by the SEC;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may, in its sole discretion, elect to pay any portion of the Commitment Fee in cash, so long as such amount is paid on or prior to the day of filing of the Registration Statement filed in order to register the Company’s Common Stock sold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qualified in its entirety by reference to the text of the Purchase Agreement, which is included as Exhibit 10.11 to this Report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Purchase Agreement, the Company also entered into that certain Registration Rights Agreement (the “New Circle Registration Rights Agreement”) with New Circle pursuant to which the Company agreed to file with the SEC, within thirty (30) calendar days of the date of the Registration Rights Agreement, the Registration Statement for the resale by New Circle of the shares of Common Stock that may be issued under the Purchase Agreement (including the shares of Common Stock used to pay the Commitment Fee, if any, the “Registrable Securities”). The Company agreed to use its reasonable best efforts to have the Registration Statement declared effective within forty-five (45) calendar days of its initial filing and to maintain the effectiveness of such registration statement until the earliest of (i) the date on which New Circle has sold all of the Registrable Securities and (ii) the date of termination of the Purchase Agreement if New Circle holds no Registrable Securities on such termination date. The Company will not have the ability to issue any purchase notices under the Purchase Agreement until the Registration Statement is declared effective by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qualified in its entirety by reference to the text of the New Circle Registration Rights Agreement, which is included as Exhibit 10.12 to this Report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ITEM 2.01 COMPLETION OF ACQUISITION OR DISPOSITION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in the Introductory Note above is incorporated by reference into this Item 2.01. The material terms and conditions of the Business Combination Agreement are described in the Proxy Statement/Prospectus in the section titled, “</w:t>
      </w:r>
      <w:r>
        <w:rPr>
          <w:rFonts w:ascii="Times New Roman;Times;Serif" w:hAnsi="Times New Roman;Times;Serif"/>
          <w:b w:val="false"/>
          <w:i/>
          <w:caps w:val="false"/>
          <w:smallCaps w:val="false"/>
          <w:sz w:val="20"/>
        </w:rPr>
        <w:t>Proposal No. 1: The Business Combination Proposal</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and the Business Combination was approved by SUAC’s stockholders at a special meeting of SUAC’s stockholders held on February 6, 2025 (the “</w:t>
      </w:r>
      <w:r>
        <w:rPr>
          <w:rFonts w:ascii="Times New Roman;Times;Serif" w:hAnsi="Times New Roman;Times;Serif"/>
          <w:b w:val="false"/>
          <w:i w:val="false"/>
          <w:caps w:val="false"/>
          <w:smallCaps w:val="false"/>
          <w:strike w:val="false"/>
          <w:dstrike w:val="false"/>
          <w:sz w:val="20"/>
          <w:u w:val="none"/>
          <w:effect w:val="none"/>
        </w:rPr>
        <w:t>Special Meeting</w:t>
      </w:r>
      <w:r>
        <w:rPr>
          <w:rFonts w:ascii="Times New Roman;Times;Serif" w:hAnsi="Times New Roman;Times;Serif"/>
          <w:b w:val="false"/>
          <w:i w:val="false"/>
          <w:caps w:val="false"/>
          <w:smallCaps w:val="false"/>
          <w:sz w:val="20"/>
        </w:rPr>
        <w:t>”). On June 18, 2025, the parties to the Business Combination Agreement consummated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and in connection with the Special Meeting, holders of 2,000 shares of SUAC’s Class A Common Stock sold in its initial public offering (“</w:t>
      </w:r>
      <w:r>
        <w:rPr>
          <w:rFonts w:ascii="Times New Roman;Times;Serif" w:hAnsi="Times New Roman;Times;Serif"/>
          <w:b w:val="false"/>
          <w:i w:val="false"/>
          <w:caps w:val="false"/>
          <w:smallCaps w:val="false"/>
          <w:strike w:val="false"/>
          <w:dstrike w:val="false"/>
          <w:sz w:val="20"/>
          <w:u w:val="none"/>
          <w:effect w:val="none"/>
        </w:rPr>
        <w:t>public shares</w:t>
      </w:r>
      <w:r>
        <w:rPr>
          <w:rFonts w:ascii="Times New Roman;Times;Serif" w:hAnsi="Times New Roman;Times;Serif"/>
          <w:b w:val="false"/>
          <w:i w:val="false"/>
          <w:caps w:val="false"/>
          <w:smallCaps w:val="false"/>
          <w:sz w:val="20"/>
        </w:rPr>
        <w:t>”) exercised their right to redeem those shares for cash at a price of approximately $11.00 per share, for an aggregate of approximately $22,019. The per share redemption price of approximately $11.00 for public shareholders electing redemption was paid out of the Trust Account, which after taking into account the redemptions, had a balance immediately prior to the Closing of approximately $5,577,304.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the Company received a total of $13,294,143 in PIPE (private investment in public equity) financing through the issuance of Common Stock. Of the total PIPE Investment, $1,456,500 represents the conversion of bridge loan principal and accrued interest, such that the Company received an additional $11,837,643 from the PIPE Investors at Closing. On June 10, 2025, an investor subscribed to 250,000 common shares in exchange for $1,000,000. Subsequently, on June 17, 2025, two additional investments were made: one investor subscribed to 1,755,786 common shares for $7,023,143, and another subscribed to 1,317,750 common shares for $5,271,000 (of which $1,456,500 represents the conversion of bridge loan principal and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Closing, the issued share capital of the Company consisted of 27,636,939 shares of Company Common Stock and 15,654,985 warrants, representing the right to acquire shares of Company Common Stock (“</w:t>
      </w:r>
      <w:r>
        <w:rPr>
          <w:rFonts w:ascii="Times New Roman;Times;Serif" w:hAnsi="Times New Roman;Times;Serif"/>
          <w:b w:val="false"/>
          <w:i w:val="false"/>
          <w:caps w:val="false"/>
          <w:smallCaps w:val="false"/>
          <w:strike w:val="false"/>
          <w:dstrike w:val="false"/>
          <w:sz w:val="20"/>
          <w:u w:val="none"/>
          <w:effect w:val="none"/>
        </w:rPr>
        <w:t>Company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Common Stock and Company Warrants commenced trading on the Nasdaq Stock Market LLC, under the symbols “DAIC” and “DAIC.W,” respectively, on June 23,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2.01(f) of Form 8-K states that if the predecessor registrant was a “shell company” (as such term is defined in Rule 12b-2 under the Exchange Act), as the Company was immediately before the Business Combination, then the registrant must disclose the information that would be required if the registrant were filing a general form for registration of securities on Form 10. As a result of the consummation of the Business Combination, the Company has ceased to be a shell company. Accordingly, the Company is providing the information below that would be included in a Form 10 if the Company were to file a Form 10. Please note that the information provided below relates to the Company after the consummation of the Business Combination and the transactions contemplated by the Business Combination Agreement, unless otherwise specifically indicated or the context otherwise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Report may be considered forward-looking statements. Forward-looking statements generally relate to future events or future financial or operating performance. For example, projections of future Adjusted EBITDA and other metrics are forward-looking statements. In some cases, you can identify forward-looking statements by terminology such as “may”, “should”, “expect”, “intend”, “will”, “estimate”, “anticipate”, “believe”, “predict”, “potential” or “continue”, or the negatives of these terms or variations of them or similar terminology, but the absence of these words does not mean that a statement is not forward-looking. Such forward-looking statements are subject to risks, uncertainties, and other factors which could cause actual results to differ materially from those expressed or implied by such forward looking statements. Forward-looking statements in this Report may include, for example, statements about:</w:t>
      </w:r>
    </w:p>
    <w:p>
      <w:pPr>
        <w:pStyle w:val="TextBody"/>
        <w:bidi w:val="0"/>
        <w:spacing w:before="0" w:after="0"/>
        <w:ind w:left="945" w:right="0" w:firstLine="5"/>
        <w:jc w:val="both"/>
        <w:rPr>
          <w:caps w:val="false"/>
          <w:smallCaps w:val="false"/>
        </w:rPr>
      </w:pPr>
      <w:r>
        <w:rPr>
          <w:caps w:val="false"/>
          <w:smallCaps w:val="false"/>
        </w:rPr>
        <w:t> </w:t>
      </w:r>
    </w:p>
    <w:tbl>
      <w:tblPr>
        <w:tblW w:w="4173" w:type="dxa"/>
        <w:jc w:val="left"/>
        <w:tblInd w:w="0" w:type="dxa"/>
        <w:tblLayout w:type="fixed"/>
        <w:tblCellMar>
          <w:top w:w="0" w:type="dxa"/>
          <w:left w:w="0" w:type="dxa"/>
          <w:bottom w:w="0" w:type="dxa"/>
          <w:right w:w="0" w:type="dxa"/>
        </w:tblCellMar>
      </w:tblPr>
      <w:tblGrid>
        <w:gridCol w:w="38"/>
        <w:gridCol w:w="17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283"/>
              <w:jc w:val="both"/>
              <w:rPr/>
            </w:pPr>
            <w:r>
              <w:rPr/>
              <w:t>the benefits of the Business Combination;</w:t>
            </w:r>
          </w:p>
        </w:tc>
      </w:tr>
    </w:tbl>
    <w:p>
      <w:pPr>
        <w:pStyle w:val="TextBody"/>
        <w:bidi w:val="0"/>
        <w:spacing w:before="0" w:after="0"/>
        <w:ind w:left="945" w:right="0" w:firstLine="5"/>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both"/>
              <w:rPr/>
            </w:pPr>
            <w:r>
              <w:rPr/>
              <w:t>Holding’s ability to obtain financing to operate and pursue its business plan;</w:t>
            </w:r>
          </w:p>
        </w:tc>
      </w:tr>
    </w:tbl>
    <w:p>
      <w:pPr>
        <w:pStyle w:val="TextBody"/>
        <w:bidi w:val="0"/>
        <w:spacing w:before="0" w:after="0"/>
        <w:ind w:left="945" w:right="0" w:firstLine="5"/>
        <w:jc w:val="both"/>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17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pPr>
            <w:r>
              <w:rPr/>
              <w:t>the future financial performance of Holdings;</w:t>
            </w:r>
          </w:p>
        </w:tc>
      </w:tr>
    </w:tbl>
    <w:p>
      <w:pPr>
        <w:pStyle w:val="TextBody"/>
        <w:bidi w:val="0"/>
        <w:spacing w:before="0" w:after="0"/>
        <w:ind w:left="945" w:right="0" w:firstLine="5"/>
        <w:jc w:val="both"/>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38"/>
        <w:gridCol w:w="170"/>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both"/>
              <w:rPr/>
            </w:pPr>
            <w:r>
              <w:rPr/>
              <w:t>Holdings ability to remain listed on Nasdaq; and</w:t>
            </w:r>
          </w:p>
        </w:tc>
      </w:tr>
    </w:tbl>
    <w:p>
      <w:pPr>
        <w:pStyle w:val="TextBody"/>
        <w:bidi w:val="0"/>
        <w:spacing w:before="0" w:after="0"/>
        <w:ind w:left="945" w:right="0" w:firstLine="5"/>
        <w:jc w:val="both"/>
        <w:rPr>
          <w:caps w:val="false"/>
          <w:smallCaps w:val="false"/>
        </w:rPr>
      </w:pPr>
      <w:r>
        <w:rPr>
          <w:caps w:val="false"/>
          <w:smallCaps w:val="false"/>
        </w:rPr>
        <w:t> </w:t>
      </w:r>
    </w:p>
    <w:tbl>
      <w:tblPr>
        <w:tblW w:w="3513" w:type="dxa"/>
        <w:jc w:val="left"/>
        <w:tblInd w:w="0" w:type="dxa"/>
        <w:tblLayout w:type="fixed"/>
        <w:tblCellMar>
          <w:top w:w="0" w:type="dxa"/>
          <w:left w:w="0" w:type="dxa"/>
          <w:bottom w:w="0" w:type="dxa"/>
          <w:right w:w="0" w:type="dxa"/>
        </w:tblCellMar>
      </w:tblPr>
      <w:tblGrid>
        <w:gridCol w:w="38"/>
        <w:gridCol w:w="170"/>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both"/>
              <w:rPr/>
            </w:pPr>
            <w:r>
              <w:rPr/>
              <w:t>expansion plans and opportunities.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upon estimates and assumptions that, while considered reasonable are inherently uncertain. There can be no assurance that future developments affecting Holdings will be those that have been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items in the following list:</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outcome of any legal proceedings that may be instituted against the combined company or others following the consummation of the Business Combination and any definitive agreements with respect thereto;</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ability to meet stock exchange listing standards following the consummation of the Business Combination;</w:t>
            </w:r>
          </w:p>
        </w:tc>
      </w:tr>
    </w:tbl>
    <w:p>
      <w:pPr>
        <w:pStyle w:val="TextBody"/>
        <w:bidi w:val="0"/>
        <w:spacing w:before="0" w:after="0"/>
        <w:ind w:left="960" w:right="0" w:hanging="480"/>
        <w:jc w:val="both"/>
        <w:rPr>
          <w:caps w:val="false"/>
          <w:smallCaps w:val="false"/>
        </w:rPr>
      </w:pPr>
      <w:r>
        <w:rPr>
          <w:caps w:val="false"/>
          <w:smallCaps w:val="false"/>
        </w:rPr>
        <w:t> </w:t>
      </w:r>
    </w:p>
    <w:tbl>
      <w:tblPr>
        <w:tblW w:w="9843" w:type="dxa"/>
        <w:jc w:val="left"/>
        <w:tblInd w:w="0" w:type="dxa"/>
        <w:tblLayout w:type="fixed"/>
        <w:tblCellMar>
          <w:top w:w="0" w:type="dxa"/>
          <w:left w:w="0" w:type="dxa"/>
          <w:bottom w:w="0" w:type="dxa"/>
          <w:right w:w="0" w:type="dxa"/>
        </w:tblCellMar>
      </w:tblPr>
      <w:tblGrid>
        <w:gridCol w:w="38"/>
        <w:gridCol w:w="17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pPr>
            <w:r>
              <w:rPr/>
              <w:t>the risk that the Business Combination disrupts current plans and operations of Holdings and SEE ID;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ability of Holdings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w:t>
            </w:r>
          </w:p>
        </w:tc>
      </w:tr>
    </w:tbl>
    <w:p>
      <w:pPr>
        <w:pStyle w:val="TextBody"/>
        <w:bidi w:val="0"/>
        <w:spacing w:before="0" w:after="0"/>
        <w:ind w:left="960" w:right="0" w:hanging="480"/>
        <w:jc w:val="both"/>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17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pPr>
            <w:r>
              <w:rPr/>
              <w:t>costs related to the Business Combination;</w:t>
            </w:r>
          </w:p>
        </w:tc>
      </w:tr>
    </w:tbl>
    <w:p>
      <w:pPr>
        <w:pStyle w:val="TextBody"/>
        <w:bidi w:val="0"/>
        <w:spacing w:before="0" w:after="0"/>
        <w:ind w:left="960" w:right="0" w:hanging="480"/>
        <w:jc w:val="both"/>
        <w:rPr>
          <w:caps w:val="false"/>
          <w:smallCaps w:val="false"/>
        </w:rPr>
      </w:pPr>
      <w:r>
        <w:rPr>
          <w:caps w:val="false"/>
          <w:smallCaps w:val="false"/>
        </w:rPr>
        <w:t> </w:t>
      </w:r>
    </w:p>
    <w:tbl>
      <w:tblPr>
        <w:tblW w:w="4173" w:type="dxa"/>
        <w:jc w:val="left"/>
        <w:tblInd w:w="0" w:type="dxa"/>
        <w:tblLayout w:type="fixed"/>
        <w:tblCellMar>
          <w:top w:w="0" w:type="dxa"/>
          <w:left w:w="0" w:type="dxa"/>
          <w:bottom w:w="0" w:type="dxa"/>
          <w:right w:w="0" w:type="dxa"/>
        </w:tblCellMar>
      </w:tblPr>
      <w:tblGrid>
        <w:gridCol w:w="38"/>
        <w:gridCol w:w="17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283"/>
              <w:jc w:val="both"/>
              <w:rPr/>
            </w:pPr>
            <w:r>
              <w:rPr/>
              <w:t>changes in applicable laws or regulations;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possibility that SEE ID or the combined company may be adversely affected by other economic, business, or competitive factors;</w:t>
            </w:r>
          </w:p>
        </w:tc>
      </w:tr>
    </w:tbl>
    <w:p>
      <w:pPr>
        <w:pStyle w:val="TextBody"/>
        <w:bidi w:val="0"/>
        <w:spacing w:before="0" w:after="0"/>
        <w:ind w:left="960" w:right="0" w:hanging="480"/>
        <w:jc w:val="both"/>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38"/>
        <w:gridCol w:w="17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both"/>
              <w:rPr/>
            </w:pPr>
            <w:r>
              <w:rPr/>
              <w:t>Holdings’ estimates of expenses and profitability;</w:t>
            </w:r>
          </w:p>
        </w:tc>
      </w:tr>
    </w:tbl>
    <w:p>
      <w:pPr>
        <w:pStyle w:val="TextBody"/>
        <w:bidi w:val="0"/>
        <w:spacing w:before="0" w:after="0"/>
        <w:ind w:left="960" w:right="0" w:hanging="480"/>
        <w:jc w:val="both"/>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17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pPr>
            <w:r>
              <w:rPr/>
              <w:t>ability to raise financing in the future;</w:t>
            </w:r>
          </w:p>
        </w:tc>
      </w:tr>
    </w:tbl>
    <w:p>
      <w:pPr>
        <w:pStyle w:val="TextBody"/>
        <w:bidi w:val="0"/>
        <w:spacing w:before="0" w:after="0"/>
        <w:ind w:left="960" w:right="0" w:hanging="480"/>
        <w:jc w:val="both"/>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17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283"/>
              <w:jc w:val="both"/>
              <w:rPr/>
            </w:pPr>
            <w:r>
              <w:rPr/>
              <w:t>success in retaining or recruiting, or changes required in, our officers, key employees or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pPr>
            <w:r>
              <w:rPr/>
              <w:t>Holdings’ public securities’ potential liquidity and trading;</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requirements of being a public company, including compliance with the SEC’s requirements regarding internal controls over financial reporting, may strain Holdings’ resources and divert management’s attention, and the increases in legal, accounting and compliance expenses that will result from the Business Combination may be greater than anticipated;</w:t>
            </w:r>
          </w:p>
        </w:tc>
      </w:tr>
    </w:tbl>
    <w:p>
      <w:pPr>
        <w:pStyle w:val="TextBody"/>
        <w:bidi w:val="0"/>
        <w:spacing w:before="0" w:after="0"/>
        <w:ind w:left="960" w:right="0" w:hanging="480"/>
        <w:jc w:val="both"/>
        <w:rPr>
          <w:caps w:val="false"/>
          <w:smallCaps w:val="false"/>
        </w:rPr>
      </w:pPr>
      <w:r>
        <w:rPr>
          <w:caps w:val="false"/>
          <w:smallCaps w:val="false"/>
        </w:rPr>
        <w:t> </w:t>
      </w:r>
    </w:p>
    <w:tbl>
      <w:tblPr>
        <w:tblW w:w="8448" w:type="dxa"/>
        <w:jc w:val="left"/>
        <w:tblInd w:w="0" w:type="dxa"/>
        <w:tblLayout w:type="fixed"/>
        <w:tblCellMar>
          <w:top w:w="0" w:type="dxa"/>
          <w:left w:w="0" w:type="dxa"/>
          <w:bottom w:w="0" w:type="dxa"/>
          <w:right w:w="0" w:type="dxa"/>
        </w:tblCellMar>
      </w:tblPr>
      <w:tblGrid>
        <w:gridCol w:w="38"/>
        <w:gridCol w:w="170"/>
        <w:gridCol w:w="8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283"/>
              <w:jc w:val="both"/>
              <w:rPr/>
            </w:pPr>
            <w:r>
              <w:rPr/>
              <w:t>litigation and the ability to adequately protect SEE ID’s intellectual property rights;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other factors relating to the business, operations and financial performance of SEE ID detailed under the section entitled “</w:t>
            </w:r>
            <w:r>
              <w:rPr>
                <w:b/>
                <w:i/>
              </w:rPr>
              <w:t>Risk Factors</w:t>
            </w:r>
            <w:r>
              <w:rPr/>
              <w:t>” herein.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the Company is described in the Proxy Statement/Prospectus in the section titled “</w:t>
      </w:r>
      <w:r>
        <w:rPr>
          <w:rFonts w:ascii="Times New Roman;Times;Serif" w:hAnsi="Times New Roman;Times;Serif"/>
          <w:b w:val="false"/>
          <w:i/>
          <w:caps w:val="false"/>
          <w:smallCaps w:val="false"/>
          <w:sz w:val="20"/>
        </w:rPr>
        <w:t>Business of SEE ID</w:t>
      </w:r>
      <w:r>
        <w:rPr>
          <w:rFonts w:ascii="Times New Roman;Times;Serif" w:hAnsi="Times New Roman;Times;Serif"/>
          <w:b w:val="false"/>
          <w:i w:val="false"/>
          <w:caps w:val="false"/>
          <w:smallCaps w:val="false"/>
          <w:sz w:val="20"/>
        </w:rPr>
        <w:t>” beginning on page 166 of the Proxy Statement/Prospectus, and that information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below, the risks associated with the Company’s business and operations and the Business Combination are described in the Proxy Statement/Prospectus in the section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 18 of the Proxy Statement/Prospectus,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Former SEE ID Stockholders beneficially own, in the aggregate, approximately 58.77% of outstanding Holdings Common Stock upon completion of the Business Combination, and these stockholders may have strategic interests that differ from Holdings’ interests and from those of Holdings’ other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SEE ID Stockholders beneficially own, in the aggregate, approximately 58.77%, of Holdings Common Stock upon completion of the Business Combination. As a result, these stockholders have significant influence over matters requiring stockholder approval, including the election of directors, the approval of certain business combinations or dispositions, amendments to the Holdings Charter and Holdings Bylaws and other extraordinary transactions. See “Certain Relationships and Related Person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SEE ID Stockholders may, together or separately, have interests that are different from yours and may vote in a way with which you disagree, and which may be adverse to your interests. Furthermore, our concentration of ownership could have the effect of delaying or preventing a change in control or otherwise discouraging a potential acquirer from attempting to obtain control of us, which could cause the market price of Holdings Common Stock to decline or prevent our stockholders from realizing a premium over the market price for their Holdings Common Stock. Additionally, former SEE ID Stockholders, together or separately, may from time to time acquire and hold interests in businesses that compete directly or indirectly with us or supply us with goods and services. Further, former SEE ID Stockholders may have an interest in pursuing acquisitions, divestitures, and other transactions that, in their respective judgment, could enhance their investment in us, even though such transactions might involve risks to you. Stockholders should consider that the interests of former SEE ID Stockholders may differ from their interests in material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portion of our total outstanding shares of Holdings Common Stock are restricted from immediate resale but may be sold into the market in the near future. This could cause the market price of Holdings Common Stock to drop significantly, even if our business is doing well.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Holdings entered into the Registration Rights and Lock-Up Agreements with each of Holdings, SEE ID, and certain of the holders of SEE ID Shares, pursuant to, and on the terms and conditions of which, subject to certain exceptions, such holders shall not transfer or make any public announcement of any intention to effect a transfer of any of the equity interests of securities of Holdings beneficially owned by the holder during the period ending 180 days following the date of such Registration Rights and Lock-Up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applicable expiration of the lock-up period, Holdings, SEE ID, and the holders of SEE ID Shares subject to the Registration Rights and Lock-Up Agreements will not be restricted from selling shares of Holdings Common Stock held by them, other than by applicable securities laws. As such, sales of a substantial number of shares of Holdings Common Stock in the public market could occur at any time. These sales, or the perception in the market that the holders of a large number of shares intend to sell shares, could reduce the market price of Holdings Common Stock. Upon completion of the Business Combination, Holdings, and certain of the holders of SEE ID Shares will collectively own approximately 58.77% of Holdings Common Stock, translating to a 58.77% voting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restrictions on resale end and registration statements for the sale of shares of Holdings Common Stock by the parties to the registration rights agreement are available for use, the sale or possibility of sale of these shares of Holdings Common Stock, could have the effect of increasing the volatility in the market price of Holdings Common Stock, or decreasing the market price itself.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Financial Information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sections (a) and (d) of Item 9.01 of this Report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Exhibit 99.6 to this Report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facilities of the Company are described in the Proxy Statement/Prospectus in the section entitled “</w:t>
      </w:r>
      <w:r>
        <w:rPr>
          <w:rFonts w:ascii="Times New Roman;Times;Serif" w:hAnsi="Times New Roman;Times;Serif"/>
          <w:b w:val="false"/>
          <w:i/>
          <w:caps w:val="false"/>
          <w:smallCaps w:val="false"/>
          <w:sz w:val="20"/>
        </w:rPr>
        <w:t>Business of SEE ID - Facilities</w:t>
      </w:r>
      <w:r>
        <w:rPr>
          <w:rFonts w:ascii="Times New Roman;Times;Serif" w:hAnsi="Times New Roman;Times;Serif"/>
          <w:b w:val="false"/>
          <w:i w:val="false"/>
          <w:caps w:val="false"/>
          <w:smallCaps w:val="false"/>
          <w:sz w:val="20"/>
        </w:rPr>
        <w:t>” beginning on page 179 and that information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beneficial ownership of Holdings Common Stock as of June 25, 2025 by:</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Each person who is the beneficial owner of the more than 5% of issued and outstanding shares of Holdings Common Stock;</w:t>
            </w:r>
          </w:p>
        </w:tc>
      </w:tr>
    </w:tbl>
    <w:p>
      <w:pPr>
        <w:pStyle w:val="TextBody"/>
        <w:bidi w:val="0"/>
        <w:spacing w:before="0" w:after="0"/>
        <w:ind w:left="960" w:right="0" w:hanging="480"/>
        <w:jc w:val="both"/>
        <w:rPr>
          <w:caps w:val="false"/>
          <w:smallCaps w:val="false"/>
        </w:rPr>
      </w:pPr>
      <w:r>
        <w:rPr>
          <w:caps w:val="false"/>
          <w:smallCaps w:val="false"/>
        </w:rPr>
        <w:t> </w:t>
      </w:r>
    </w:p>
    <w:tbl>
      <w:tblPr>
        <w:tblW w:w="6168" w:type="dxa"/>
        <w:jc w:val="left"/>
        <w:tblInd w:w="0" w:type="dxa"/>
        <w:tblLayout w:type="fixed"/>
        <w:tblCellMar>
          <w:top w:w="0" w:type="dxa"/>
          <w:left w:w="0" w:type="dxa"/>
          <w:bottom w:w="0" w:type="dxa"/>
          <w:right w:w="0" w:type="dxa"/>
        </w:tblCellMar>
      </w:tblPr>
      <w:tblGrid>
        <w:gridCol w:w="38"/>
        <w:gridCol w:w="17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283"/>
              <w:jc w:val="both"/>
              <w:rPr/>
            </w:pPr>
            <w:r>
              <w:rPr/>
              <w:t>Each of Holding’s current executive officers and directors; and</w:t>
            </w:r>
          </w:p>
        </w:tc>
      </w:tr>
    </w:tbl>
    <w:p>
      <w:pPr>
        <w:pStyle w:val="TextBody"/>
        <w:bidi w:val="0"/>
        <w:spacing w:before="0" w:after="0"/>
        <w:ind w:left="960" w:right="0" w:hanging="480"/>
        <w:jc w:val="both"/>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17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both"/>
              <w:rPr/>
            </w:pPr>
            <w:r>
              <w:rPr/>
              <w:t>All executive officers and directors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she, or it possesses sole or shared voting or investment power over that security, including options and warrants that are currently exercisable or exercisable within 60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information is based on 27,636,939 shares of Common Stock outstanding as of the date set forth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information below excludes the shares of Holdings Common Stock issuable upon exercise of the Public Warrants and the Private Placement Warrants or expected to be issued or reserved under the Equity Incentive Plan or the Employee Stock Option Plan.</w:t>
      </w:r>
    </w:p>
    <w:p>
      <w:pPr>
        <w:pStyle w:val="TextBody"/>
        <w:bidi w:val="0"/>
        <w:spacing w:before="0" w:after="0"/>
        <w:ind w:left="0" w:right="0" w:hanging="0"/>
        <w:jc w:val="both"/>
        <w:rPr>
          <w:caps w:val="false"/>
          <w:smallCaps w:val="false"/>
        </w:rPr>
      </w:pPr>
      <w:r>
        <w:rPr>
          <w:caps w:val="false"/>
          <w:smallCaps w:val="false"/>
        </w:rPr>
        <w:t> </w:t>
      </w:r>
    </w:p>
    <w:tbl>
      <w:tblPr>
        <w:tblW w:w="6440" w:type="dxa"/>
        <w:jc w:val="left"/>
        <w:tblInd w:w="0" w:type="dxa"/>
        <w:tblLayout w:type="fixed"/>
        <w:tblCellMar>
          <w:top w:w="0" w:type="dxa"/>
          <w:left w:w="0" w:type="dxa"/>
          <w:bottom w:w="28" w:type="dxa"/>
          <w:right w:w="0" w:type="dxa"/>
        </w:tblCellMar>
      </w:tblPr>
      <w:tblGrid>
        <w:gridCol w:w="4370"/>
        <w:gridCol w:w="60"/>
        <w:gridCol w:w="60"/>
        <w:gridCol w:w="1100"/>
        <w:gridCol w:w="60"/>
        <w:gridCol w:w="60"/>
        <w:gridCol w:w="60"/>
        <w:gridCol w:w="440"/>
        <w:gridCol w:w="230"/>
      </w:tblGrid>
      <w:tr>
        <w:trPr/>
        <w:tc>
          <w:tcPr>
            <w:tcW w:w="437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Beneficial Owners</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center"/>
              <w:rPr>
                <w:b/>
              </w:rPr>
            </w:pPr>
            <w:r>
              <w:rPr>
                <w:b/>
              </w:rPr>
              <w:t>Number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4370" w:type="dxa"/>
            <w:tcBorders>
              <w:bottom w:val="single" w:sz="12" w:space="0" w:color="000000"/>
            </w:tcBorders>
            <w:vAlign w:val="center"/>
          </w:tcPr>
          <w:p>
            <w:pPr>
              <w:pStyle w:val="TableContents"/>
              <w:bidi w:val="0"/>
              <w:spacing w:before="0" w:after="283"/>
              <w:jc w:val="left"/>
              <w:rPr>
                <w:b/>
                <w:i/>
              </w:rPr>
            </w:pPr>
            <w:r>
              <w:rPr>
                <w:b/>
                <w:i/>
              </w:rPr>
              <w:t>Directors and Executive Officers</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of 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b/>
              </w:rPr>
            </w:pPr>
            <w:r>
              <w:rPr>
                <w:b/>
              </w:rPr>
              <w:t>%</w:t>
            </w:r>
          </w:p>
        </w:tc>
        <w:tc>
          <w:tcPr>
            <w:tcW w:w="230" w:type="dxa"/>
            <w:tcBorders/>
            <w:tcMar>
              <w:bottom w:w="0" w:type="dxa"/>
            </w:tcMar>
            <w:vAlign w:val="center"/>
          </w:tcPr>
          <w:p>
            <w:pPr>
              <w:pStyle w:val="TableContents"/>
              <w:bidi w:val="0"/>
              <w:spacing w:before="0" w:after="283"/>
              <w:jc w:val="left"/>
              <w:rPr/>
            </w:pPr>
            <w:r>
              <w:rPr/>
              <w:t> </w:t>
            </w:r>
          </w:p>
        </w:tc>
      </w:tr>
      <w:tr>
        <w:trPr/>
        <w:tc>
          <w:tcPr>
            <w:tcW w:w="4370" w:type="dxa"/>
            <w:tcBorders/>
            <w:shd w:fill="CCEEFF" w:val="clear"/>
            <w:tcMar>
              <w:bottom w:w="0" w:type="dxa"/>
            </w:tcMar>
            <w:vAlign w:val="center"/>
          </w:tcPr>
          <w:p>
            <w:pPr>
              <w:pStyle w:val="TableContents"/>
              <w:bidi w:val="0"/>
              <w:spacing w:before="0" w:after="283"/>
              <w:jc w:val="left"/>
              <w:rPr/>
            </w:pPr>
            <w:r>
              <w:rPr/>
              <w:t>Edmund Nabrotzky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3,571,614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12.9</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370" w:type="dxa"/>
            <w:tcBorders/>
            <w:shd w:fill="FFFFFF" w:val="clear"/>
            <w:tcMar>
              <w:bottom w:w="0" w:type="dxa"/>
            </w:tcMar>
            <w:vAlign w:val="center"/>
          </w:tcPr>
          <w:p>
            <w:pPr>
              <w:pStyle w:val="TableContents"/>
              <w:bidi w:val="0"/>
              <w:spacing w:before="0" w:after="283"/>
              <w:jc w:val="left"/>
              <w:rPr/>
            </w:pPr>
            <w:r>
              <w:rPr/>
              <w:t>Charles Maddox</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2,052,788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7.4</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370" w:type="dxa"/>
            <w:tcBorders/>
            <w:shd w:fill="CCEEFF" w:val="clear"/>
            <w:tcMar>
              <w:bottom w:w="0" w:type="dxa"/>
            </w:tcMar>
            <w:vAlign w:val="center"/>
          </w:tcPr>
          <w:p>
            <w:pPr>
              <w:pStyle w:val="TableContents"/>
              <w:bidi w:val="0"/>
              <w:spacing w:before="0" w:after="283"/>
              <w:jc w:val="left"/>
              <w:rPr/>
            </w:pPr>
            <w:r>
              <w:rPr/>
              <w:t>Vijayan Nambiar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370" w:type="dxa"/>
            <w:tcBorders/>
            <w:shd w:fill="FFFFFF" w:val="clear"/>
            <w:tcMar>
              <w:bottom w:w="0" w:type="dxa"/>
            </w:tcMar>
            <w:vAlign w:val="center"/>
          </w:tcPr>
          <w:p>
            <w:pPr>
              <w:pStyle w:val="TableContents"/>
              <w:bidi w:val="0"/>
              <w:spacing w:before="0" w:after="283"/>
              <w:jc w:val="left"/>
              <w:rPr/>
            </w:pPr>
            <w:r>
              <w:rPr/>
              <w:t>Sheldon Paul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370" w:type="dxa"/>
            <w:tcBorders/>
            <w:shd w:fill="CCEEFF" w:val="clear"/>
            <w:tcMar>
              <w:bottom w:w="0" w:type="dxa"/>
            </w:tcMar>
            <w:vAlign w:val="center"/>
          </w:tcPr>
          <w:p>
            <w:pPr>
              <w:pStyle w:val="TableContents"/>
              <w:bidi w:val="0"/>
              <w:spacing w:before="0" w:after="283"/>
              <w:jc w:val="left"/>
              <w:rPr/>
            </w:pPr>
            <w:r>
              <w:rPr/>
              <w:t>Joanna Burkey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370" w:type="dxa"/>
            <w:tcBorders/>
            <w:shd w:fill="FFFFFF" w:val="clear"/>
            <w:tcMar>
              <w:bottom w:w="0" w:type="dxa"/>
            </w:tcMar>
            <w:vAlign w:val="center"/>
          </w:tcPr>
          <w:p>
            <w:pPr>
              <w:pStyle w:val="TableContents"/>
              <w:bidi w:val="0"/>
              <w:spacing w:before="0" w:after="283"/>
              <w:jc w:val="left"/>
              <w:rPr/>
            </w:pPr>
            <w:r>
              <w:rPr/>
              <w:t>Holly Grey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370" w:type="dxa"/>
            <w:tcBorders/>
            <w:shd w:fill="CCEEFF" w:val="clear"/>
            <w:tcMar>
              <w:bottom w:w="0" w:type="dxa"/>
            </w:tcMar>
            <w:vAlign w:val="center"/>
          </w:tcPr>
          <w:p>
            <w:pPr>
              <w:pStyle w:val="TableContents"/>
              <w:bidi w:val="0"/>
              <w:spacing w:before="0" w:after="283"/>
              <w:jc w:val="left"/>
              <w:rPr/>
            </w:pPr>
            <w:r>
              <w:rPr/>
              <w:t>David Carlson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370" w:type="dxa"/>
            <w:tcBorders/>
            <w:shd w:fill="FFFFFF" w:val="clear"/>
            <w:tcMar>
              <w:bottom w:w="0" w:type="dxa"/>
            </w:tcMar>
            <w:vAlign w:val="center"/>
          </w:tcPr>
          <w:p>
            <w:pPr>
              <w:pStyle w:val="TableContents"/>
              <w:bidi w:val="0"/>
              <w:spacing w:before="0" w:after="283"/>
              <w:jc w:val="left"/>
              <w:rPr/>
            </w:pPr>
            <w:r>
              <w:rPr/>
              <w:t xml:space="preserve">Jeff Saling </w:t>
            </w:r>
            <w:r>
              <w:rPr>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1,755,786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6.4</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370" w:type="dxa"/>
            <w:tcBorders/>
            <w:shd w:fill="CCEEFF" w:val="clear"/>
            <w:tcMar>
              <w:bottom w:w="0" w:type="dxa"/>
            </w:tcMar>
            <w:vAlign w:val="center"/>
          </w:tcPr>
          <w:p>
            <w:pPr>
              <w:pStyle w:val="TableContents"/>
              <w:bidi w:val="0"/>
              <w:spacing w:before="0" w:after="283"/>
              <w:jc w:val="left"/>
              <w:rPr/>
            </w:pPr>
            <w:r>
              <w:rPr/>
              <w:t xml:space="preserve">Phyllis Newhouse </w:t>
            </w: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3,377,730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12.2</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370" w:type="dxa"/>
            <w:tcBorders/>
            <w:shd w:fill="FFFFFF" w:val="clear"/>
            <w:tcMar>
              <w:bottom w:w="0" w:type="dxa"/>
            </w:tcMar>
            <w:vAlign w:val="center"/>
          </w:tcPr>
          <w:p>
            <w:pPr>
              <w:pStyle w:val="TableContents"/>
              <w:bidi w:val="0"/>
              <w:spacing w:before="0" w:after="283"/>
              <w:jc w:val="left"/>
              <w:rPr/>
            </w:pPr>
            <w:r>
              <w:rPr/>
              <w:t>All directors and executive officers as a group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10,757,918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38.9</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370" w:type="dxa"/>
            <w:tcBorders/>
            <w:shd w:fill="CCEEFF" w:val="clear"/>
            <w:tcMar>
              <w:bottom w:w="0" w:type="dxa"/>
            </w:tcMar>
            <w:vAlign w:val="center"/>
          </w:tcPr>
          <w:p>
            <w:pPr>
              <w:pStyle w:val="TableContents"/>
              <w:bidi w:val="0"/>
              <w:spacing w:before="0" w:after="283"/>
              <w:jc w:val="left"/>
              <w:rPr>
                <w:b/>
                <w:i/>
              </w:rPr>
            </w:pPr>
            <w:r>
              <w:rPr>
                <w:b/>
                <w:i/>
              </w:rPr>
              <w:t>Five Percent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370" w:type="dxa"/>
            <w:tcBorders/>
            <w:shd w:fill="FFFFFF" w:val="clear"/>
            <w:tcMar>
              <w:bottom w:w="0" w:type="dxa"/>
            </w:tcMar>
            <w:vAlign w:val="center"/>
          </w:tcPr>
          <w:p>
            <w:pPr>
              <w:pStyle w:val="TableContents"/>
              <w:bidi w:val="0"/>
              <w:spacing w:before="0" w:after="283"/>
              <w:jc w:val="left"/>
              <w:rPr/>
            </w:pPr>
            <w:r>
              <w:rPr/>
              <w:t>William Tremaine Renny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4,967,391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18.0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370" w:type="dxa"/>
            <w:tcBorders/>
            <w:shd w:fill="CCEEFF" w:val="clear"/>
            <w:tcMar>
              <w:bottom w:w="0" w:type="dxa"/>
            </w:tcMar>
            <w:vAlign w:val="center"/>
          </w:tcPr>
          <w:p>
            <w:pPr>
              <w:pStyle w:val="TableContents"/>
              <w:bidi w:val="0"/>
              <w:spacing w:before="0" w:after="283"/>
              <w:jc w:val="left"/>
              <w:rPr/>
            </w:pPr>
            <w:r>
              <w:rPr/>
              <w:t xml:space="preserve">Jeffery Anderson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1,524,924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5.5</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3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DAI Investors </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1,755,786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6.4</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370" w:type="dxa"/>
            <w:tcBorders/>
            <w:shd w:fill="CCEEFF" w:val="clear"/>
            <w:tcMar>
              <w:bottom w:w="0" w:type="dxa"/>
            </w:tcMar>
            <w:vAlign w:val="center"/>
          </w:tcPr>
          <w:p>
            <w:pPr>
              <w:pStyle w:val="TableContents"/>
              <w:bidi w:val="0"/>
              <w:spacing w:before="0" w:after="283"/>
              <w:jc w:val="left"/>
              <w:rPr/>
            </w:pPr>
            <w:r>
              <w:rPr/>
              <w:t xml:space="preserve">ShoulderUp 2021 Trust </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2,354,416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8.5</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2328" w:type="dxa"/>
        <w:jc w:val="left"/>
        <w:tblInd w:w="0" w:type="dxa"/>
        <w:tblLayout w:type="fixed"/>
        <w:tblCellMar>
          <w:top w:w="0" w:type="dxa"/>
          <w:left w:w="0" w:type="dxa"/>
          <w:bottom w:w="0" w:type="dxa"/>
          <w:right w:w="0" w:type="dxa"/>
        </w:tblCellMar>
      </w:tblPr>
      <w:tblGrid>
        <w:gridCol w:w="38"/>
        <w:gridCol w:w="14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2150" w:type="dxa"/>
            <w:tcBorders/>
            <w:vAlign w:val="center"/>
          </w:tcPr>
          <w:p>
            <w:pPr>
              <w:pStyle w:val="TableContents"/>
              <w:bidi w:val="0"/>
              <w:spacing w:before="0" w:after="283"/>
              <w:jc w:val="both"/>
              <w:rPr/>
            </w:pPr>
            <w:r>
              <w:rPr/>
              <w:t>Less than one percent.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Unless otherwise noted, the business address of each of those listed in the table above is 5661 S Cameron St, Suite 100, Las Vegas, NV 89118.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(2)</w:t>
            </w:r>
          </w:p>
        </w:tc>
        <w:tc>
          <w:tcPr>
            <w:tcW w:w="9922" w:type="dxa"/>
            <w:tcBorders/>
            <w:vAlign w:val="center"/>
          </w:tcPr>
          <w:p>
            <w:pPr>
              <w:pStyle w:val="TableContents"/>
              <w:bidi w:val="0"/>
              <w:spacing w:before="0" w:after="283"/>
              <w:jc w:val="both"/>
              <w:rPr/>
            </w:pPr>
            <w:r>
              <w:rPr/>
              <w:t>Represents shares directly held by DAI Investors. Mr. Saling is the manager of DAI Investors and may be deemed to share voting and investment power over the shares held by DAI Investors. Mr. Saling disclaims any such beneficial ownership.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(3)</w:t>
            </w:r>
          </w:p>
        </w:tc>
        <w:tc>
          <w:tcPr>
            <w:tcW w:w="9951" w:type="dxa"/>
            <w:tcBorders/>
            <w:vAlign w:val="center"/>
          </w:tcPr>
          <w:p>
            <w:pPr>
              <w:pStyle w:val="TableContents"/>
              <w:bidi w:val="0"/>
              <w:spacing w:before="0" w:after="283"/>
              <w:jc w:val="both"/>
              <w:rPr/>
            </w:pPr>
            <w:r>
              <w:rPr/>
              <w:t>Represents (i) 1,023,314 shares directly held by Phyllis Newhouse; and (2) 2,354,416 shares directly held by ShoulderUp 2021 Trust. Ms. Newhouse is the trustee of ShoulderUp 2021 Trust and may be deemed to share voting and investment power over the shares held by ShoulderUp 2021 Trust.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held directly by DAI Investors. The address of the principal business office of DAI Investors is 450 Sinclair Street, Reno, Nevada 89501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ShoulderUp 2021 Trust. The address of the principal business office of ShoulderUp 2021 Trust is 2291 Loring Oak PL NW Marietta, GA 30064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the Company’s directors and executive officers after the Closing are described in the Proxy Statement/Prospectus in the section titled “</w:t>
      </w:r>
      <w:r>
        <w:rPr>
          <w:rFonts w:ascii="Times New Roman;Times;Serif" w:hAnsi="Times New Roman;Times;Serif"/>
          <w:b w:val="false"/>
          <w:i/>
          <w:caps w:val="false"/>
          <w:smallCaps w:val="false"/>
          <w:sz w:val="20"/>
        </w:rPr>
        <w:t>Management of Holdings Following the Business Combination</w:t>
      </w:r>
      <w:r>
        <w:rPr>
          <w:rFonts w:ascii="Times New Roman;Times;Serif" w:hAnsi="Times New Roman;Times;Serif"/>
          <w:b w:val="false"/>
          <w:i w:val="false"/>
          <w:caps w:val="false"/>
          <w:smallCaps w:val="false"/>
          <w:sz w:val="20"/>
        </w:rPr>
        <w:t>” beginning on page 196 and that information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Composition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Edmund Nabrotzky, Phyllis Newhouse Dr. Sheldon Paul, Joanna Burkey, Holley Grey, Dr. David Carlson and Jeff Saling were appointed to serve as directors on the board of directors of the Company (the “</w:t>
      </w:r>
      <w:r>
        <w:rPr>
          <w:rFonts w:ascii="Times New Roman;Times;Serif" w:hAnsi="Times New Roman;Times;Serif"/>
          <w:b w:val="false"/>
          <w:i w:val="false"/>
          <w:caps w:val="false"/>
          <w:smallCaps w:val="false"/>
          <w:strike w:val="false"/>
          <w:dstrike w:val="false"/>
          <w:sz w:val="20"/>
          <w:u w:val="none"/>
          <w:effect w:val="none"/>
        </w:rPr>
        <w:t>Board</w:t>
      </w:r>
      <w:r>
        <w:rPr>
          <w:rFonts w:ascii="Times New Roman;Times;Serif" w:hAnsi="Times New Roman;Times;Serif"/>
          <w:b w:val="false"/>
          <w:i w:val="false"/>
          <w:caps w:val="false"/>
          <w:smallCaps w:val="false"/>
          <w:sz w:val="20"/>
        </w:rPr>
        <w:t>” or the “Company Board”) effective immediately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Dr. Sheldon Paul and Phyllis Newhouse were appointed to serve as Class I directors, with terms expiring at the Company’s first annual meeting of stockholders following the Closing Date; Joanna Burkey and Holly Grey were appointed to serve as a Class II director, with terms expiring at the Company’s second annual meeting of stockholders following the Closing Date; and Edmund Nabrotzky, Dr. David Carlson and Jeff Saling were appointed to serve as a Class III directors, with terms expiring at the Company’s third annual meeting of stockholders following the Closing Date. The size of the Board is six members. Biographical information for these individuals is set forth in the Proxy Statement/Prospectus in the section titled “</w:t>
      </w:r>
      <w:r>
        <w:rPr>
          <w:rFonts w:ascii="Times New Roman;Times;Serif" w:hAnsi="Times New Roman;Times;Serif"/>
          <w:b w:val="false"/>
          <w:i/>
          <w:caps w:val="false"/>
          <w:smallCaps w:val="false"/>
          <w:sz w:val="20"/>
        </w:rPr>
        <w:t>Management of Holdings Following the Business Combination</w:t>
      </w:r>
      <w:r>
        <w:rPr>
          <w:rFonts w:ascii="Times New Roman;Times;Serif" w:hAnsi="Times New Roman;Times;Serif"/>
          <w:b w:val="false"/>
          <w:i w:val="false"/>
          <w:caps w:val="false"/>
          <w:smallCaps w:val="false"/>
          <w:sz w:val="20"/>
        </w:rPr>
        <w:t>” which information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each of the directors on the Company Board (other than Edmund Nabrotzky) are independent as defined under the listing standards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Committees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upon the Closing, the standing committees of the Board consist of the Audit Committee, Compensation Committee and Nominating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the Board appointed Holly Grey, Joanna Burkey and Dr. David Carlson to serve on the Audit Committee. The Board appointed Jeff Saling, Holly Grey and Dr. David Carlson to serve on the Compensation Committee. The Board appointed Dr. David Carlson, Holly Grey and Joanna Burkey to serve on the Nominating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the Closing, Phyllis Newhouse (Chief Executive Officer) and Rashaun Williams (Chief Financial Officer), resigned from their position in the Company. Effective as of the Closing, the Board appointed: Edmund Nabrotzky as Chief Executive Officer and Chairman of the Board and Charles Maddox as Chief Financial Officer. Biographical information for these individuals is set forth in the Proxy Statement/Prospectus in the section titled “</w:t>
      </w:r>
      <w:r>
        <w:rPr>
          <w:rFonts w:ascii="Times New Roman;Times;Serif" w:hAnsi="Times New Roman;Times;Serif"/>
          <w:b w:val="false"/>
          <w:i/>
          <w:caps w:val="false"/>
          <w:smallCaps w:val="false"/>
          <w:sz w:val="20"/>
        </w:rPr>
        <w:t>Management of Holdings Following the Business Combination</w:t>
      </w:r>
      <w:r>
        <w:rPr>
          <w:rFonts w:ascii="Times New Roman;Times;Serif" w:hAnsi="Times New Roman;Times;Serif"/>
          <w:b w:val="false"/>
          <w:i w:val="false"/>
          <w:caps w:val="false"/>
          <w:smallCaps w:val="false"/>
          <w:sz w:val="20"/>
        </w:rPr>
        <w:t>” which information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the compensation arrangements for the Board have not been determined. Any such arrangement will be reviewed and approved by the Compensation Committee of the Company and will be publicly disclosed by the Company when such arrangements are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of SEE ID’s named Executive Officers as of December 31, 2024, is described in the Proxy Statement/Prospectus in the section titled “</w:t>
      </w:r>
      <w:r>
        <w:rPr>
          <w:rFonts w:ascii="Times New Roman;Times;Serif" w:hAnsi="Times New Roman;Times;Serif"/>
          <w:b w:val="false"/>
          <w:i/>
          <w:caps w:val="false"/>
          <w:smallCaps w:val="false"/>
          <w:sz w:val="20"/>
        </w:rPr>
        <w:t>SEE ID Executive Compensation</w:t>
      </w:r>
      <w:r>
        <w:rPr>
          <w:rFonts w:ascii="Times New Roman;Times;Serif" w:hAnsi="Times New Roman;Times;Serif"/>
          <w:b w:val="false"/>
          <w:i w:val="false"/>
          <w:caps w:val="false"/>
          <w:smallCaps w:val="false"/>
          <w:sz w:val="20"/>
        </w:rPr>
        <w:t>” beginning on page 203 and that information is incorporated herein by reference. Actual compensation programs that the Company adopts may differ materially from the pre-Business Combination programs summarized or referred to in the aforementioned section.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 and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relationships and related party transactions of the Company are described in the Proxy Statement/Prospectus in the section titled “</w:t>
      </w:r>
      <w:r>
        <w:rPr>
          <w:rFonts w:ascii="Times New Roman;Times;Serif" w:hAnsi="Times New Roman;Times;Serif"/>
          <w:b w:val="false"/>
          <w:i/>
          <w:caps w:val="false"/>
          <w:smallCaps w:val="false"/>
          <w:sz w:val="20"/>
        </w:rPr>
        <w:t>Certain Relationships and Related Person Transactions</w:t>
      </w:r>
      <w:r>
        <w:rPr>
          <w:rFonts w:ascii="Times New Roman;Times;Serif" w:hAnsi="Times New Roman;Times;Serif"/>
          <w:b w:val="false"/>
          <w:i w:val="false"/>
          <w:caps w:val="false"/>
          <w:smallCaps w:val="false"/>
          <w:sz w:val="20"/>
        </w:rPr>
        <w:t>” beginning on page 207 of the Proxy Statement/Prospectus, which information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various lawsuits and legal proceedings that arise in the ordinary course of business. However, litigation is subject to inherent uncertainties, and an adverse result in these or other matters may arise from time to time that may harm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knowledge of our management, there is no material litigation, arbitration or governmental proceeding currently pending or contemplated against us, any of our officers or directors in their capacity as such or against any of our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Price of and Dividends on the Registrant’s Common Equity and Related Stockholder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Holdings Common Stock and Warrants are listed on Nasdaq under the ticker symbol DAIC and DAIC.W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any cash dividends on our capital stock and do not anticipate paying any cash dividends on our Common Stock in the foreseeable future. We intend to retain future earnings to fund ongoing operations and future capital requirements. Any future determination to pay cash dividends will be at the discretion of our board of directors and will be dependent upon financial condition, results of operations, capital requirements and such other factors as the board of directors deems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disclosure set forth below under Item 3.02 of this Report concerning the issuance and sale by the Company of certain unregistered securities,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Registrant’s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Company’s securities is contained in the Proxy Statement/Prospectus in the section titled “</w:t>
      </w:r>
      <w:r>
        <w:rPr>
          <w:rFonts w:ascii="Times New Roman;Times;Serif" w:hAnsi="Times New Roman;Times;Serif"/>
          <w:b w:val="false"/>
          <w:i/>
          <w:caps w:val="false"/>
          <w:smallCaps w:val="false"/>
          <w:sz w:val="20"/>
        </w:rPr>
        <w:t>Description of Securities</w:t>
      </w:r>
      <w:r>
        <w:rPr>
          <w:rFonts w:ascii="Times New Roman;Times;Serif" w:hAnsi="Times New Roman;Times;Serif"/>
          <w:b w:val="false"/>
          <w:i w:val="false"/>
          <w:caps w:val="false"/>
          <w:smallCaps w:val="false"/>
          <w:sz w:val="20"/>
        </w:rPr>
        <w:t>” beginning on page 212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indemnification of the Company’s directors and officers is set forth in the Proxy Statement/Prospectus in the section titled “</w:t>
      </w:r>
      <w:r>
        <w:rPr>
          <w:rFonts w:ascii="Times New Roman;Times;Serif" w:hAnsi="Times New Roman;Times;Serif"/>
          <w:b w:val="false"/>
          <w:i/>
          <w:caps w:val="false"/>
          <w:smallCaps w:val="false"/>
          <w:sz w:val="20"/>
        </w:rPr>
        <w:t>SEE ID Executive Compensation — Limitation of Liability and Indemnification.</w:t>
      </w:r>
      <w:r>
        <w:rPr>
          <w:rFonts w:ascii="Times New Roman;Times;Serif" w:hAnsi="Times New Roman;Times;Serif"/>
          <w:b w:val="false"/>
          <w:i w:val="false"/>
          <w:caps w:val="false"/>
          <w:smallCaps w:val="false"/>
          <w:sz w:val="20"/>
        </w:rPr>
        <w:t>” beginning on page 205 which information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4.01 of this Current Report on Form 8-K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9.01 of this Current Report on Form 8-K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ITEM 3.02 UNREGISTERED SALES OF EQUITY SECURITIES.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1.01, “</w:t>
      </w:r>
      <w:r>
        <w:rPr>
          <w:rFonts w:ascii="Times New Roman;Times;Serif" w:hAnsi="Times New Roman;Times;Serif"/>
          <w:b w:val="false"/>
          <w:i/>
          <w:caps w:val="false"/>
          <w:smallCaps w:val="false"/>
          <w:sz w:val="20"/>
        </w:rPr>
        <w:t>Entry into a Material Definitive Agreement</w:t>
      </w:r>
      <w:r>
        <w:rPr>
          <w:rFonts w:ascii="Times New Roman;Times;Serif" w:hAnsi="Times New Roman;Times;Serif"/>
          <w:b w:val="false"/>
          <w:i w:val="false"/>
          <w:caps w:val="false"/>
          <w:smallCaps w:val="false"/>
          <w:sz w:val="20"/>
        </w:rPr>
        <w:t>,” under the captions “</w:t>
      </w:r>
      <w:r>
        <w:rPr>
          <w:rFonts w:ascii="Times New Roman;Times;Serif" w:hAnsi="Times New Roman;Times;Serif"/>
          <w:b w:val="false"/>
          <w:i/>
          <w:caps w:val="false"/>
          <w:smallCaps w:val="false"/>
          <w:sz w:val="20"/>
        </w:rPr>
        <w:t>PIPE Subscription Agreements</w:t>
      </w:r>
      <w:r>
        <w:rPr>
          <w:rFonts w:ascii="Times New Roman;Times;Serif" w:hAnsi="Times New Roman;Times;Serif"/>
          <w:b w:val="false"/>
          <w:i w:val="false"/>
          <w:caps w:val="false"/>
          <w:smallCaps w:val="false"/>
          <w:sz w:val="20"/>
        </w:rPr>
        <w:t>”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ITEM 3.03 MATERIAL MODIFICATION TO RIGHTS OF SECURITY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5.03, “</w:t>
      </w:r>
      <w:r>
        <w:rPr>
          <w:rFonts w:ascii="Times New Roman;Times;Serif" w:hAnsi="Times New Roman;Times;Serif"/>
          <w:b w:val="false"/>
          <w:i/>
          <w:caps w:val="false"/>
          <w:smallCaps w:val="false"/>
          <w:sz w:val="20"/>
        </w:rPr>
        <w:t>Amendments to Articles of Incorporation or Bylaws; Change in Fiscal Year”</w:t>
      </w:r>
      <w:r>
        <w:rPr>
          <w:rFonts w:ascii="Times New Roman;Times;Serif" w:hAnsi="Times New Roman;Times;Serif"/>
          <w:b w:val="false"/>
          <w:i w:val="false"/>
          <w:caps w:val="false"/>
          <w:smallCaps w:val="false"/>
          <w:sz w:val="20"/>
        </w:rPr>
        <w:t xml:space="preserve"> is incorporated herein by reference.</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ITEM 4.01 CHANGES IN REGISTRANT’S CERTIFYING ACCOUNTANT.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the Business Combination, the Company appointed Berkowitz Pollack Brant Advisors + CPAs (“BPB”) as the Company’s independent registered public accounting firm to audit the Company’s consolidated financial statements as of and for the year ending December 31, 2025. BPB served as the independent public accounting firm of SEE ID, Inc. dba Dot Ai prior to the Business Combination.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5.01 CHANGES IN CONTROL OF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in the Introductory Note and Item 2.01 of this Report is incorporated by reference in this Item 5.01.</w:t>
      </w:r>
      <w:r>
        <w:rPr>
          <w:rFonts w:ascii="Times New Roman;Times;Serif" w:hAnsi="Times New Roman;Times;Serif"/>
          <w:b w:val="false"/>
          <w:i w:val="false"/>
          <w:caps/>
          <w:sz w:val="20"/>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ITEM 5.02 DEPARTURE OF DIRECTORS OR PRINCIPAL OFFICERS; ELECTION OF DIRECTORS; APPOINTMENT OF PRINCIPAL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in Item 2.01 of this Current Report on Form 8-K under the titled, “</w:t>
      </w:r>
      <w:r>
        <w:rPr>
          <w:rFonts w:ascii="Times New Roman;Times;Serif" w:hAnsi="Times New Roman;Times;Serif"/>
          <w:b w:val="false"/>
          <w:i/>
          <w:caps w:val="false"/>
          <w:smallCaps w:val="false"/>
          <w:sz w:val="20"/>
        </w:rPr>
        <w:t>Directors and Executive Officers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Director Compensation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is incorporated by reference in this Item 5.02.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the SUAC stockholders considered and approved the CID HoldCo, Inc. Equity Compensation Plan (the “Equity Incentive Plan”). The Equity Incentive Plan became effective on the date on which the SUAC stockholders approved the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terms of the Equity Incentive Plan is set forth in the Proxy Statement/Prospectus in the section titled “</w:t>
      </w:r>
      <w:r>
        <w:rPr>
          <w:rFonts w:ascii="Times New Roman;Times;Serif" w:hAnsi="Times New Roman;Times;Serif"/>
          <w:b w:val="false"/>
          <w:i/>
          <w:caps w:val="false"/>
          <w:smallCaps w:val="false"/>
          <w:sz w:val="20"/>
        </w:rPr>
        <w:t>Shareholder Proposal 6: The Equity Incentive Plan Proposal</w:t>
      </w:r>
      <w:r>
        <w:rPr>
          <w:rFonts w:ascii="Times New Roman;Times;Serif" w:hAnsi="Times New Roman;Times;Serif"/>
          <w:b w:val="false"/>
          <w:i w:val="false"/>
          <w:caps w:val="false"/>
          <w:smallCaps w:val="false"/>
          <w:sz w:val="20"/>
        </w:rPr>
        <w:t>” beginning on page 131 of the Proxy Statement/Prospectus, which is incorporated herein by reference. That description of the Equity Incentive Plan is qualified in its entirety by the text of the Equity Incentive Plan, a copy of which is attached hereto as Exhibit 10.9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ITEM 5.03 AMENDMENTS TO ARTICLES OF INCORPORATION OR BYLAWS; CHANGE IN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Amendments to Certificate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regarding the restated certificate of incorporation in Item 2.01, “</w:t>
      </w:r>
      <w:r>
        <w:rPr>
          <w:rFonts w:ascii="Times New Roman;Times;Serif" w:hAnsi="Times New Roman;Times;Serif"/>
          <w:b w:val="false"/>
          <w:i/>
          <w:caps w:val="false"/>
          <w:smallCaps w:val="false"/>
          <w:sz w:val="20"/>
        </w:rPr>
        <w:t xml:space="preserve">Completion of Acquisition or Disposition of Assets- Description of Capital Stock-Anti-Takeover Provisions” </w:t>
      </w:r>
      <w:r>
        <w:rPr>
          <w:rFonts w:ascii="Times New Roman;Times;Serif" w:hAnsi="Times New Roman;Times;Serif"/>
          <w:b w:val="false"/>
          <w:i w:val="false"/>
          <w:caps w:val="false"/>
          <w:smallCaps w:val="false"/>
          <w:sz w:val="20"/>
        </w:rPr>
        <w:t>is incorporated herein by reference. Our restated certificate of incorporation is filed as Exhibit 3.2 hereto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Amendments to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or at the closing of the Mergers, we amended and restated our bylaws in their entirety, to be effective upon closing of the Mergers. The information regarding the restated bylaws in Item 2.01, “</w:t>
      </w:r>
      <w:r>
        <w:rPr>
          <w:rFonts w:ascii="Times New Roman;Times;Serif" w:hAnsi="Times New Roman;Times;Serif"/>
          <w:b w:val="false"/>
          <w:i/>
          <w:caps w:val="false"/>
          <w:smallCaps w:val="false"/>
          <w:sz w:val="20"/>
        </w:rPr>
        <w:t xml:space="preserve">Completion of Acquisition or Disposition of Assets- Description of Capital Stock-Anti-Takeover Provisions” </w:t>
      </w:r>
      <w:r>
        <w:rPr>
          <w:rFonts w:ascii="Times New Roman;Times;Serif" w:hAnsi="Times New Roman;Times;Serif"/>
          <w:b w:val="false"/>
          <w:i w:val="false"/>
          <w:caps w:val="false"/>
          <w:smallCaps w:val="false"/>
          <w:sz w:val="20"/>
        </w:rPr>
        <w:t>is incorporated herein by reference. Our restated bylaws are filed as Exhibit 3.3 hereto and is incorporated herein by reference.</w:t>
      </w:r>
    </w:p>
    <w:p>
      <w:pPr>
        <w:pStyle w:val="TextBody"/>
        <w:bidi w:val="0"/>
        <w:spacing w:before="0" w:after="0"/>
        <w:ind w:left="0" w:right="0" w:hanging="0"/>
        <w:jc w:val="both"/>
        <w:rPr>
          <w:caps w:val="false"/>
          <w:smallCaps w:val="false"/>
        </w:rPr>
      </w:pPr>
      <w:r>
        <w:rPr>
          <w:caps/>
        </w:rPr>
        <w:t> </w:t>
      </w: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ITEM 5.06 CHANGE IN SHELL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Mergers, we were a wholly-owned subsidiary of a “shell company” (as such term is defined in Rule 12b-2 under the Exchange Act). As a result of the Mergers, we have ceased to be a shell company. The information contained in this Report constitutes the current “Form 10 information” necessary to satisfy the conditions contained in Rule 144(i)(2)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2025, the Company issued a press release announcing the Closing of the Business Combination and the start of trading on the Nasdaq Stock Market LLC. A copy of the press release is attached hereto as exhibit 99.6 and is incorporated herein by reference.</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ITEM 9.01 FINANCIAL STATEMENTS AND EXHIBITS.</w:t>
      </w:r>
    </w:p>
    <w:p>
      <w:pPr>
        <w:pStyle w:val="TextBody"/>
        <w:bidi w:val="0"/>
        <w:spacing w:before="0" w:after="283"/>
        <w:jc w:val="left"/>
        <w:rPr/>
      </w:pPr>
      <w:r>
        <w:rPr/>
        <w:t> </w:t>
      </w:r>
    </w:p>
    <w:tbl>
      <w:tblPr>
        <w:tblW w:w="5013" w:type="dxa"/>
        <w:jc w:val="left"/>
        <w:tblInd w:w="0" w:type="dxa"/>
        <w:tblLayout w:type="fixed"/>
        <w:tblCellMar>
          <w:top w:w="0" w:type="dxa"/>
          <w:left w:w="0" w:type="dxa"/>
          <w:bottom w:w="0" w:type="dxa"/>
          <w:right w:w="0" w:type="dxa"/>
        </w:tblCellMar>
      </w:tblPr>
      <w:tblGrid>
        <w:gridCol w:w="38"/>
        <w:gridCol w:w="245"/>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sz w:val="20"/>
              </w:rPr>
            </w:pPr>
            <w:r>
              <w:rPr>
                <w:b/>
                <w:sz w:val="20"/>
              </w:rPr>
              <w:t>(a)</w:t>
            </w:r>
          </w:p>
        </w:tc>
        <w:tc>
          <w:tcPr>
            <w:tcW w:w="4730" w:type="dxa"/>
            <w:tcBorders/>
            <w:vAlign w:val="center"/>
          </w:tcPr>
          <w:p>
            <w:pPr>
              <w:pStyle w:val="TableContents"/>
              <w:bidi w:val="0"/>
              <w:spacing w:before="0" w:after="283"/>
              <w:jc w:val="both"/>
              <w:rPr>
                <w:b/>
              </w:rPr>
            </w:pPr>
            <w:r>
              <w:rPr>
                <w:b/>
              </w:rPr>
              <w:t>Financial Statements of the Business Acquired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of SEE ID as of and for the fiscal years ended December 31, 2024 and 2023 as Exhibit 99.1 to this Report and incorporated herein by reference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financial statements of SEE ID as of and for the three-month periods ended March 31, 2025 and 2024 as Exhibit 99.2 to this Report and incorporated herein by reference.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of SUAC as of and for the fiscal years ended December 31, 2024 and 2023 as Exhibit 99.3 to this Report and incorporated herein by reference.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financial statements of SUAC as of and for the three-month periods ended March 31, 2025 and 2024 as Exhibit 99.4 to this Report and incorporated herein by reference.</w:t>
      </w:r>
    </w:p>
    <w:p>
      <w:pPr>
        <w:pStyle w:val="TextBody"/>
        <w:bidi w:val="0"/>
        <w:spacing w:before="0" w:after="0"/>
        <w:jc w:val="both"/>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245"/>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sz w:val="20"/>
              </w:rPr>
            </w:pPr>
            <w:r>
              <w:rPr>
                <w:b/>
                <w:sz w:val="20"/>
              </w:rPr>
              <w:t>(b)</w:t>
            </w:r>
          </w:p>
        </w:tc>
        <w:tc>
          <w:tcPr>
            <w:tcW w:w="3455" w:type="dxa"/>
            <w:tcBorders/>
            <w:vAlign w:val="center"/>
          </w:tcPr>
          <w:p>
            <w:pPr>
              <w:pStyle w:val="TableContents"/>
              <w:bidi w:val="0"/>
              <w:spacing w:before="0" w:after="283"/>
              <w:jc w:val="both"/>
              <w:rPr>
                <w:b/>
              </w:rPr>
            </w:pPr>
            <w:r>
              <w:rPr>
                <w:b/>
              </w:rPr>
              <w:t>Pro Forma Financial Information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of the Company as of March 31, 2025, for the three months ended March 31, 2025, and for the year ended December 31, 2024 as Exhibit 99.5 to this Report. </w:t>
      </w:r>
    </w:p>
    <w:p>
      <w:pPr>
        <w:pStyle w:val="TextBody"/>
        <w:bidi w:val="0"/>
        <w:spacing w:before="0" w:after="0"/>
        <w:jc w:val="both"/>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23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sz w:val="20"/>
              </w:rPr>
            </w:pPr>
            <w:r>
              <w:rPr>
                <w:b/>
                <w:sz w:val="20"/>
              </w:rPr>
              <w:t>(c)</w:t>
            </w:r>
          </w:p>
        </w:tc>
        <w:tc>
          <w:tcPr>
            <w:tcW w:w="3035" w:type="dxa"/>
            <w:tcBorders/>
            <w:vAlign w:val="center"/>
          </w:tcPr>
          <w:p>
            <w:pPr>
              <w:pStyle w:val="TableContents"/>
              <w:bidi w:val="0"/>
              <w:spacing w:before="0" w:after="283"/>
              <w:jc w:val="both"/>
              <w:rPr>
                <w:b/>
              </w:rPr>
            </w:pPr>
            <w:r>
              <w:rPr>
                <w:b/>
              </w:rPr>
              <w:t>Shell Company Transactions.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Items 9.01(a) and 9.01(b) and the exhibits referred to therein, which are incorporated herein by reference.</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45" w:type="dxa"/>
        <w:jc w:val="left"/>
        <w:tblInd w:w="0" w:type="dxa"/>
        <w:tblLayout w:type="fixed"/>
        <w:tblCellMar>
          <w:top w:w="0" w:type="dxa"/>
          <w:left w:w="0" w:type="dxa"/>
          <w:bottom w:w="0" w:type="dxa"/>
          <w:right w:w="0" w:type="dxa"/>
        </w:tblCellMar>
      </w:tblPr>
      <w:tblGrid>
        <w:gridCol w:w="260"/>
        <w:gridCol w:w="785"/>
      </w:tblGrid>
      <w:tr>
        <w:trPr/>
        <w:tc>
          <w:tcPr>
            <w:tcW w:w="260" w:type="dxa"/>
            <w:tcBorders/>
            <w:vAlign w:val="center"/>
          </w:tcPr>
          <w:p>
            <w:pPr>
              <w:pStyle w:val="TableContents"/>
              <w:bidi w:val="0"/>
              <w:spacing w:before="0" w:after="283"/>
              <w:jc w:val="both"/>
              <w:rPr>
                <w:b/>
                <w:sz w:val="20"/>
              </w:rPr>
            </w:pPr>
            <w:r>
              <w:rPr>
                <w:b/>
                <w:sz w:val="20"/>
              </w:rPr>
              <w:t>(d)</w:t>
            </w:r>
          </w:p>
        </w:tc>
        <w:tc>
          <w:tcPr>
            <w:tcW w:w="785" w:type="dxa"/>
            <w:tcBorders/>
            <w:vAlign w:val="center"/>
          </w:tcPr>
          <w:p>
            <w:pPr>
              <w:pStyle w:val="TableContents"/>
              <w:bidi w:val="0"/>
              <w:spacing w:before="0" w:after="283"/>
              <w:jc w:val="both"/>
              <w:rPr>
                <w:b/>
                <w:sz w:val="20"/>
              </w:rPr>
            </w:pPr>
            <w:r>
              <w:rPr>
                <w:b/>
                <w:sz w:val="20"/>
              </w:rPr>
              <w:t>Exhibits.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37"/>
        <w:gridCol w:w="60"/>
        <w:gridCol w:w="9408"/>
      </w:tblGrid>
      <w:tr>
        <w:trPr/>
        <w:tc>
          <w:tcPr>
            <w:tcW w:w="737"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both"/>
              <w:rPr/>
            </w:pPr>
            <w:r>
              <w:rPr/>
              <w:t> </w:t>
            </w:r>
          </w:p>
        </w:tc>
        <w:tc>
          <w:tcPr>
            <w:tcW w:w="9408"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37"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08" w:type="dxa"/>
            <w:tcBorders/>
            <w:shd w:fill="CCEEFF" w:val="clear"/>
            <w:tcMar>
              <w:bottom w:w="0" w:type="dxa"/>
            </w:tcM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"https://www.sec.gov/Archives/edgar/data/2033770/000121390025003518/ea0208059-15.htm" \l "T201"</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Business Combination Agreement by and among ShoulderUp Technology Acquisition Corp., CID HoldCo, Inc., ShoulderUp Merger Sub, Inc., SEI Merger Sub, Inc., and SEE ID, Inc., dated as of March 18, 2024 (incorporated by reference to Exhibit 2.1 of the CID HoldCo, Inc.’s Registration Statement on Form S-4, filed with the SEC on January 15, 2025)</w:t>
            </w:r>
            <w:r>
              <w:rPr>
                <w:rStyle w:val="InternetLink"/>
                <w:sz w:val="20"/>
                <w:rFonts w:ascii="Times New Roman;Times;Serif" w:hAnsi="Times New Roman;Times;Serif"/>
              </w:rPr>
              <w:fldChar w:fldCharType="end"/>
            </w:r>
            <w:r>
              <w:rPr>
                <w:rFonts w:ascii="Times New Roman;Times;Serif" w:hAnsi="Times New Roman;Times;Serif"/>
                <w:sz w:val="20"/>
              </w:rPr>
              <w:t>.  </w:t>
            </w:r>
          </w:p>
        </w:tc>
      </w:tr>
      <w:tr>
        <w:trPr/>
        <w:tc>
          <w:tcPr>
            <w:tcW w:w="737"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3.1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08" w:type="dxa"/>
            <w:tcBorders/>
            <w:shd w:fill="FFFFFF" w:val="clear"/>
            <w:tcMar>
              <w:bottom w:w="0" w:type="dxa"/>
            </w:tcMar>
            <w:vAlign w:val="center"/>
          </w:tcPr>
          <w:p>
            <w:pPr>
              <w:pStyle w:val="TableContents"/>
              <w:bidi w:val="0"/>
              <w:spacing w:before="0" w:after="283"/>
              <w:jc w:val="both"/>
              <w:rPr/>
            </w:pPr>
            <w:hyperlink w:anchor="ea024660701ex3-1_cidhold.htm">
              <w:r>
                <w:rPr>
                  <w:rStyle w:val="InternetLink"/>
                  <w:rFonts w:ascii="Times New Roman;Times;Serif" w:hAnsi="Times New Roman;Times;Serif"/>
                  <w:sz w:val="20"/>
                </w:rPr>
                <w:t>Amended and Restated Certificate of Incorporation of CID HoldCo, Inc.  </w:t>
              </w:r>
            </w:hyperlink>
          </w:p>
        </w:tc>
      </w:tr>
      <w:tr>
        <w:trPr/>
        <w:tc>
          <w:tcPr>
            <w:tcW w:w="737"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3.2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08" w:type="dxa"/>
            <w:tcBorders/>
            <w:shd w:fill="CCEEFF" w:val="clear"/>
            <w:tcMar>
              <w:bottom w:w="0" w:type="dxa"/>
            </w:tcMar>
            <w:vAlign w:val="center"/>
          </w:tcPr>
          <w:p>
            <w:pPr>
              <w:pStyle w:val="TableContents"/>
              <w:bidi w:val="0"/>
              <w:spacing w:before="0" w:after="283"/>
              <w:jc w:val="both"/>
              <w:rPr/>
            </w:pPr>
            <w:hyperlink w:anchor="ea024660701ex3-2_cidhold.htm">
              <w:r>
                <w:rPr>
                  <w:rStyle w:val="InternetLink"/>
                  <w:rFonts w:ascii="Times New Roman;Times;Serif" w:hAnsi="Times New Roman;Times;Serif"/>
                  <w:sz w:val="20"/>
                </w:rPr>
                <w:t>Bylaws of CID HoldCo, Inc.  </w:t>
              </w:r>
            </w:hyperlink>
          </w:p>
        </w:tc>
      </w:tr>
      <w:tr>
        <w:trPr/>
        <w:tc>
          <w:tcPr>
            <w:tcW w:w="737"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4.1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08" w:type="dxa"/>
            <w:tcBorders/>
            <w:shd w:fill="FFFF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sz w:val="20"/>
                </w:rPr>
                <w:t>Specimen Common Stock Certificate (incorporated by reference to Exhibit 4.5 of the CID HoldCo, Inc.’s Registration Statement on Form S-4, filed with the SEC on January 15, 2025).</w:t>
              </w:r>
            </w:hyperlink>
            <w:r>
              <w:rPr>
                <w:rFonts w:ascii="Times New Roman;Times;Serif" w:hAnsi="Times New Roman;Times;Serif"/>
                <w:sz w:val="20"/>
              </w:rPr>
              <w:t xml:space="preserve">  </w:t>
            </w:r>
          </w:p>
        </w:tc>
      </w:tr>
      <w:tr>
        <w:trPr/>
        <w:tc>
          <w:tcPr>
            <w:tcW w:w="737"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4.2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08" w:type="dxa"/>
            <w:tcBorders/>
            <w:shd w:fill="CCEE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Specimen Warrant Certificate (incorporated by reference to Exhibit 4.6 of the CID HoldCo, Inc.’s Registration Statement on Form S-4, filed with the SEC on January 15, 2025).</w:t>
              </w:r>
            </w:hyperlink>
            <w:r>
              <w:rPr>
                <w:rFonts w:ascii="Times New Roman;Times;Serif" w:hAnsi="Times New Roman;Times;Serif"/>
                <w:sz w:val="20"/>
              </w:rPr>
              <w:t xml:space="preserve">  </w:t>
            </w:r>
          </w:p>
        </w:tc>
      </w:tr>
      <w:tr>
        <w:trPr/>
        <w:tc>
          <w:tcPr>
            <w:tcW w:w="737"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4.3</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08" w:type="dxa"/>
            <w:tcBorders/>
            <w:shd w:fill="FFFF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sz w:val="20"/>
                </w:rPr>
                <w:t>Existing Warrant Agreement, dated November 16, 2021, by and between ShoulderUp Technology Acquisition Corp and Continental Stock Transfer &amp; Trust Company, as warrant agent (incorporated by reference to Exhibit 4.4 of the CID HoldCo, Inc.’s Registration Statement on Form S-4, filed with the SEC on January 15, 2025).</w:t>
              </w:r>
            </w:hyperlink>
            <w:r>
              <w:rPr>
                <w:rFonts w:ascii="Times New Roman;Times;Serif" w:hAnsi="Times New Roman;Times;Serif"/>
                <w:sz w:val="20"/>
              </w:rPr>
              <w:t xml:space="preserve">  </w:t>
            </w:r>
          </w:p>
        </w:tc>
      </w:tr>
      <w:tr>
        <w:trPr/>
        <w:tc>
          <w:tcPr>
            <w:tcW w:w="737"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4.4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08" w:type="dxa"/>
            <w:tcBorders/>
            <w:shd w:fill="CCEEFF" w:val="clear"/>
            <w:tcMar>
              <w:bottom w:w="0" w:type="dxa"/>
            </w:tcMar>
            <w:vAlign w:val="center"/>
          </w:tcPr>
          <w:p>
            <w:pPr>
              <w:pStyle w:val="TableContents"/>
              <w:bidi w:val="0"/>
              <w:spacing w:before="0" w:after="283"/>
              <w:jc w:val="both"/>
              <w:rPr/>
            </w:pPr>
            <w:hyperlink w:anchor="ea024660701ex4-4_cidhold.htm">
              <w:r>
                <w:rPr>
                  <w:rStyle w:val="InternetLink"/>
                  <w:rFonts w:ascii="Times New Roman;Times;Serif" w:hAnsi="Times New Roman;Times;Serif"/>
                  <w:sz w:val="20"/>
                </w:rPr>
                <w:t>Warrant Assumption and Assignment Agreement, dated as of June 18, 2025.  </w:t>
              </w:r>
            </w:hyperlink>
          </w:p>
        </w:tc>
      </w:tr>
      <w:tr>
        <w:trPr/>
        <w:tc>
          <w:tcPr>
            <w:tcW w:w="737"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08" w:type="dxa"/>
            <w:tcBorders/>
            <w:shd w:fill="FFFFFF" w:val="clear"/>
            <w:tcMar>
              <w:bottom w:w="0" w:type="dxa"/>
            </w:tcM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"https://www.sec.gov/Archives/edgar/data/2033770/000121390025003518/ea0208059-15.htm" \l "T205"</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Sponsor Support Agreement by and among ShoulderUp Technology Sponsor, LLC, ShoulderUp Technology Acquisition Corp., and SEE ID, Inc., dated March 18, 2024 (incorporated by reference to Exhibit 10.1 of the CID HoldCo, Inc.’s Registration Statement on Form S-4, filed with the SEC on January 15, 2025)</w:t>
            </w:r>
            <w:r>
              <w:rPr>
                <w:rStyle w:val="InternetLink"/>
                <w:sz w:val="20"/>
                <w:rFonts w:ascii="Times New Roman;Times;Serif" w:hAnsi="Times New Roman;Times;Serif"/>
              </w:rPr>
              <w:fldChar w:fldCharType="end"/>
            </w:r>
            <w:r>
              <w:rPr>
                <w:rFonts w:ascii="Times New Roman;Times;Serif" w:hAnsi="Times New Roman;Times;Serif"/>
                <w:sz w:val="20"/>
              </w:rPr>
              <w:t>.</w:t>
            </w:r>
          </w:p>
        </w:tc>
      </w:tr>
      <w:tr>
        <w:trPr/>
        <w:tc>
          <w:tcPr>
            <w:tcW w:w="737"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08" w:type="dxa"/>
            <w:tcBorders/>
            <w:shd w:fill="CCEEFF" w:val="clear"/>
            <w:tcMar>
              <w:bottom w:w="0" w:type="dxa"/>
            </w:tcM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"https://www.sec.gov/Archives/edgar/data/2033770/000121390025003518/ea0208059-15.htm" \l "T206"</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Stockholder Support Agreement by and among ShoulderUp Technology Acquisition Corp., SEE ID, Inc., and certain stockholders of SEE ID, Inc., dated March 18, 2024 (incorporated by reference to Exhibit 10.2 of the CID HoldCo, Inc.’s Registration Statement on Form S-4, filed with the SEC on January 15, 2025).</w:t>
            </w:r>
            <w:r>
              <w:rPr>
                <w:rStyle w:val="InternetLink"/>
                <w:sz w:val="20"/>
                <w:rFonts w:ascii="Times New Roman;Times;Serif" w:hAnsi="Times New Roman;Times;Serif"/>
              </w:rPr>
              <w:fldChar w:fldCharType="end"/>
            </w:r>
          </w:p>
        </w:tc>
      </w:tr>
      <w:tr>
        <w:trPr/>
        <w:tc>
          <w:tcPr>
            <w:tcW w:w="737"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10.3</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08" w:type="dxa"/>
            <w:tcBorders/>
            <w:shd w:fill="FFFFFF" w:val="clear"/>
            <w:tcMar>
              <w:bottom w:w="0" w:type="dxa"/>
            </w:tcMar>
            <w:vAlign w:val="center"/>
          </w:tcPr>
          <w:p>
            <w:pPr>
              <w:pStyle w:val="TableContents"/>
              <w:bidi w:val="0"/>
              <w:spacing w:before="0" w:after="283"/>
              <w:jc w:val="both"/>
              <w:rPr/>
            </w:pPr>
            <w:hyperlink r:id="rId5">
              <w:r>
                <w:rPr>
                  <w:rStyle w:val="InternetLink"/>
                </w:rPr>
                <w:t xml:space="preserve">May 2024 </w:t>
              </w:r>
            </w:hyperlink>
            <w:hyperlink r:id="rId6">
              <w:r>
                <w:rPr>
                  <w:rStyle w:val="InternetLink"/>
                  <w:rFonts w:ascii="Times New Roman;Times;Serif" w:hAnsi="Times New Roman;Times;Serif"/>
                  <w:sz w:val="20"/>
                </w:rPr>
                <w:t>Form of Non-Redemption Agreement and Assignment of Economic Interest by and among ShoulderUp Technology Acquisition Corp, ShoulderUp Technology Sponsor, LLC and the investor named therein (incorporated by reference to exhibit 10.1 of ShoulderUp Technology Acquisition Corp.’s Current Report on Form 8-K, filed with the SEC on May 23, 2024).</w:t>
              </w:r>
            </w:hyperlink>
          </w:p>
        </w:tc>
      </w:tr>
      <w:tr>
        <w:trPr/>
        <w:tc>
          <w:tcPr>
            <w:tcW w:w="737"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08" w:type="dxa"/>
            <w:tcBorders/>
            <w:shd w:fill="CCEEFF" w:val="clear"/>
            <w:tcMar>
              <w:bottom w:w="0" w:type="dxa"/>
            </w:tcMar>
            <w:vAlign w:val="center"/>
          </w:tcPr>
          <w:p>
            <w:pPr>
              <w:pStyle w:val="TableContents"/>
              <w:bidi w:val="0"/>
              <w:spacing w:before="0" w:after="283"/>
              <w:jc w:val="both"/>
              <w:rPr/>
            </w:pPr>
            <w:hyperlink r:id="rId7">
              <w:r>
                <w:rPr>
                  <w:rStyle w:val="InternetLink"/>
                </w:rPr>
                <w:t>November 2023 Form of Non-Redemption Agreement and Assignment of Economic Interest, by and among ShoulderUp Technology Acquisition Corp, ShoulderUp Technology Sponsor, LLC and the investor party thereto (incorporated by reference to exhibit 10.1 of ShoulderUp Technology Acquisition Corp.’s Current Report on Form 8-K, filed with the SEC on November 6, 2023).</w:t>
              </w:r>
            </w:hyperlink>
          </w:p>
        </w:tc>
      </w:tr>
      <w:tr>
        <w:trPr/>
        <w:tc>
          <w:tcPr>
            <w:tcW w:w="737"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10.5</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08" w:type="dxa"/>
            <w:tcBorders/>
            <w:shd w:fill="FFFFFF" w:val="clear"/>
            <w:tcMar>
              <w:bottom w:w="0" w:type="dxa"/>
            </w:tcMar>
            <w:vAlign w:val="center"/>
          </w:tcPr>
          <w:p>
            <w:pPr>
              <w:pStyle w:val="TableContents"/>
              <w:bidi w:val="0"/>
              <w:spacing w:before="0" w:after="283"/>
              <w:jc w:val="both"/>
              <w:rPr/>
            </w:pPr>
            <w:hyperlink r:id="rId8">
              <w:r>
                <w:rPr>
                  <w:rStyle w:val="InternetLink"/>
                </w:rPr>
                <w:t>April 2023 Form of Non-Redemption Agreement and Assignment of Economic Interest by and among ShoulderUp Technology Acquisition Corp, ShoulderUp Technology Sponsor, LLC and the investors party thereto (incorporated by reference to exhibit 10.1 of ShoulderUp Technology Acquisition Corp.’s Current Report on Form 8-K, filed with the SEC on April 6, 2023).</w:t>
              </w:r>
            </w:hyperlink>
          </w:p>
        </w:tc>
      </w:tr>
      <w:tr>
        <w:trPr/>
        <w:tc>
          <w:tcPr>
            <w:tcW w:w="737"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10.6</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08" w:type="dxa"/>
            <w:tcBorders/>
            <w:shd w:fill="CCEE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sz w:val="20"/>
                </w:rPr>
                <w:t>Form of Non-Redemption Agreement, dated April 17, 2025, by and between ShoulderUp Technology Acquisition Corp. and the investor party thereto (incorporated by reference to exhibit 10.1 of ShoulderUp Technology Acquisition Corp.’s Current Report on Form 8-K, filed with the SEC on April 22, 2025).</w:t>
              </w:r>
            </w:hyperlink>
          </w:p>
        </w:tc>
      </w:tr>
      <w:tr>
        <w:trPr/>
        <w:tc>
          <w:tcPr>
            <w:tcW w:w="737"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10.7</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08" w:type="dxa"/>
            <w:tcBorders/>
            <w:shd w:fill="FFFF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sz w:val="20"/>
                </w:rPr>
                <w:t>Form of Forfeiture Agreement, dated April 17, 2025, by and between ShoulderUp Technology Acquisition Corp. and the investor party thereto (incorporated by reference to exhibit 10.2 of ShoulderUp Technology Acquisition Corp.’s Current Report on Form 8-K, filed with the SEC on April 22, 2025).</w:t>
              </w:r>
            </w:hyperlink>
          </w:p>
        </w:tc>
      </w:tr>
      <w:tr>
        <w:trPr/>
        <w:tc>
          <w:tcPr>
            <w:tcW w:w="737"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10.8</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08" w:type="dxa"/>
            <w:tcBorders/>
            <w:shd w:fill="CCEEFF" w:val="clear"/>
            <w:tcMar>
              <w:bottom w:w="0" w:type="dxa"/>
            </w:tcMar>
            <w:vAlign w:val="center"/>
          </w:tcPr>
          <w:p>
            <w:pPr>
              <w:pStyle w:val="TableContents"/>
              <w:bidi w:val="0"/>
              <w:spacing w:before="0" w:after="283"/>
              <w:jc w:val="both"/>
              <w:rPr/>
            </w:pPr>
            <w:hyperlink w:anchor="ea024660701ex10-8_cidhold.htm">
              <w:r>
                <w:rPr>
                  <w:rStyle w:val="InternetLink"/>
                  <w:rFonts w:ascii="Times New Roman;Times;Serif" w:hAnsi="Times New Roman;Times;Serif"/>
                  <w:sz w:val="20"/>
                </w:rPr>
                <w:t>Form of PIPE Subscription Agreement.</w:t>
              </w:r>
            </w:hyperlink>
          </w:p>
        </w:tc>
      </w:tr>
      <w:tr>
        <w:trPr/>
        <w:tc>
          <w:tcPr>
            <w:tcW w:w="737"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10.9+</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08" w:type="dxa"/>
            <w:tcBorders/>
            <w:shd w:fill="FFFFFF" w:val="clear"/>
            <w:tcMar>
              <w:bottom w:w="0" w:type="dxa"/>
            </w:tcMar>
            <w:vAlign w:val="center"/>
          </w:tcPr>
          <w:p>
            <w:pPr>
              <w:pStyle w:val="TableContents"/>
              <w:bidi w:val="0"/>
              <w:spacing w:before="0" w:after="283"/>
              <w:jc w:val="both"/>
              <w:rPr/>
            </w:pPr>
            <w:hyperlink w:anchor="ea024660701ex10-9_cidhold.htm">
              <w:r>
                <w:rPr>
                  <w:rStyle w:val="InternetLink"/>
                  <w:rFonts w:ascii="Times New Roman;Times;Serif" w:hAnsi="Times New Roman;Times;Serif"/>
                  <w:sz w:val="20"/>
                </w:rPr>
                <w:t>CID HoldCo, Inc. 2025 Equity Incentive Plan, effective as of June 18, 2025.</w:t>
              </w:r>
            </w:hyperlink>
          </w:p>
        </w:tc>
      </w:tr>
      <w:tr>
        <w:trPr/>
        <w:tc>
          <w:tcPr>
            <w:tcW w:w="737"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10.10</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08" w:type="dxa"/>
            <w:tcBorders/>
            <w:shd w:fill="CCEEFF" w:val="clear"/>
            <w:tcMar>
              <w:bottom w:w="0" w:type="dxa"/>
            </w:tcMar>
            <w:vAlign w:val="center"/>
          </w:tcPr>
          <w:p>
            <w:pPr>
              <w:pStyle w:val="TableContents"/>
              <w:bidi w:val="0"/>
              <w:spacing w:before="0" w:after="283"/>
              <w:jc w:val="both"/>
              <w:rPr/>
            </w:pPr>
            <w:hyperlink w:anchor="ea024660701ex10-10_cidhold.htm">
              <w:r>
                <w:rPr>
                  <w:rStyle w:val="InternetLink"/>
                  <w:rFonts w:ascii="Times New Roman;Times;Serif" w:hAnsi="Times New Roman;Times;Serif"/>
                  <w:sz w:val="20"/>
                </w:rPr>
                <w:t>Registration Rights and Lock-up Agreement by and among CID HoldCo, Inc, and certain parties listed therein, dated as of June 18, 2025.</w:t>
              </w:r>
            </w:hyperlink>
          </w:p>
        </w:tc>
      </w:tr>
      <w:tr>
        <w:trPr/>
        <w:tc>
          <w:tcPr>
            <w:tcW w:w="737"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10.11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08" w:type="dxa"/>
            <w:tcBorders/>
            <w:shd w:fill="FFFFFF" w:val="clear"/>
            <w:tcMar>
              <w:bottom w:w="0" w:type="dxa"/>
            </w:tcMar>
            <w:vAlign w:val="center"/>
          </w:tcPr>
          <w:p>
            <w:pPr>
              <w:pStyle w:val="TableContents"/>
              <w:bidi w:val="0"/>
              <w:spacing w:before="0" w:after="283"/>
              <w:jc w:val="both"/>
              <w:rPr/>
            </w:pPr>
            <w:hyperlink w:anchor="ea024660701ex10-11_cidhold.htm">
              <w:r>
                <w:rPr>
                  <w:rStyle w:val="InternetLink"/>
                  <w:rFonts w:ascii="Times New Roman;Times;Serif" w:hAnsi="Times New Roman;Times;Serif"/>
                  <w:sz w:val="20"/>
                </w:rPr>
                <w:t>Share Purchase Agreement, dated June 18, 2025 by and among New Circle Principal Investments LLC, a Delaware limited liability company, and CID HoldCo, Inc.</w:t>
              </w:r>
            </w:hyperlink>
          </w:p>
        </w:tc>
      </w:tr>
      <w:tr>
        <w:trPr/>
        <w:tc>
          <w:tcPr>
            <w:tcW w:w="737" w:type="dxa"/>
            <w:tcBorders/>
            <w:shd w:fill="CCEEFF" w:val="clear"/>
            <w:tcMar>
              <w:bottom w:w="0" w:type="dxa"/>
            </w:tcMar>
            <w:vAlign w:val="center"/>
          </w:tcPr>
          <w:p>
            <w:pPr>
              <w:pStyle w:val="TableContents"/>
              <w:bidi w:val="0"/>
              <w:spacing w:before="0" w:after="283"/>
              <w:jc w:val="both"/>
              <w:rPr>
                <w:b/>
              </w:rPr>
            </w:pPr>
            <w:r>
              <w:rPr>
                <w:b/>
              </w:rPr>
              <w:t>10.12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08" w:type="dxa"/>
            <w:tcBorders/>
            <w:shd w:fill="CCEEFF" w:val="clear"/>
            <w:tcMar>
              <w:bottom w:w="0" w:type="dxa"/>
            </w:tcMar>
            <w:vAlign w:val="center"/>
          </w:tcPr>
          <w:p>
            <w:pPr>
              <w:pStyle w:val="TableContents"/>
              <w:bidi w:val="0"/>
              <w:spacing w:before="0" w:after="283"/>
              <w:jc w:val="both"/>
              <w:rPr/>
            </w:pPr>
            <w:hyperlink w:anchor="ea024660701ex10-12_cidhold.htm">
              <w:r>
                <w:rPr>
                  <w:rStyle w:val="InternetLink"/>
                </w:rPr>
                <w:t>Registration Rights Agreement, dated June 18, 2025 by and among New Circle Principal Investments LLC, a Delaware limited liability company, and CID HoldCo, Inc.</w:t>
              </w:r>
            </w:hyperlink>
          </w:p>
        </w:tc>
      </w:tr>
      <w:tr>
        <w:trPr/>
        <w:tc>
          <w:tcPr>
            <w:tcW w:w="737"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14.1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08" w:type="dxa"/>
            <w:tcBorders/>
            <w:shd w:fill="FFFFFF" w:val="clear"/>
            <w:tcMar>
              <w:bottom w:w="0" w:type="dxa"/>
            </w:tcMar>
            <w:vAlign w:val="center"/>
          </w:tcPr>
          <w:p>
            <w:pPr>
              <w:pStyle w:val="TableContents"/>
              <w:bidi w:val="0"/>
              <w:spacing w:before="0" w:after="283"/>
              <w:jc w:val="both"/>
              <w:rPr/>
            </w:pPr>
            <w:hyperlink w:anchor="ea024660701ex14-1_cidhold.htm">
              <w:r>
                <w:rPr>
                  <w:rStyle w:val="InternetLink"/>
                  <w:rFonts w:ascii="Times New Roman;Times;Serif" w:hAnsi="Times New Roman;Times;Serif"/>
                  <w:sz w:val="20"/>
                </w:rPr>
                <w:t>Code of Ethics and Business Conduct.</w:t>
              </w:r>
            </w:hyperlink>
          </w:p>
        </w:tc>
      </w:tr>
      <w:tr>
        <w:trPr/>
        <w:tc>
          <w:tcPr>
            <w:tcW w:w="737"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21.1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08" w:type="dxa"/>
            <w:tcBorders/>
            <w:shd w:fill="CCEEFF" w:val="clear"/>
            <w:tcMar>
              <w:bottom w:w="0" w:type="dxa"/>
            </w:tcMar>
            <w:vAlign w:val="center"/>
          </w:tcPr>
          <w:p>
            <w:pPr>
              <w:pStyle w:val="TableContents"/>
              <w:bidi w:val="0"/>
              <w:spacing w:before="0" w:after="283"/>
              <w:jc w:val="both"/>
              <w:rPr/>
            </w:pPr>
            <w:hyperlink w:anchor="ea024660701ex21-1_cidhold.htm">
              <w:r>
                <w:rPr>
                  <w:rStyle w:val="InternetLink"/>
                  <w:rFonts w:ascii="Times New Roman;Times;Serif" w:hAnsi="Times New Roman;Times;Serif"/>
                  <w:sz w:val="20"/>
                </w:rPr>
                <w:t>Subsidiaries of the Registrant.</w:t>
              </w:r>
            </w:hyperlink>
          </w:p>
        </w:tc>
      </w:tr>
      <w:tr>
        <w:trPr/>
        <w:tc>
          <w:tcPr>
            <w:tcW w:w="737"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99.1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08" w:type="dxa"/>
            <w:tcBorders/>
            <w:shd w:fill="FFFFFF" w:val="clear"/>
            <w:tcMar>
              <w:bottom w:w="0" w:type="dxa"/>
            </w:tcMar>
            <w:vAlign w:val="center"/>
          </w:tcPr>
          <w:p>
            <w:pPr>
              <w:pStyle w:val="TableContents"/>
              <w:bidi w:val="0"/>
              <w:spacing w:before="0" w:after="283"/>
              <w:jc w:val="both"/>
              <w:rPr/>
            </w:pPr>
            <w:hyperlink w:anchor="ea024660701ex99-1_cidhold.htm">
              <w:r>
                <w:rPr>
                  <w:rStyle w:val="InternetLink"/>
                  <w:rFonts w:ascii="Times New Roman;Times;Serif" w:hAnsi="Times New Roman;Times;Serif"/>
                  <w:sz w:val="20"/>
                </w:rPr>
                <w:t>Audited financial statements of SEE ID, Inc. for the fiscal years ended December 31, 2024 and 2023.</w:t>
              </w:r>
            </w:hyperlink>
          </w:p>
        </w:tc>
      </w:tr>
      <w:tr>
        <w:trPr/>
        <w:tc>
          <w:tcPr>
            <w:tcW w:w="737"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99.2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08" w:type="dxa"/>
            <w:tcBorders/>
            <w:shd w:fill="CCEEFF" w:val="clear"/>
            <w:tcMar>
              <w:bottom w:w="0" w:type="dxa"/>
            </w:tcMar>
            <w:vAlign w:val="center"/>
          </w:tcPr>
          <w:p>
            <w:pPr>
              <w:pStyle w:val="TableContents"/>
              <w:bidi w:val="0"/>
              <w:spacing w:before="0" w:after="283"/>
              <w:jc w:val="both"/>
              <w:rPr/>
            </w:pPr>
            <w:hyperlink w:anchor="ea024660701ex99-2_cidhold.htm">
              <w:r>
                <w:rPr>
                  <w:rStyle w:val="InternetLink"/>
                  <w:rFonts w:ascii="Times New Roman;Times;Serif" w:hAnsi="Times New Roman;Times;Serif"/>
                  <w:sz w:val="20"/>
                </w:rPr>
                <w:t>Unaudited financial statements of SEE ID, Inc. for the three-month periods ended March 31, 2025 and 2024.</w:t>
              </w:r>
            </w:hyperlink>
          </w:p>
        </w:tc>
      </w:tr>
      <w:tr>
        <w:trPr/>
        <w:tc>
          <w:tcPr>
            <w:tcW w:w="737"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99.3</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08" w:type="dxa"/>
            <w:tcBorders/>
            <w:shd w:fill="FFFFFF" w:val="clear"/>
            <w:tcMar>
              <w:bottom w:w="0" w:type="dxa"/>
            </w:tcMar>
            <w:vAlign w:val="center"/>
          </w:tcPr>
          <w:p>
            <w:pPr>
              <w:pStyle w:val="TableContents"/>
              <w:bidi w:val="0"/>
              <w:spacing w:before="0" w:after="283"/>
              <w:jc w:val="both"/>
              <w:rPr/>
            </w:pPr>
            <w:hyperlink w:anchor="ea024660701ex99-3_cidhold.htm">
              <w:r>
                <w:rPr>
                  <w:rStyle w:val="InternetLink"/>
                  <w:rFonts w:ascii="Times New Roman;Times;Serif" w:hAnsi="Times New Roman;Times;Serif"/>
                  <w:sz w:val="20"/>
                </w:rPr>
                <w:t>Audited consolidated financial statements of ShoulderUp Technology Acquisition Corp. for the years ended December 31, 2024 and December 31, 2024</w:t>
              </w:r>
            </w:hyperlink>
          </w:p>
        </w:tc>
      </w:tr>
      <w:tr>
        <w:trPr/>
        <w:tc>
          <w:tcPr>
            <w:tcW w:w="737"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99.4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08" w:type="dxa"/>
            <w:tcBorders/>
            <w:shd w:fill="CCEEFF" w:val="clear"/>
            <w:tcMar>
              <w:bottom w:w="0" w:type="dxa"/>
            </w:tcMar>
            <w:vAlign w:val="center"/>
          </w:tcPr>
          <w:p>
            <w:pPr>
              <w:pStyle w:val="TableContents"/>
              <w:bidi w:val="0"/>
              <w:spacing w:before="0" w:after="283"/>
              <w:jc w:val="both"/>
              <w:rPr/>
            </w:pPr>
            <w:hyperlink w:anchor="ea024660701ex99-4_cidhold.htm">
              <w:r>
                <w:rPr>
                  <w:rStyle w:val="InternetLink"/>
                  <w:rFonts w:ascii="Times New Roman;Times;Serif" w:hAnsi="Times New Roman;Times;Serif"/>
                  <w:sz w:val="20"/>
                </w:rPr>
                <w:t>Unaudited consolidated financial statements of ShoulderUp Technology Acquisition Corp. for the three-month periods ended March 31, 2025 and 2024.</w:t>
              </w:r>
            </w:hyperlink>
          </w:p>
        </w:tc>
      </w:tr>
      <w:tr>
        <w:trPr/>
        <w:tc>
          <w:tcPr>
            <w:tcW w:w="737"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99.5</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08" w:type="dxa"/>
            <w:tcBorders/>
            <w:shd w:fill="FFFFFF" w:val="clear"/>
            <w:tcMar>
              <w:bottom w:w="0" w:type="dxa"/>
            </w:tcMar>
            <w:vAlign w:val="center"/>
          </w:tcPr>
          <w:p>
            <w:pPr>
              <w:pStyle w:val="TableContents"/>
              <w:bidi w:val="0"/>
              <w:spacing w:before="0" w:after="283"/>
              <w:jc w:val="both"/>
              <w:rPr/>
            </w:pPr>
            <w:hyperlink w:anchor="ea024660701ex99-5_cidhold.htm">
              <w:r>
                <w:rPr>
                  <w:rStyle w:val="InternetLink"/>
                  <w:rFonts w:ascii="Times New Roman;Times;Serif" w:hAnsi="Times New Roman;Times;Serif"/>
                  <w:sz w:val="20"/>
                </w:rPr>
                <w:t>Unaudited pro forma condensed combined financial information.</w:t>
              </w:r>
            </w:hyperlink>
          </w:p>
        </w:tc>
      </w:tr>
      <w:tr>
        <w:trPr/>
        <w:tc>
          <w:tcPr>
            <w:tcW w:w="737"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99.6</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08" w:type="dxa"/>
            <w:tcBorders/>
            <w:shd w:fill="CCEEFF" w:val="clear"/>
            <w:tcMar>
              <w:bottom w:w="0" w:type="dxa"/>
            </w:tcMar>
            <w:vAlign w:val="center"/>
          </w:tcPr>
          <w:p>
            <w:pPr>
              <w:pStyle w:val="TableContents"/>
              <w:bidi w:val="0"/>
              <w:spacing w:before="0" w:after="283"/>
              <w:jc w:val="both"/>
              <w:rPr/>
            </w:pPr>
            <w:hyperlink w:anchor="ea024660701ex99-6_cidhold.htm">
              <w:r>
                <w:rPr>
                  <w:rStyle w:val="InternetLink"/>
                  <w:rFonts w:ascii="Times New Roman;Times;Serif" w:hAnsi="Times New Roman;Times;Serif"/>
                  <w:sz w:val="20"/>
                </w:rPr>
                <w:t>Management’s Discussion and Analysis of Financial Condition and Results of Operations of SEE ID for the three months ended March 31, 2025 and 2024.</w:t>
              </w:r>
            </w:hyperlink>
          </w:p>
        </w:tc>
      </w:tr>
      <w:tr>
        <w:trPr/>
        <w:tc>
          <w:tcPr>
            <w:tcW w:w="737"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99.7</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08" w:type="dxa"/>
            <w:tcBorders/>
            <w:shd w:fill="FFFFFF" w:val="clear"/>
            <w:tcMar>
              <w:bottom w:w="0" w:type="dxa"/>
            </w:tcMar>
            <w:vAlign w:val="center"/>
          </w:tcPr>
          <w:p>
            <w:pPr>
              <w:pStyle w:val="TableContents"/>
              <w:bidi w:val="0"/>
              <w:spacing w:before="0" w:after="283"/>
              <w:jc w:val="both"/>
              <w:rPr/>
            </w:pPr>
            <w:hyperlink w:anchor="ea024660701ex99-7_cidhold.htm">
              <w:r>
                <w:rPr>
                  <w:rStyle w:val="InternetLink"/>
                  <w:rFonts w:ascii="Times New Roman;Times;Serif" w:hAnsi="Times New Roman;Times;Serif"/>
                  <w:sz w:val="20"/>
                </w:rPr>
                <w:t>Press Release, dated June 23, 2025.</w:t>
              </w:r>
            </w:hyperlink>
          </w:p>
        </w:tc>
      </w:tr>
      <w:tr>
        <w:trPr/>
        <w:tc>
          <w:tcPr>
            <w:tcW w:w="737"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08"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Cover Page Interactive Data File (embedded within the Inline XBRL document). </w:t>
            </w:r>
          </w:p>
        </w:tc>
      </w:tr>
    </w:tbl>
    <w:p>
      <w:pPr>
        <w:pStyle w:val="TextBody"/>
        <w:bidi w:val="0"/>
        <w:spacing w:before="0" w:after="0"/>
        <w:ind w:left="0" w:right="0" w:hanging="0"/>
        <w:jc w:val="both"/>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140"/>
        <w:gridCol w:w="6890"/>
      </w:tblGrid>
      <w:tr>
        <w:trPr/>
        <w:tc>
          <w:tcPr>
            <w:tcW w:w="140" w:type="dxa"/>
            <w:tcBorders/>
            <w:vAlign w:val="center"/>
          </w:tcPr>
          <w:p>
            <w:pPr>
              <w:pStyle w:val="TableContents"/>
              <w:bidi w:val="0"/>
              <w:spacing w:before="0" w:after="283"/>
              <w:jc w:val="both"/>
              <w:rPr>
                <w:sz w:val="20"/>
              </w:rPr>
            </w:pPr>
            <w:r>
              <w:rPr>
                <w:sz w:val="20"/>
              </w:rPr>
              <w:t>+</w:t>
            </w:r>
          </w:p>
        </w:tc>
        <w:tc>
          <w:tcPr>
            <w:tcW w:w="6890" w:type="dxa"/>
            <w:tcBorders/>
            <w:vAlign w:val="center"/>
          </w:tcPr>
          <w:p>
            <w:pPr>
              <w:pStyle w:val="TableContents"/>
              <w:bidi w:val="0"/>
              <w:spacing w:before="0" w:after="283"/>
              <w:jc w:val="both"/>
              <w:rPr>
                <w:sz w:val="20"/>
              </w:rPr>
            </w:pPr>
            <w:r>
              <w:rPr>
                <w:sz w:val="20"/>
              </w:rPr>
              <w:t>Indicates a management contract or any compensatory plan, contract or arrangement.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sz w:val="20"/>
              </w:rPr>
            </w:pPr>
            <w:r>
              <w:rPr>
                <w:sz w:val="20"/>
              </w:rPr>
              <w:t>*</w:t>
            </w:r>
          </w:p>
        </w:tc>
        <w:tc>
          <w:tcPr>
            <w:tcW w:w="10065" w:type="dxa"/>
            <w:tcBorders/>
            <w:vAlign w:val="center"/>
          </w:tcPr>
          <w:p>
            <w:pPr>
              <w:pStyle w:val="TableContents"/>
              <w:bidi w:val="0"/>
              <w:spacing w:before="0" w:after="283"/>
              <w:jc w:val="both"/>
              <w:rPr>
                <w:sz w:val="20"/>
              </w:rPr>
            </w:pPr>
            <w:r>
              <w:rPr>
                <w:sz w:val="20"/>
              </w:rPr>
              <w:t>Portions of this exhibit (indicated by asterisks) have been omitted in accordance with Item 601(b)(10) of Regulation S-K. The registrant hereby agrees to furnish supplementally copies of any of the omitted portions of this exhibit to the SEC upon its request.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sz w:val="20"/>
              </w:rPr>
            </w:pPr>
            <w:r>
              <w:rPr>
                <w:sz w:val="20"/>
              </w:rPr>
              <w:t>§</w:t>
            </w:r>
          </w:p>
        </w:tc>
        <w:tc>
          <w:tcPr>
            <w:tcW w:w="10065" w:type="dxa"/>
            <w:tcBorders/>
            <w:vAlign w:val="center"/>
          </w:tcPr>
          <w:p>
            <w:pPr>
              <w:pStyle w:val="TableContents"/>
              <w:bidi w:val="0"/>
              <w:spacing w:before="0" w:after="283"/>
              <w:jc w:val="both"/>
              <w:rPr>
                <w:sz w:val="20"/>
              </w:rPr>
            </w:pPr>
            <w:r>
              <w:rPr>
                <w:sz w:val="20"/>
              </w:rPr>
              <w:t>Certain exhibits or schedules to this exhibit have been omitted in accordance with Item 601(a)(5) of Regulation S-K. The registrant hereby agrees to furnish supplementally a copy of any omitted exhibit or schedule to the SEC upon its request.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115" w:type="dxa"/>
        <w:jc w:val="left"/>
        <w:tblInd w:w="0" w:type="dxa"/>
        <w:tblLayout w:type="fixed"/>
        <w:tblCellMar>
          <w:top w:w="0" w:type="dxa"/>
          <w:left w:w="0" w:type="dxa"/>
          <w:bottom w:w="0" w:type="dxa"/>
          <w:right w:w="0" w:type="dxa"/>
        </w:tblCellMar>
      </w:tblPr>
      <w:tblGrid>
        <w:gridCol w:w="1655"/>
        <w:gridCol w:w="365"/>
        <w:gridCol w:w="3095"/>
      </w:tblGrid>
      <w:tr>
        <w:trPr/>
        <w:tc>
          <w:tcPr>
            <w:tcW w:w="1655" w:type="dxa"/>
            <w:tcBorders/>
            <w:vAlign w:val="center"/>
          </w:tcPr>
          <w:p>
            <w:pPr>
              <w:pStyle w:val="TableContents"/>
              <w:bidi w:val="0"/>
              <w:spacing w:before="0" w:after="283"/>
              <w:jc w:val="both"/>
              <w:rPr/>
            </w:pPr>
            <w:r>
              <w:rPr/>
              <w:t> </w:t>
            </w:r>
          </w:p>
        </w:tc>
        <w:tc>
          <w:tcPr>
            <w:tcW w:w="3460" w:type="dxa"/>
            <w:gridSpan w:val="2"/>
            <w:tcBorders/>
            <w:vAlign w:val="center"/>
          </w:tcPr>
          <w:p>
            <w:pPr>
              <w:pStyle w:val="TableContents"/>
              <w:bidi w:val="0"/>
              <w:spacing w:before="0" w:after="283"/>
              <w:jc w:val="both"/>
              <w:rPr>
                <w:sz w:val="20"/>
              </w:rPr>
            </w:pPr>
            <w:r>
              <w:rPr>
                <w:sz w:val="20"/>
              </w:rPr>
              <w:t>SEE ID, Inc.</w:t>
            </w:r>
          </w:p>
        </w:tc>
      </w:tr>
      <w:tr>
        <w:trPr/>
        <w:tc>
          <w:tcPr>
            <w:tcW w:w="165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3095" w:type="dxa"/>
            <w:tcBorders/>
            <w:vAlign w:val="center"/>
          </w:tcPr>
          <w:p>
            <w:pPr>
              <w:pStyle w:val="TableContents"/>
              <w:bidi w:val="0"/>
              <w:spacing w:before="0" w:after="283"/>
              <w:jc w:val="both"/>
              <w:rPr/>
            </w:pPr>
            <w:r>
              <w:rPr/>
              <w:t> </w:t>
            </w:r>
          </w:p>
        </w:tc>
      </w:tr>
      <w:tr>
        <w:trPr/>
        <w:tc>
          <w:tcPr>
            <w:tcW w:w="1655" w:type="dxa"/>
            <w:tcBorders/>
            <w:vAlign w:val="center"/>
          </w:tcPr>
          <w:p>
            <w:pPr>
              <w:pStyle w:val="TableContents"/>
              <w:bidi w:val="0"/>
              <w:spacing w:before="0" w:after="283"/>
              <w:jc w:val="both"/>
              <w:rPr>
                <w:sz w:val="20"/>
              </w:rPr>
            </w:pPr>
            <w:r>
              <w:rPr>
                <w:sz w:val="20"/>
              </w:rPr>
              <w:t>Date: June 25, 2025</w:t>
            </w:r>
          </w:p>
        </w:tc>
        <w:tc>
          <w:tcPr>
            <w:tcW w:w="365" w:type="dxa"/>
            <w:tcBorders/>
            <w:vAlign w:val="center"/>
          </w:tcPr>
          <w:p>
            <w:pPr>
              <w:pStyle w:val="TableContents"/>
              <w:bidi w:val="0"/>
              <w:spacing w:before="0" w:after="283"/>
              <w:jc w:val="both"/>
              <w:rPr>
                <w:sz w:val="20"/>
              </w:rPr>
            </w:pPr>
            <w:r>
              <w:rPr>
                <w:sz w:val="20"/>
              </w:rPr>
              <w:t>By: </w:t>
            </w:r>
          </w:p>
        </w:tc>
        <w:tc>
          <w:tcPr>
            <w:tcW w:w="3095" w:type="dxa"/>
            <w:tcBorders>
              <w:bottom w:val="single" w:sz="12" w:space="0" w:color="000000"/>
            </w:tcBorders>
            <w:tcMar>
              <w:bottom w:w="28" w:type="dxa"/>
            </w:tcMar>
            <w:vAlign w:val="center"/>
          </w:tcPr>
          <w:p>
            <w:pPr>
              <w:pStyle w:val="TableContents"/>
              <w:bidi w:val="0"/>
              <w:spacing w:before="0" w:after="283"/>
              <w:jc w:val="both"/>
              <w:rPr>
                <w:i/>
                <w:sz w:val="20"/>
              </w:rPr>
            </w:pPr>
            <w:r>
              <w:rPr>
                <w:i/>
                <w:sz w:val="20"/>
              </w:rPr>
              <w:t>/s/ Edmund Nabrotsky</w:t>
            </w:r>
          </w:p>
        </w:tc>
      </w:tr>
      <w:tr>
        <w:trPr/>
        <w:tc>
          <w:tcPr>
            <w:tcW w:w="165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3095" w:type="dxa"/>
            <w:tcBorders/>
            <w:vAlign w:val="center"/>
          </w:tcPr>
          <w:p>
            <w:pPr>
              <w:pStyle w:val="TableContents"/>
              <w:bidi w:val="0"/>
              <w:spacing w:before="0" w:after="283"/>
              <w:jc w:val="both"/>
              <w:rPr>
                <w:sz w:val="20"/>
              </w:rPr>
            </w:pPr>
            <w:r>
              <w:rPr>
                <w:sz w:val="20"/>
              </w:rPr>
              <w:t>Edmund Nabrotsky</w:t>
            </w:r>
          </w:p>
        </w:tc>
      </w:tr>
      <w:tr>
        <w:trPr/>
        <w:tc>
          <w:tcPr>
            <w:tcW w:w="165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3095" w:type="dxa"/>
            <w:tcBorders/>
            <w:vAlign w:val="center"/>
          </w:tcPr>
          <w:p>
            <w:pPr>
              <w:pStyle w:val="TableContents"/>
              <w:bidi w:val="0"/>
              <w:spacing w:before="0" w:after="283"/>
              <w:jc w:val="both"/>
              <w:rPr>
                <w:sz w:val="20"/>
              </w:rPr>
            </w:pPr>
            <w:r>
              <w:rPr>
                <w:sz w:val="20"/>
              </w:rPr>
              <w:t>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7" w:name="ea024660701ex3-1_cidhold.htm"/>
      <w:bookmarkStart w:id="28" w:name="ksea024660701ex31_cidhold"/>
      <w:bookmarkEnd w:id="27"/>
      <w:bookmarkEnd w:id="28"/>
      <w:r>
        <w:rPr>
          <w:rFonts w:ascii="Times New Roman;Times;Serif" w:hAnsi="Times New Roman;Times;Serif"/>
          <w:b/>
          <w:i w:val="false"/>
          <w:caps w:val="false"/>
          <w:smallCaps w:val="false"/>
          <w:sz w:val="20"/>
        </w:rPr>
        <w:t>Exhibit 3.1</w:t>
      </w:r>
      <w:r>
        <w:br w:type="page"/>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u w:val="single"/>
        </w:rPr>
      </w:pPr>
      <w:r>
        <w:rPr>
          <w:rFonts w:ascii="Times New Roman;Times;Serif" w:hAnsi="Times New Roman;Times;Serif"/>
          <w:b/>
          <w:i w:val="false"/>
          <w:caps w:val="false"/>
          <w:smallCaps w:val="false"/>
          <w:sz w:val="24"/>
          <w:u w:val="single"/>
        </w:rPr>
        <w:t>Delaware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State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64"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 CHARUNI PATIBANDA-SANCHEZ, SECRETARY OF STATE OF THE STATE OF DELAWARE, DO HEREBY CERTIFY THE ATTACHED IS A TRUE AND CORRECT COPY OF THE RESTATED CERTIFICATE OF “CID HOLDCO, INC.”, FILED IN THIS OFFICE ON THE EIGHTEENTH DAY OF JUNE, A.D. 2025, AT 2:21 O’CLOCK P.M.</w:t>
      </w:r>
    </w:p>
    <w:p>
      <w:pPr>
        <w:pStyle w:val="TextBody"/>
        <w:bidi w:val="0"/>
        <w:spacing w:before="0" w:after="0"/>
        <w:ind w:left="0" w:right="0" w:hanging="0"/>
        <w:jc w:val="left"/>
        <w:rPr>
          <w:caps w:val="false"/>
          <w:smallCaps w:val="false"/>
        </w:rPr>
      </w:pPr>
      <w:r>
        <w:rPr>
          <w:caps w:val="false"/>
          <w:smallCaps w:val="false"/>
        </w:rPr>
        <w:t> </w:t>
      </w:r>
    </w:p>
    <w:tbl>
      <w:tblPr>
        <w:tblW w:w="9529" w:type="dxa"/>
        <w:jc w:val="left"/>
        <w:tblInd w:w="0" w:type="dxa"/>
        <w:tblLayout w:type="fixed"/>
        <w:tblCellMar>
          <w:top w:w="0" w:type="dxa"/>
          <w:left w:w="0" w:type="dxa"/>
          <w:bottom w:w="0" w:type="dxa"/>
          <w:right w:w="0" w:type="dxa"/>
        </w:tblCellMar>
      </w:tblPr>
      <w:tblGrid>
        <w:gridCol w:w="2487"/>
        <w:gridCol w:w="3472"/>
        <w:gridCol w:w="3570"/>
      </w:tblGrid>
      <w:tr>
        <w:trPr/>
        <w:tc>
          <w:tcPr>
            <w:tcW w:w="2487" w:type="dxa"/>
            <w:tcBorders/>
            <w:vAlign w:val="center"/>
          </w:tcPr>
          <w:p>
            <w:pPr>
              <w:pStyle w:val="TableContents"/>
              <w:bidi w:val="0"/>
              <w:spacing w:before="0" w:after="283"/>
              <w:jc w:val="left"/>
              <w:rPr/>
            </w:pPr>
            <w:r>
              <w:rPr/>
              <w:t> </w:t>
            </w:r>
          </w:p>
        </w:tc>
        <w:tc>
          <w:tcPr>
            <w:tcW w:w="3472" w:type="dxa"/>
            <w:tcBorders/>
            <w:vAlign w:val="center"/>
          </w:tcPr>
          <w:p>
            <w:pPr>
              <w:pStyle w:val="TableContents"/>
              <w:bidi w:val="0"/>
              <w:spacing w:before="0" w:after="283"/>
              <w:jc w:val="left"/>
              <w:rPr/>
            </w:pPr>
            <w:r>
              <w:rPr/>
              <w:t> </w:t>
            </w:r>
          </w:p>
        </w:tc>
        <w:tc>
          <w:tcPr>
            <w:tcW w:w="3570" w:type="dxa"/>
            <w:tcBorders/>
            <w:vAlign w:val="center"/>
          </w:tcPr>
          <w:p>
            <w:pPr>
              <w:pStyle w:val="TableContents"/>
              <w:bidi w:val="0"/>
              <w:spacing w:before="0" w:after="283"/>
              <w:jc w:val="right"/>
              <w:rPr/>
            </w:pPr>
            <w:r>
              <w:rPr/>
              <w:drawing>
                <wp:inline distT="0" distB="0" distL="0" distR="0">
                  <wp:extent cx="2257425"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1"/>
                          <a:stretch>
                            <a:fillRect/>
                          </a:stretch>
                        </pic:blipFill>
                        <pic:spPr bwMode="auto">
                          <a:xfrm>
                            <a:off x="0" y="0"/>
                            <a:ext cx="2257425" cy="800100"/>
                          </a:xfrm>
                          <a:prstGeom prst="rect">
                            <a:avLst/>
                          </a:prstGeom>
                        </pic:spPr>
                      </pic:pic>
                    </a:graphicData>
                  </a:graphic>
                </wp:inline>
              </w:drawing>
            </w:r>
          </w:p>
        </w:tc>
      </w:tr>
      <w:tr>
        <w:trPr/>
        <w:tc>
          <w:tcPr>
            <w:tcW w:w="2487" w:type="dxa"/>
            <w:tcBorders/>
            <w:vAlign w:val="center"/>
          </w:tcPr>
          <w:p>
            <w:pPr>
              <w:pStyle w:val="TableContents"/>
              <w:bidi w:val="0"/>
              <w:spacing w:before="0" w:after="283"/>
              <w:jc w:val="left"/>
              <w:rPr/>
            </w:pPr>
            <w:r>
              <w:rPr/>
              <w:t> </w:t>
            </w:r>
          </w:p>
        </w:tc>
        <w:tc>
          <w:tcPr>
            <w:tcW w:w="3472" w:type="dxa"/>
            <w:tcBorders/>
            <w:vAlign w:val="center"/>
          </w:tcPr>
          <w:p>
            <w:pPr>
              <w:pStyle w:val="TableContents"/>
              <w:bidi w:val="0"/>
              <w:spacing w:before="0" w:after="283"/>
              <w:jc w:val="left"/>
              <w:rPr/>
            </w:pPr>
            <w:r>
              <w:rPr/>
              <w:drawing>
                <wp:inline distT="0" distB="0" distL="0" distR="0">
                  <wp:extent cx="1400175" cy="1390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1400175" cy="1390650"/>
                          </a:xfrm>
                          <a:prstGeom prst="rect">
                            <a:avLst/>
                          </a:prstGeom>
                        </pic:spPr>
                      </pic:pic>
                    </a:graphicData>
                  </a:graphic>
                </wp:inline>
              </w:drawing>
            </w:r>
          </w:p>
        </w:tc>
        <w:tc>
          <w:tcPr>
            <w:tcW w:w="3570" w:type="dxa"/>
            <w:tcBorders/>
            <w:vAlign w:val="center"/>
          </w:tcPr>
          <w:p>
            <w:pPr>
              <w:pStyle w:val="TableContents"/>
              <w:bidi w:val="0"/>
              <w:spacing w:before="0" w:after="283"/>
              <w:jc w:val="left"/>
              <w:rPr/>
            </w:pPr>
            <w:r>
              <w:rPr/>
              <w:t> </w:t>
            </w:r>
          </w:p>
        </w:tc>
      </w:tr>
      <w:tr>
        <w:trPr/>
        <w:tc>
          <w:tcPr>
            <w:tcW w:w="24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3174449 8100</w:t>
            </w:r>
          </w:p>
        </w:tc>
        <w:tc>
          <w:tcPr>
            <w:tcW w:w="3472" w:type="dxa"/>
            <w:tcBorders/>
            <w:vAlign w:val="center"/>
          </w:tcPr>
          <w:p>
            <w:pPr>
              <w:pStyle w:val="TableContents"/>
              <w:bidi w:val="0"/>
              <w:spacing w:before="0" w:after="283"/>
              <w:jc w:val="left"/>
              <w:rPr/>
            </w:pPr>
            <w:r>
              <w:rPr/>
              <w:t> </w:t>
            </w:r>
          </w:p>
        </w:tc>
        <w:tc>
          <w:tcPr>
            <w:tcW w:w="357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Authentication: 203983461</w:t>
            </w:r>
          </w:p>
        </w:tc>
      </w:tr>
      <w:tr>
        <w:trPr/>
        <w:tc>
          <w:tcPr>
            <w:tcW w:w="24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SR# 20253115320</w:t>
            </w:r>
          </w:p>
        </w:tc>
        <w:tc>
          <w:tcPr>
            <w:tcW w:w="3472" w:type="dxa"/>
            <w:tcBorders/>
            <w:vAlign w:val="center"/>
          </w:tcPr>
          <w:p>
            <w:pPr>
              <w:pStyle w:val="TableContents"/>
              <w:bidi w:val="0"/>
              <w:spacing w:before="0" w:after="283"/>
              <w:jc w:val="left"/>
              <w:rPr>
                <w:sz w:val="4"/>
                <w:szCs w:val="4"/>
              </w:rPr>
            </w:pPr>
            <w:r>
              <w:rPr>
                <w:sz w:val="4"/>
                <w:szCs w:val="4"/>
              </w:rPr>
            </w:r>
          </w:p>
        </w:tc>
        <w:tc>
          <w:tcPr>
            <w:tcW w:w="35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Date: 06-18-25</w:t>
            </w:r>
          </w:p>
        </w:tc>
      </w:tr>
      <w:tr>
        <w:trPr/>
        <w:tc>
          <w:tcPr>
            <w:tcW w:w="595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may verify this certificate online at corp.delaware.gov/authver.shtml</w:t>
            </w:r>
          </w:p>
        </w:tc>
        <w:tc>
          <w:tcPr>
            <w:tcW w:w="357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3560" w:type="dxa"/>
        <w:jc w:val="left"/>
        <w:tblInd w:w="0" w:type="dxa"/>
        <w:tblLayout w:type="fixed"/>
        <w:tblCellMar>
          <w:top w:w="0" w:type="dxa"/>
          <w:left w:w="0" w:type="dxa"/>
          <w:bottom w:w="0" w:type="dxa"/>
          <w:right w:w="0" w:type="dxa"/>
        </w:tblCellMar>
      </w:tblPr>
      <w:tblGrid>
        <w:gridCol w:w="3425"/>
        <w:gridCol w:w="60"/>
        <w:gridCol w:w="75"/>
      </w:tblGrid>
      <w:tr>
        <w:trPr/>
        <w:tc>
          <w:tcPr>
            <w:tcW w:w="342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of Delaware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Secretary of State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Division of Corporations</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Delivered 02:21 PM 06/18/2025</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02:21 PM 06/18/2025</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20253115320 - FileNumber 3174449</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 a corporation organized and existing under the laws of the State of Delaware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DOES HEREBY CERTIFY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of the Corporation is “CID HoldCo, Inc.” The original certificate of incorporation was filed with the Secretary of State of the State of Delaware on February 27, 2024 (the “</w:t>
      </w:r>
      <w:r>
        <w:rPr>
          <w:rFonts w:ascii="Times New Roman;Times;Serif" w:hAnsi="Times New Roman;Times;Serif"/>
          <w:b/>
          <w:i w:val="false"/>
          <w:caps w:val="false"/>
          <w:smallCaps w:val="false"/>
          <w:sz w:val="20"/>
        </w:rPr>
        <w:t>Original Certificate</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Amended and Restated Certificate of Incorporation (the “</w:t>
      </w:r>
      <w:r>
        <w:rPr>
          <w:rFonts w:ascii="Times New Roman;Times;Serif" w:hAnsi="Times New Roman;Times;Serif"/>
          <w:b/>
          <w:i w:val="false"/>
          <w:caps w:val="false"/>
          <w:smallCaps w:val="false"/>
          <w:sz w:val="20"/>
        </w:rPr>
        <w:t>Amended and Restated Certificate</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which both restates and amends the provisions of the Original Certificate, was duly adopted in accordance with Sections 228,242 and 245 of the General Corporation Law of the State of Delaware, as amended from time to time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This Amended and Restated Certificate shall become effective on the date of filing with the Secretary of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Certain capitalized terms used in this Amended and Restated Certificate are defined where appropriate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text of the Original Certificate is hereby restated and amended in its entirety to read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corporation is CID HoldCo, Inc.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w:t>
      </w:r>
      <w:r>
        <w:rPr>
          <w:rFonts w:ascii="Times New Roman;Times;Serif" w:hAnsi="Times New Roman;Times;Serif"/>
          <w:b w:val="false"/>
          <w:i w:val="false"/>
          <w:caps w:val="false"/>
          <w:smallCaps w:val="false"/>
          <w:sz w:val="20"/>
        </w:rPr>
        <w:t xml:space="preserve">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Corporation is to engage in any lawful act or activity for which corporations may be organized under the DGCL.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w:t>
      </w:r>
      <w:r>
        <w:rPr>
          <w:rFonts w:ascii="Times New Roman;Times;Serif" w:hAnsi="Times New Roman;Times;Serif"/>
          <w:b w:val="false"/>
          <w:i w:val="false"/>
          <w:caps w:val="false"/>
          <w:smallCaps w:val="false"/>
          <w:sz w:val="20"/>
        </w:rPr>
        <w:t xml:space="preserve"> 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AGENT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Corporation’s registered office in the State of Delaware is 251 Little Falls Drive, in the City of Wilmington, County of New Castle, State of Delaware, 19808, and the name of the Corporation’s registered agent at such address is Corporation Service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Authorized Capital Stock</w:t>
      </w:r>
      <w:r>
        <w:rPr>
          <w:rFonts w:ascii="Times New Roman;Times;Serif" w:hAnsi="Times New Roman;Times;Serif"/>
          <w:b w:val="false"/>
          <w:i w:val="false"/>
          <w:caps w:val="false"/>
          <w:smallCaps w:val="false"/>
          <w:sz w:val="20"/>
        </w:rPr>
        <w:t>. The total number of shares of all classes of capital stock which the Corporation is authorized to issue is 300,000,000 shares, consisting of (a) 290,000,000 shares of common stock, par value $0.0001 per share (the “</w:t>
      </w:r>
      <w:r>
        <w:rPr>
          <w:rFonts w:ascii="Times New Roman;Times;Serif" w:hAnsi="Times New Roman;Times;Serif"/>
          <w:b/>
          <w:i w:val="false"/>
          <w:caps w:val="false"/>
          <w:smallCaps w:val="false"/>
          <w:sz w:val="20"/>
        </w:rPr>
        <w:t xml:space="preserve">Common Stock”) </w:t>
      </w:r>
      <w:r>
        <w:rPr>
          <w:rFonts w:ascii="Times New Roman;Times;Serif" w:hAnsi="Times New Roman;Times;Serif"/>
          <w:b w:val="false"/>
          <w:i w:val="false"/>
          <w:caps w:val="false"/>
          <w:smallCaps w:val="false"/>
          <w:sz w:val="20"/>
        </w:rPr>
        <w:t>and (b) 10,000,000 shares of preferred stock, par value $0.0001 per share (the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xml:space="preserve"> The Preferred Stock may be issued from time to time in one or more series. The Board of Directors of the Corporation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Times New Roman;Times;Serif" w:hAnsi="Times New Roman;Times;Serif"/>
          <w:b/>
          <w:i w:val="false"/>
          <w:caps w:val="false"/>
          <w:smallCaps w:val="false"/>
          <w:sz w:val="20"/>
        </w:rPr>
        <w:t>Preferred Stock Designation”)</w:t>
      </w:r>
      <w:r>
        <w:rPr>
          <w:rFonts w:ascii="Times New Roman;Times;Serif" w:hAnsi="Times New Roman;Times;Serif"/>
          <w:b w:val="false"/>
          <w:i w:val="false"/>
          <w:caps w:val="false"/>
          <w:smallCaps w:val="false"/>
          <w:sz w:val="20"/>
        </w:rPr>
        <w:t xml:space="preserve"> filed pursuant to the DGCL, and the Board is hereby expressly vested with the authority to the full extent provided by law, now or hereafter, to adopt any such resolution or resolutions.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Common Stock.</w:t>
      </w:r>
    </w:p>
    <w:p>
      <w:pPr>
        <w:pStyle w:val="TextBody"/>
        <w:bidi w:val="0"/>
        <w:jc w:val="center"/>
        <w:rPr/>
      </w:pPr>
      <w:r>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Voting.</w:t>
      </w:r>
    </w:p>
    <w:p>
      <w:pPr>
        <w:pStyle w:val="TextBody"/>
        <w:bidi w:val="0"/>
        <w:spacing w:before="0" w:after="0"/>
        <w:ind w:left="1159"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otherwise required by law or this Amended and Restated Certificate (including any Preferred Stock Designation), the holders of the shares of Common Stock shall exclusively possess all voting power with respect to the Corporation.</w:t>
      </w:r>
    </w:p>
    <w:p>
      <w:pPr>
        <w:pStyle w:val="TextBody"/>
        <w:bidi w:val="0"/>
        <w:spacing w:before="0" w:after="0"/>
        <w:ind w:left="1159" w:right="0" w:firstLine="2164"/>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as otherwise required by law or this Amended and Restated Certificate (including any Preferred Stock Designation), the holders of shares of Common Stock shall be entitled to one vote for each such share on each matter properly submitted to the stockholders of the Corporation on which the holders of the shares of Common Stock are entitled to vote.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as otherwise required by law or this Amended and Restated Certificate (including any Preferred Stock Designation), at any annual or special meeting of the stockholders of the Corporation, the holders of shares of Common Stock shall have the exclusive right to vote for the election of directors and on all other matters properly submitted to a vote of the stockholders of the Corporation. Notwithstanding the foregoing, except as otherwise required by law or this Amended and Restated Certificate (including any Preferred Stock Designation), the holders of the shares of Common Stock shall not be entitled to vote on any amendment to this Amended and Restated Certificate (including any amendment to any Preferred Stock Designation) that relates solely to the terms of one or more outstanding series of Preferred Stock if the holders of such affected series of Preferred Stock are entitled, either separately or together with the holders of one or more other such series, to vote thereon pursuant to this Amended and Restated Certificate (including any Preferred Stock Designation) or the DGCL.</w:t>
      </w:r>
    </w:p>
    <w:p>
      <w:pPr>
        <w:pStyle w:val="TextBody"/>
        <w:bidi w:val="0"/>
        <w:spacing w:before="0" w:after="0"/>
        <w:ind w:left="1158" w:right="0" w:firstLine="1443"/>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 xml:space="preserve">Dividends. </w:t>
      </w:r>
      <w:r>
        <w:rPr>
          <w:rFonts w:ascii="Times New Roman;Times;Serif" w:hAnsi="Times New Roman;Times;Serif"/>
          <w:b w:val="false"/>
          <w:i w:val="false"/>
          <w:caps w:val="false"/>
          <w:smallCaps w:val="false"/>
          <w:sz w:val="20"/>
        </w:rPr>
        <w:t>Subject to applicable law, the rights, if any, of the holders of any outstanding series of the Preferred Stock, the holders of the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 xml:space="preserve">Liquidation, Dissolution or Winding Up (the Corporation. </w:t>
      </w:r>
      <w:r>
        <w:rPr>
          <w:rFonts w:ascii="Times New Roman;Times;Serif" w:hAnsi="Times New Roman;Times;Serif"/>
          <w:b w:val="false"/>
          <w:i w:val="false"/>
          <w:caps w:val="false"/>
          <w:smallCaps w:val="false"/>
          <w:sz w:val="20"/>
        </w:rPr>
        <w:t>Subject to applicable law, the rights, if any, of the holders of any outstanding series of the Preferred Stock, in the event of any voluntary or involuntary liquidation, dissolution or winding up of the Corporation, after payment or provision for payment of the debts and other liabilities of the Corporation, the holders of the shares of Common Stock shall be entitled to receive all the remaining assets of the Corporation available for distribution to its stockholders, ratably in proportion to the number of shares of Common Stock held by them.</w:t>
      </w:r>
    </w:p>
    <w:p>
      <w:pPr>
        <w:pStyle w:val="TextBody"/>
        <w:bidi w:val="0"/>
        <w:spacing w:before="0" w:after="0"/>
        <w:ind w:left="1156" w:right="0" w:firstLine="72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Rights and Options.</w:t>
      </w:r>
      <w:r>
        <w:rPr>
          <w:rFonts w:ascii="Times New Roman;Times;Serif" w:hAnsi="Times New Roman;Times;Serif"/>
          <w:b w:val="false"/>
          <w:i w:val="false"/>
          <w:caps w:val="false"/>
          <w:smallCaps w:val="false"/>
          <w:sz w:val="20"/>
        </w:rPr>
        <w:t xml:space="preserve">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1882"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Board Powers.</w:t>
      </w:r>
      <w:r>
        <w:rPr>
          <w:rFonts w:ascii="Times New Roman;Times;Serif" w:hAnsi="Times New Roman;Times;Serif"/>
          <w:b w:val="false"/>
          <w:i w:val="false"/>
          <w:caps w:val="false"/>
          <w:smallCaps w:val="false"/>
          <w:sz w:val="20"/>
        </w:rPr>
        <w:t xml:space="preserve"> The business and affairs of the Corporation shall be managed by, or under the direction of, the Board. In addition to the powers and authority expressly conferred upon the Board by statute, this Amended and Restated Certificate or the Bylaws of the Corporation (as they may be amended from time to time, “</w:t>
      </w:r>
      <w:r>
        <w:rPr>
          <w:rFonts w:ascii="Times New Roman;Times;Serif" w:hAnsi="Times New Roman;Times;Serif"/>
          <w:b/>
          <w:i w:val="false"/>
          <w:caps w:val="false"/>
          <w:smallCaps w:val="false"/>
          <w:sz w:val="20"/>
        </w:rPr>
        <w:t xml:space="preserve">Bylaws”), </w:t>
      </w:r>
      <w:r>
        <w:rPr>
          <w:rFonts w:ascii="Times New Roman;Times;Serif" w:hAnsi="Times New Roman;Times;Serif"/>
          <w:b w:val="false"/>
          <w:i w:val="false"/>
          <w:caps w:val="false"/>
          <w:smallCaps w:val="false"/>
          <w:sz w:val="20"/>
        </w:rPr>
        <w:t>the Board is hereby empowered to exercise all such powers and do all such acts and things as may be exercised or done by the Corporation, subject, nevertheless, to the provisions of the DGCL, this Amended and Restated Certificate and any Bylaws adopted by the stockholders of the Corporation; provided, however, that no Bylaws hereafter adopted by the stockholders of the Corporation shall invalidate any prior act of the Board that would have been valid if such Bylaws had not been adopted.</w:t>
      </w:r>
    </w:p>
    <w:p>
      <w:pPr>
        <w:pStyle w:val="TextBody"/>
        <w:bidi w:val="0"/>
        <w:spacing w:before="0" w:after="0"/>
        <w:ind w:left="1882"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Number, Election and Term.</w:t>
      </w:r>
    </w:p>
    <w:p>
      <w:pPr>
        <w:pStyle w:val="TextBody"/>
        <w:bidi w:val="0"/>
        <w:spacing w:before="0" w:after="0"/>
        <w:ind w:left="1156" w:right="0" w:firstLine="144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w:t>
      </w:r>
    </w:p>
    <w:p>
      <w:pPr>
        <w:pStyle w:val="TextBody"/>
        <w:bidi w:val="0"/>
        <w:spacing w:before="0" w:after="0"/>
        <w:ind w:left="1158" w:right="0" w:firstLine="1443"/>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hereof, the Board shall be divided into three classes, as nearly equal in number as possible and designated Class I, Class II and Class III. The Board is authorized to assign members of the Board already in office to Class I, Class II or Class III. The term of the initial Class I Directors shall expire at the first annual meeting of the stockholders of the Corporation following the effectiveness of this Amended and Restated Certificate, the term of the initial Class II Directors shall expire at the second annual meeting of the stockholders of the Corporation following the effectiveness of this Amended and Restated Certificate and the term of the initial Class III Directors shall expire at the third annual meeting of the stockholders of the Corporation following the effectiveness of this Amended and Restated Certificate. At each succeeding annual meeting of the stockholders of the Corporation, beginning with the first annual meeting of the stockholders of the Corporation following the effectiveness of this Amended and Restated Certificate, each of the successors elected to replace the class of directors whose term expires at that annual meeting shall be elected for a three-year term or until the election and qualification of their respective successors in office, subject to their earlier death, resignation or removal. Subject to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hereof, if the number of directors that constitute the Board is changed, any increase or decrease shall be apportioned by the Board among the classes so as to maintain the number of directors in each class as nearly equal as possible, but in no case shall a decrease in the number of directors constituting the Board shorten the term of any incumbent director. Subject to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The Board is hereby expressly authorized, by resolution or resolutions thereof, to assign members of the Board already in office to the aforesaid classes at the time this Amended and Restated Certificate (and therefore such classification) becomes effective in accordance with the DGCL.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hereof, a director shall hold office until the annual meeting for the year in which his or her term expires and until his or her successor has been elected and qualified, subject, however, to such director’s earlier death, resignation, retirement, disqualification or removal.</w:t>
      </w:r>
    </w:p>
    <w:p>
      <w:pPr>
        <w:pStyle w:val="TextBody"/>
        <w:bidi w:val="0"/>
        <w:spacing w:before="0" w:after="0"/>
        <w:ind w:left="1158" w:right="0" w:firstLine="1443"/>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and except to the extent that the Bylaws shall so require, the election of directors need not be by written ballot. The holders of shares of Common Stock shall not have cumulative voting rights with regard to election of directors.</w:t>
      </w:r>
    </w:p>
    <w:p>
      <w:pPr>
        <w:pStyle w:val="TextBody"/>
        <w:bidi w:val="0"/>
        <w:spacing w:before="0" w:after="0"/>
        <w:ind w:left="1158" w:right="0" w:firstLine="144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Newly Created Directorships and Vacancies.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hereof,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pStyle w:val="TextBody"/>
        <w:bidi w:val="0"/>
        <w:spacing w:before="0" w:after="0"/>
        <w:ind w:left="1158" w:right="0" w:firstLine="724"/>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Removal.</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hereof, any or all of the directors may be removed from office, but only for cause and only by the affirmative vote of holders of a majority of the voting power of all then outstanding shares of capital stock of the Corporation entitled to vote generally in the election of directors, voting together as a single class, at a meeting called for that purpose.</w:t>
      </w:r>
    </w:p>
    <w:p>
      <w:pPr>
        <w:pStyle w:val="TextBody"/>
        <w:bidi w:val="0"/>
        <w:spacing w:before="0" w:after="0"/>
        <w:ind w:left="1159" w:right="0" w:firstLine="72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Preferred Stock - Directors.</w:t>
      </w:r>
      <w:r>
        <w:rPr>
          <w:rFonts w:ascii="Times New Roman;Times;Serif" w:hAnsi="Times New Roman;Times;Serif"/>
          <w:b w:val="false"/>
          <w:i w:val="false"/>
          <w:caps w:val="false"/>
          <w:smallCaps w:val="false"/>
          <w:sz w:val="20"/>
        </w:rPr>
        <w:t xml:space="preserve"> Notwithstanding any other provision of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Amended and Restated Certificate (including any Preferred Stock Designation) and such directors shall not be included in any of the classes created pursuant to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unless expressly provided by such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Quorum</w:t>
      </w:r>
      <w:r>
        <w:rPr>
          <w:rFonts w:ascii="Times New Roman;Times;Serif" w:hAnsi="Times New Roman;Times;Serif"/>
          <w:b w:val="false"/>
          <w:i w:val="false"/>
          <w:caps w:val="false"/>
          <w:smallCaps w:val="false"/>
          <w:sz w:val="20"/>
        </w:rPr>
        <w:t>. A quorum for the transaction of business by the directors shall be set forth in the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and not in limitation of the powers conferred upon it by law, the Board shall have the power and is expressly authorized to adopt, amend, alter or repeal the Bylaws. The affirmative vote of a majority of the Board shall be required to adopt, amend, alter or repeal the Bylaws. The Bylaws also may be adopted, amended, altered or repealed by the stockholders of the Corporation; provided, however, that in addition to any vote of the holders of any class or series of capital stock of the Corporation required by law or by this Amended and Restated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of the Corporation to adopt, amend, alter or repeal the Bylaws; and provided further, however, that no Bylaws hereafter adopted by the stockholders of the Corporation shall invalidate any prior act of the Board that would have been valid if such Bylaws had not been adopted.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MEETINGS OF STOCKHOLDERS; ACTION BY WRITTEN CONSENT</w:t>
      </w:r>
    </w:p>
    <w:p>
      <w:pPr>
        <w:pStyle w:val="TextBody"/>
        <w:bidi w:val="0"/>
        <w:spacing w:before="0" w:after="0"/>
        <w:ind w:left="1036"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xml:space="preserve"> Subject to the rights, if any, of the holders of any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of the Corporation may not be called by another person or persons.</w:t>
      </w:r>
    </w:p>
    <w:p>
      <w:pPr>
        <w:pStyle w:val="TextBody"/>
        <w:bidi w:val="0"/>
        <w:spacing w:before="0" w:after="0"/>
        <w:ind w:left="1159" w:right="0" w:firstLine="72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Advance Notice.</w:t>
      </w:r>
      <w:r>
        <w:rPr>
          <w:rFonts w:ascii="Times New Roman;Times;Serif" w:hAnsi="Times New Roman;Times;Serif"/>
          <w:b w:val="false"/>
          <w:i w:val="false"/>
          <w:caps w:val="false"/>
          <w:smallCaps w:val="false"/>
          <w:sz w:val="20"/>
        </w:rPr>
        <w:t xml:space="preserve"> Advance notice of stockholder nominations for the election of directors and of business to be brought by stockholders before any meeting of the stockholders of the Corporation shall be given in the manner provided in the Bylaws.</w:t>
      </w:r>
    </w:p>
    <w:p>
      <w:pPr>
        <w:pStyle w:val="TextBody"/>
        <w:bidi w:val="0"/>
        <w:spacing w:before="0" w:after="0"/>
        <w:ind w:left="1159" w:right="0" w:firstLine="72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Action by Written Consent.</w:t>
      </w:r>
      <w:r>
        <w:rPr>
          <w:rFonts w:ascii="Times New Roman;Times;Serif" w:hAnsi="Times New Roman;Times;Serif"/>
          <w:b w:val="false"/>
          <w:i w:val="false"/>
          <w:caps w:val="false"/>
          <w:smallCaps w:val="false"/>
          <w:sz w:val="20"/>
        </w:rPr>
        <w:t xml:space="preserve"> Except as may be otherwise provided for or fixed pursuant to this Amended and Restated Certificate (including any Preferred Stock Designation) relating to the rights of the holders of any outstanding series of Preferred Stock, any action required or permitted to be taken by the stockholders of the Corporation may be taken without a meeting if, before or after the action, a written consent thereto is signed by stockholders holding at least a majority of the voting power, except that if any greater proportion of voting power is required for such action at a meeting, then such greater proportion of written consents shall be required. In no instance where action is authorized by written consent need a meeting of stockholders be called or notice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LIABILITY; INDEMNIFICATION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Limitation of Director and Officer Liability.</w:t>
      </w:r>
      <w:r>
        <w:rPr>
          <w:rFonts w:ascii="Times New Roman;Times;Serif" w:hAnsi="Times New Roman;Times;Serif"/>
          <w:b w:val="false"/>
          <w:i w:val="false"/>
          <w:caps w:val="false"/>
          <w:smallCaps w:val="false"/>
          <w:sz w:val="20"/>
        </w:rPr>
        <w:t xml:space="preserve"> To the fullest extent permitted by law, no director or officer of the Corporation shall be personally liable to the Corporation or its stockholders for monetary damages for breach of fiduciary duty as a director or officer, provided that this Section 8.1 shall not eliminate or limit the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Any amendment, modification or repeal of the foregoing sentence shall not adversely affect any right or protection of a director or officer of the Corporation hereunder in respect of any act or omission occurring prior to the time of such amendment, modification or repeal.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Indemnification and Advancement of Expenses.</w:t>
      </w:r>
    </w:p>
    <w:p>
      <w:pPr>
        <w:pStyle w:val="TextBody"/>
        <w:bidi w:val="0"/>
        <w:spacing w:before="0" w:after="0"/>
        <w:ind w:left="1149" w:right="0" w:firstLine="1452"/>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Times;Serif" w:hAnsi="Times New Roman;Times;Serif"/>
          <w:b/>
          <w:i w:val="false"/>
          <w:caps w:val="false"/>
          <w:smallCaps w:val="false"/>
          <w:sz w:val="20"/>
        </w:rPr>
        <w:t>proceeding</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Times;Serif" w:hAnsi="Times New Roman;Times;Serif"/>
          <w:b/>
          <w:i w:val="false"/>
          <w:caps w:val="false"/>
          <w:smallCaps w:val="false"/>
          <w:sz w:val="20"/>
        </w:rPr>
        <w:t>indemnitee</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against all liability and loss suffered and expenses (including, without limitation, attorneys’ fees, judgments, fines, ERISA excise taxes and penalties and amounts paid in settlement) reasonably incurred by such indemnitee in connection with such proceeding. The Corporation may to the fullest extent not prohibited by applicable law pay the expenses (including attorneys’ fees) incurred by an indemnitee in defending or otherwise participating in any proceeding in advance of its final disposition; provided, however, that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or otherwise. The rights to indemnification and advancement of expenses conferred by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Times New Roman;Times;Serif" w:hAnsi="Times New Roman;Times;Serif"/>
          <w:b w:val="false"/>
          <w:i w:val="false"/>
          <w:caps w:val="false"/>
          <w:smallCaps w:val="false"/>
          <w:sz w:val="20"/>
          <w:u w:val="single"/>
        </w:rPr>
        <w:t>Section 8.2(a)</w:t>
      </w:r>
      <w:r>
        <w:rPr>
          <w:rFonts w:ascii="Times New Roman;Times;Serif" w:hAnsi="Times New Roman;Times;Serif"/>
          <w:b w:val="false"/>
          <w:i w:val="false"/>
          <w:caps w:val="false"/>
          <w:smallCaps w:val="false"/>
          <w:sz w:val="20"/>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rights to indemnification and advancement of expenses conferred on any indemnitee by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shall not be exclusive of any other rights that any indemnitee may have or hereafter acquire under law, this Amended and Restated Certificate, the Bylaws, an agreement, vote of stockholders or disinterested directors, or otherwise, both as to action in such person’s official capacity and as to action in another capacity while holding such office.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repeal or amendment of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by the stockholders of the Corporation or by changes in law, or the adoption of any other provision of this Amended and Restated Certificate inconsistent with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shall not limit the right of the Corporation, to the extent and in the manner authorized or permitted by law, to indemnify and to advance expenses to persons other than indemnitees.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OPPORTUNITY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Corporate Opportunities and Non-Employee Directors.</w:t>
      </w:r>
    </w:p>
    <w:p>
      <w:pPr>
        <w:pStyle w:val="TextBody"/>
        <w:bidi w:val="0"/>
        <w:spacing w:before="0" w:after="0"/>
        <w:ind w:left="1156" w:right="0" w:firstLine="144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recognition and anticipation that members of the Board who are not employees of the Corporation (the “</w:t>
      </w:r>
      <w:r>
        <w:rPr>
          <w:rFonts w:ascii="Times New Roman;Times;Serif" w:hAnsi="Times New Roman;Times;Serif"/>
          <w:b/>
          <w:i w:val="false"/>
          <w:caps w:val="false"/>
          <w:smallCaps w:val="false"/>
          <w:sz w:val="20"/>
        </w:rPr>
        <w:t xml:space="preserve">Non-Employee Directors”) </w:t>
      </w:r>
      <w:r>
        <w:rPr>
          <w:rFonts w:ascii="Times New Roman;Times;Serif" w:hAnsi="Times New Roman;Times;Serif"/>
          <w:b w:val="false"/>
          <w:i w:val="false"/>
          <w:caps w:val="false"/>
          <w:smallCaps w:val="false"/>
          <w:sz w:val="20"/>
        </w:rPr>
        <w:t xml:space="preserve">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w:t>
      </w:r>
      <w:r>
        <w:rPr>
          <w:rFonts w:ascii="Times New Roman;Times;Serif" w:hAnsi="Times New Roman;Times;Serif"/>
          <w:b w:val="false"/>
          <w:i/>
          <w:caps w:val="false"/>
          <w:smallCaps w:val="false"/>
          <w:sz w:val="20"/>
        </w:rPr>
        <w:t>Article IX</w:t>
      </w:r>
      <w:r>
        <w:rPr>
          <w:rFonts w:ascii="Times New Roman;Times;Serif" w:hAnsi="Times New Roman;Times;Serif"/>
          <w:b w:val="false"/>
          <w:i w:val="false"/>
          <w:caps w:val="false"/>
          <w:smallCaps w:val="false"/>
          <w:sz w:val="20"/>
        </w:rPr>
        <w:t xml:space="preserve"> are set forth to regulate and define the conduct of certain affairs of the Corporation with respect to certain classes or categories of business opportunities as they may involve any of the Non-Employee Directors or their respective Affiliates and the powers, rights, duties and liabilities of the Corporation and its directors, officers and stockholders in connection therewith. For purposes of this </w:t>
      </w:r>
      <w:r>
        <w:rPr>
          <w:rFonts w:ascii="Times New Roman;Times;Serif" w:hAnsi="Times New Roman;Times;Serif"/>
          <w:b w:val="false"/>
          <w:i/>
          <w:caps w:val="false"/>
          <w:smallCaps w:val="false"/>
          <w:sz w:val="20"/>
        </w:rPr>
        <w:t>Article IX,</w:t>
      </w:r>
      <w:r>
        <w:rPr>
          <w:rFonts w:ascii="Times New Roman;Times;Serif" w:hAnsi="Times New Roman;Times;Serif"/>
          <w:b w:val="false"/>
          <w:i w:val="false"/>
          <w:caps w:val="false"/>
          <w:smallCaps w:val="false"/>
          <w:sz w:val="20"/>
        </w:rPr>
        <w:t xml:space="preserve"> (i)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shall mean, (a) in respect of each Non-Employee Director, any Person that, directly or indirectly, is controlled by such Non-Employee Director (other than the Corporation and any entity that is controlled by the Corporation) and (b) in respect of the Corporation, any Person that, directly or indirectly, is controlled by the Corporation; and (ii)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shall mean any individual, corporation, general or limited partnership, limited liability company, joint venture, trust, association or any other entity.</w:t>
      </w:r>
    </w:p>
    <w:p>
      <w:pPr>
        <w:pStyle w:val="TextBody"/>
        <w:bidi w:val="0"/>
        <w:spacing w:before="0" w:after="0"/>
        <w:ind w:left="1159" w:right="0" w:firstLine="1442"/>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Non-Employee Director (including any Non-Employee Director who serves as an officer of the Corporation in both his or her director and officer capacities) or his or her Affiliates (such Persons being referred to, collectively, as “</w:t>
      </w:r>
      <w:r>
        <w:rPr>
          <w:rFonts w:ascii="Times New Roman;Times;Serif" w:hAnsi="Times New Roman;Times;Serif"/>
          <w:b/>
          <w:i w:val="false"/>
          <w:caps w:val="false"/>
          <w:smallCaps w:val="false"/>
          <w:sz w:val="20"/>
        </w:rPr>
        <w:t>Identified Persons</w:t>
      </w:r>
      <w:r>
        <w:rPr>
          <w:rFonts w:ascii="Times New Roman;Times;Serif" w:hAnsi="Times New Roman;Times;Serif"/>
          <w:b w:val="false"/>
          <w:i w:val="false"/>
          <w:caps w:val="false"/>
          <w:smallCaps w:val="false"/>
          <w:sz w:val="20"/>
        </w:rPr>
        <w:t>” and, individually, as an “</w:t>
      </w:r>
      <w:r>
        <w:rPr>
          <w:rFonts w:ascii="Times New Roman;Times;Serif" w:hAnsi="Times New Roman;Times;Serif"/>
          <w:b/>
          <w:i w:val="false"/>
          <w:caps w:val="false"/>
          <w:smallCaps w:val="false"/>
          <w:sz w:val="20"/>
        </w:rPr>
        <w:t>Identified Person</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to the fullest extent permitted by law, have any duty to refrain from directly or indirectly (1) engaging in the same or similar business 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w:t>
      </w:r>
      <w:r>
        <w:rPr>
          <w:rFonts w:ascii="Times New Roman;Times;Serif" w:hAnsi="Times New Roman;Times;Serif"/>
          <w:b w:val="false"/>
          <w:i w:val="false"/>
          <w:caps w:val="false"/>
          <w:smallCaps w:val="false"/>
          <w:sz w:val="20"/>
          <w:u w:val="single"/>
        </w:rPr>
        <w:t>Section 9.(fc)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caps w:val="false"/>
          <w:smallCaps w:val="false"/>
          <w:sz w:val="20"/>
        </w:rPr>
        <w:t>Article IX.</w:t>
      </w:r>
      <w:r>
        <w:rPr>
          <w:rFonts w:ascii="Times New Roman;Times;Serif" w:hAnsi="Times New Roman;Times;Serif"/>
          <w:b w:val="false"/>
          <w:i w:val="false"/>
          <w:caps w:val="false"/>
          <w:smallCaps w:val="false"/>
          <w:sz w:val="20"/>
        </w:rPr>
        <w:t xml:space="preserve"> Subject to said </w:t>
      </w:r>
      <w:r>
        <w:rPr>
          <w:rFonts w:ascii="Times New Roman;Times;Serif" w:hAnsi="Times New Roman;Times;Serif"/>
          <w:b w:val="false"/>
          <w:i w:val="false"/>
          <w:caps w:val="false"/>
          <w:smallCaps w:val="false"/>
          <w:sz w:val="20"/>
          <w:u w:val="single"/>
        </w:rPr>
        <w:t>Section 9.(fc)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caps w:val="false"/>
          <w:smallCaps w:val="false"/>
          <w:sz w:val="20"/>
        </w:rPr>
        <w:t>Article IX,</w:t>
      </w:r>
      <w:r>
        <w:rPr>
          <w:rFonts w:ascii="Times New Roman;Times;Serif" w:hAnsi="Times New Roman;Times;Serif"/>
          <w:b w:val="false"/>
          <w:i w:val="false"/>
          <w:caps w:val="false"/>
          <w:smallCaps w:val="false"/>
          <w:sz w:val="20"/>
        </w:rPr>
        <w:t xml:space="preserve">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law, have no duty to communicate or offer such transaction or other business opportunity to the Corporation or any of its Affiliates and, to the fullest extent permitted by law,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or offers or directs such corporate opportunity to another Person.</w:t>
      </w:r>
    </w:p>
    <w:p>
      <w:pPr>
        <w:pStyle w:val="TextBody"/>
        <w:bidi w:val="0"/>
        <w:spacing w:before="0" w:after="0"/>
        <w:ind w:left="1156" w:right="0" w:firstLine="144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Corporation does not renounce its interest in any corporate opportunity offered to any Non-Employee Director (including any Non-Employee Director who serves as an officer of this Corporation) if such opportunity is expressly offered to such person solely in his or her capacity as a director or officer of the Corporation, and the provisions </w:t>
      </w:r>
      <w:r>
        <w:rPr>
          <w:rFonts w:ascii="Times New Roman;Times;Serif" w:hAnsi="Times New Roman;Times;Serif"/>
          <w:b w:val="false"/>
          <w:i w:val="false"/>
          <w:caps w:val="false"/>
          <w:smallCaps w:val="false"/>
          <w:sz w:val="20"/>
          <w:u w:val="single"/>
        </w:rPr>
        <w:t>of Section 9.l(b)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caps w:val="false"/>
          <w:smallCaps w:val="false"/>
          <w:sz w:val="20"/>
        </w:rPr>
        <w:t xml:space="preserve">Article IX </w:t>
      </w:r>
      <w:r>
        <w:rPr>
          <w:rFonts w:ascii="Times New Roman;Times;Serif" w:hAnsi="Times New Roman;Times;Serif"/>
          <w:b w:val="false"/>
          <w:i w:val="false"/>
          <w:caps w:val="false"/>
          <w:smallCaps w:val="false"/>
          <w:sz w:val="20"/>
        </w:rPr>
        <w:t>shall not apply to any such corporate opportunity.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addition to and notwithstanding the foregoing provisions of this </w:t>
      </w:r>
      <w:r>
        <w:rPr>
          <w:rFonts w:ascii="Times New Roman;Times;Serif" w:hAnsi="Times New Roman;Times;Serif"/>
          <w:b w:val="false"/>
          <w:i/>
          <w:caps w:val="false"/>
          <w:smallCaps w:val="false"/>
          <w:sz w:val="20"/>
        </w:rPr>
        <w:t>Article IX</w:t>
      </w:r>
      <w:r>
        <w:rPr>
          <w:rFonts w:ascii="Times New Roman;Times;Serif" w:hAnsi="Times New Roman;Times;Serif"/>
          <w:b w:val="false"/>
          <w:i w:val="false"/>
          <w:caps w:val="false"/>
          <w:smallCaps w:val="false"/>
          <w:sz w:val="20"/>
        </w:rPr>
        <w:t>, a corporate opportunity shall not be deemed to be a potential corporate opportunity for the Corporation if it is a business opportunity that (i) the Corporation is unable, financially or legally, or is not contractually permitted to undertake, (ii) from its nature, is not in the line of the Corporation’s business or is of no practical advantage to the Corporation or (iii) is one in which the Corporation has no interest or reasonable expectancy.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To the fullest extent permitted by law, any Person purchasing or otherwise acquiring any interest in any shares of capital stock of the Corporation shall be deemed to have notice of and to have consented to the provisions of this </w:t>
      </w:r>
      <w:r>
        <w:rPr>
          <w:rFonts w:ascii="Times New Roman;Times;Serif" w:hAnsi="Times New Roman;Times;Serif"/>
          <w:b w:val="false"/>
          <w:i/>
          <w:caps w:val="false"/>
          <w:smallCaps w:val="false"/>
          <w:sz w:val="20"/>
        </w:rPr>
        <w:t>Article IX</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Neither the alteration, amendment, addition to or repeal of this </w:t>
      </w:r>
      <w:r>
        <w:rPr>
          <w:rFonts w:ascii="Times New Roman;Times;Serif" w:hAnsi="Times New Roman;Times;Serif"/>
          <w:b w:val="false"/>
          <w:i/>
          <w:caps w:val="false"/>
          <w:smallCaps w:val="false"/>
          <w:sz w:val="20"/>
        </w:rPr>
        <w:t>Article IX</w:t>
      </w:r>
      <w:r>
        <w:rPr>
          <w:rFonts w:ascii="Times New Roman;Times;Serif" w:hAnsi="Times New Roman;Times;Serif"/>
          <w:b w:val="false"/>
          <w:i w:val="false"/>
          <w:caps w:val="false"/>
          <w:smallCaps w:val="false"/>
          <w:sz w:val="20"/>
        </w:rPr>
        <w:t xml:space="preserve">, nor the adoption of any provision of this Amended and Restated Certificate (including any Preferred Stock Designation) inconsistent with this </w:t>
      </w:r>
      <w:r>
        <w:rPr>
          <w:rFonts w:ascii="Times New Roman;Times;Serif" w:hAnsi="Times New Roman;Times;Serif"/>
          <w:b w:val="false"/>
          <w:i/>
          <w:caps w:val="false"/>
          <w:smallCaps w:val="false"/>
          <w:sz w:val="20"/>
        </w:rPr>
        <w:t>Article IX</w:t>
      </w:r>
      <w:r>
        <w:rPr>
          <w:rFonts w:ascii="Times New Roman;Times;Serif" w:hAnsi="Times New Roman;Times;Serif"/>
          <w:b w:val="false"/>
          <w:i w:val="false"/>
          <w:caps w:val="false"/>
          <w:smallCaps w:val="false"/>
          <w:sz w:val="20"/>
        </w:rPr>
        <w:t xml:space="preserve">, shall eliminate or reduce the effect of this </w:t>
      </w:r>
      <w:r>
        <w:rPr>
          <w:rFonts w:ascii="Times New Roman;Times;Serif" w:hAnsi="Times New Roman;Times;Serif"/>
          <w:b w:val="false"/>
          <w:i/>
          <w:caps w:val="false"/>
          <w:smallCaps w:val="false"/>
          <w:sz w:val="20"/>
        </w:rPr>
        <w:t>Article IX</w:t>
      </w:r>
      <w:r>
        <w:rPr>
          <w:rFonts w:ascii="Times New Roman;Times;Serif" w:hAnsi="Times New Roman;Times;Serif"/>
          <w:b w:val="false"/>
          <w:i w:val="false"/>
          <w:caps w:val="false"/>
          <w:smallCaps w:val="false"/>
          <w:sz w:val="20"/>
        </w:rPr>
        <w:t xml:space="preserve"> in respect of any corporate opportunity first identified or any other matter occurring, or any cause of action, suit or claim that, but for this </w:t>
      </w:r>
      <w:r>
        <w:rPr>
          <w:rFonts w:ascii="Times New Roman;Times;Serif" w:hAnsi="Times New Roman;Times;Serif"/>
          <w:b w:val="false"/>
          <w:i/>
          <w:caps w:val="false"/>
          <w:smallCaps w:val="false"/>
          <w:sz w:val="20"/>
        </w:rPr>
        <w:t>Article IX</w:t>
      </w:r>
      <w:r>
        <w:rPr>
          <w:rFonts w:ascii="Times New Roman;Times;Serif" w:hAnsi="Times New Roman;Times;Serif"/>
          <w:b w:val="false"/>
          <w:i w:val="false"/>
          <w:caps w:val="false"/>
          <w:smallCaps w:val="false"/>
          <w:sz w:val="20"/>
        </w:rPr>
        <w:t>, would accrue or arise, prior to such alteration, amendment, addition, repeal or adoption.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AMENDED AND RESTATED CERTIFICATE OF INCORPORATION</w:t>
      </w:r>
    </w:p>
    <w:p>
      <w:pPr>
        <w:pStyle w:val="TextBody"/>
        <w:bidi w:val="0"/>
        <w:spacing w:before="0" w:after="0"/>
        <w:ind w:left="1158" w:right="0" w:firstLine="724"/>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Corporation reserves the right at any time and from time to time to amend, alter, change or repeal any provision contained in this Amended and Restated Certificate (including any Preferred Stock Designation), and other provisions authorized by the laws of the State of Delaware at the time in force that may be added or inserted, in the manner now or hereafter prescribed by this Amended and Restated Certificate and the DGCL; and, except as set forth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all rights, preferences and privileges of whatever nature herein conferred upon stockholders, directors or any other persons by and pursuant to this Amended and Restated Certificate in its present form or as hereafter amended are granted subject to the right reserved in this </w:t>
      </w:r>
      <w:r>
        <w:rPr>
          <w:rFonts w:ascii="Times New Roman;Times;Serif" w:hAnsi="Times New Roman;Times;Serif"/>
          <w:b w:val="false"/>
          <w:i w:val="false"/>
          <w:caps w:val="false"/>
          <w:smallCaps w:val="false"/>
          <w:sz w:val="20"/>
          <w:u w:val="single"/>
        </w:rPr>
        <w:t>Article XI.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FORUM FOR CERTAIN LAWSUITS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val="false"/>
          <w:i w:val="false"/>
          <w:caps w:val="false"/>
          <w:smallCaps w:val="false"/>
          <w:sz w:val="20"/>
          <w:u w:val="single"/>
        </w:rPr>
        <w:t>Forum.</w:t>
      </w:r>
      <w:r>
        <w:rPr>
          <w:rFonts w:ascii="Times New Roman;Times;Serif" w:hAnsi="Times New Roman;Times;Serif"/>
          <w:b w:val="false"/>
          <w:i w:val="false"/>
          <w:caps w:val="false"/>
          <w:smallCaps w:val="false"/>
          <w:sz w:val="20"/>
        </w:rPr>
        <w:t xml:space="preserve"> Unless the Corporation consents in writing to the selection of an alternative forum, the Court of Chancery of the State of Delaware (the “</w:t>
      </w:r>
      <w:r>
        <w:rPr>
          <w:rFonts w:ascii="Times New Roman;Times;Serif" w:hAnsi="Times New Roman;Times;Serif"/>
          <w:b/>
          <w:i w:val="false"/>
          <w:caps w:val="false"/>
          <w:smallCaps w:val="false"/>
          <w:sz w:val="20"/>
        </w:rPr>
        <w:t>Court of Chancery</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Amended and Restated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Notwithstanding the foregoing, (i) the provisions of this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will not apply to suits brought to enforce any liability or duty created by the Exchange Act or any other claim for which the federal courts have exclusive jurisdiction, and (ii)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xml:space="preserve"> If any action the subject matter of which is within the scope of Section 11.1 immediately above is filed in a court other than a court located within the State of Delaware (a “</w:t>
      </w:r>
      <w:r>
        <w:rPr>
          <w:rFonts w:ascii="Times New Roman;Times;Serif" w:hAnsi="Times New Roman;Times;Serif"/>
          <w:b/>
          <w:i w:val="false"/>
          <w:caps w:val="false"/>
          <w:smallCaps w:val="false"/>
          <w:sz w:val="20"/>
        </w:rPr>
        <w:t>Foreign Action</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in the name of any stockholder, such stockholder shall be deemed to have consented to (i) the personal jurisdiction of the state and federal courts located within the State of Delaware in connection with any action brought in any such court to enforce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(an “</w:t>
      </w:r>
      <w:r>
        <w:rPr>
          <w:rFonts w:ascii="Times New Roman;Times;Serif" w:hAnsi="Times New Roman;Times;Serif"/>
          <w:b/>
          <w:i w:val="false"/>
          <w:caps w:val="false"/>
          <w:smallCaps w:val="false"/>
          <w:sz w:val="20"/>
        </w:rPr>
        <w:t>FSC Enforcement Action</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and (ii) having service of process made upon such stockholder in any such FSC Enforcement Action by service upon such stockholder’s counsel in the Foreign Action as agent for such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If any provision or provisions (or any part thereof) of this Amended and Restated Certificate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Amended and Restated Certificate (including, without limitation, each portion of any sentence of this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w:t>
      </w:r>
      <w:r>
        <w:rPr>
          <w:rFonts w:ascii="Times New Roman;Times;Serif" w:hAnsi="Times New Roman;Times;Serif"/>
          <w:b w:val="false"/>
          <w:i w:val="false"/>
          <w:caps w:val="false"/>
          <w:smallCaps w:val="false"/>
          <w:sz w:val="20"/>
          <w:u w:val="single"/>
        </w:rPr>
        <w:t>Article XI.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11.4 </w:t>
      </w:r>
      <w:r>
        <w:rPr>
          <w:rFonts w:ascii="Times New Roman;Times;Serif" w:hAnsi="Times New Roman;Times;Serif"/>
          <w:b w:val="false"/>
          <w:i w:val="false"/>
          <w:caps w:val="false"/>
          <w:smallCaps w:val="false"/>
          <w:sz w:val="20"/>
          <w:u w:val="single"/>
        </w:rPr>
        <w:t>Deemed Notice.</w:t>
      </w:r>
      <w:r>
        <w:rPr>
          <w:rFonts w:ascii="Times New Roman;Times;Serif" w:hAnsi="Times New Roman;Times;Serif"/>
          <w:b w:val="false"/>
          <w:i w:val="false"/>
          <w:caps w:val="false"/>
          <w:smallCaps w:val="false"/>
          <w:sz w:val="20"/>
        </w:rPr>
        <w:t xml:space="preserve"> Any person or entity purchasing or otherwise acquiring or holding any interest in any security of the Corporation shall be deemed to have notice of and consented to this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CID Holdco, Inc. has caused this Amended and Restated Certificate to be duly executed and acknowledged in its name and on its behalf by an authorized officer as of the date first set forth above.</w:t>
      </w:r>
    </w:p>
    <w:p>
      <w:pPr>
        <w:pStyle w:val="TextBody"/>
        <w:bidi w:val="0"/>
        <w:spacing w:before="0" w:after="0"/>
        <w:ind w:left="5489" w:right="0" w:hanging="0"/>
        <w:jc w:val="left"/>
        <w:rPr>
          <w:caps w:val="false"/>
          <w:smallCaps w:val="false"/>
        </w:rPr>
      </w:pPr>
      <w:r>
        <w:rPr>
          <w:caps w:val="false"/>
          <w:smallCaps w:val="false"/>
        </w:rPr>
        <w:t> </w:t>
      </w:r>
    </w:p>
    <w:tbl>
      <w:tblPr>
        <w:tblW w:w="3450" w:type="dxa"/>
        <w:jc w:val="left"/>
        <w:tblInd w:w="0" w:type="dxa"/>
        <w:tblLayout w:type="fixed"/>
        <w:tblCellMar>
          <w:top w:w="0" w:type="dxa"/>
          <w:left w:w="0" w:type="dxa"/>
          <w:bottom w:w="0" w:type="dxa"/>
          <w:right w:w="0" w:type="dxa"/>
        </w:tblCellMar>
      </w:tblPr>
      <w:tblGrid>
        <w:gridCol w:w="75"/>
        <w:gridCol w:w="365"/>
        <w:gridCol w:w="710"/>
        <w:gridCol w:w="2300"/>
      </w:tblGrid>
      <w:tr>
        <w:trPr/>
        <w:tc>
          <w:tcPr>
            <w:tcW w:w="75" w:type="dxa"/>
            <w:tcBorders/>
            <w:vAlign w:val="center"/>
          </w:tcPr>
          <w:p>
            <w:pPr>
              <w:pStyle w:val="TableContents"/>
              <w:bidi w:val="0"/>
              <w:spacing w:before="0" w:after="283"/>
              <w:jc w:val="left"/>
              <w:rPr/>
            </w:pPr>
            <w:r>
              <w:rPr/>
              <w:t> </w:t>
            </w:r>
          </w:p>
        </w:tc>
        <w:tc>
          <w:tcPr>
            <w:tcW w:w="3375" w:type="dxa"/>
            <w:gridSpan w:val="3"/>
            <w:tcBorders/>
            <w:vAlign w:val="center"/>
          </w:tcPr>
          <w:p>
            <w:pPr>
              <w:pStyle w:val="TableContents"/>
              <w:bidi w:val="0"/>
              <w:spacing w:before="0" w:after="283"/>
              <w:jc w:val="left"/>
              <w:rPr>
                <w:b/>
              </w:rPr>
            </w:pPr>
            <w:r>
              <w:rPr>
                <w:b/>
              </w:rPr>
              <w:t>CID HOLDCO, INC.</w:t>
            </w:r>
          </w:p>
        </w:tc>
      </w:tr>
      <w:tr>
        <w:trPr/>
        <w:tc>
          <w:tcPr>
            <w:tcW w:w="75" w:type="dxa"/>
            <w:tcBorders/>
            <w:vAlign w:val="center"/>
          </w:tcPr>
          <w:p>
            <w:pPr>
              <w:pStyle w:val="TableContents"/>
              <w:bidi w:val="0"/>
              <w:spacing w:before="0" w:after="283"/>
              <w:jc w:val="left"/>
              <w:rPr/>
            </w:pPr>
            <w:r>
              <w:rPr/>
              <w:t> </w:t>
            </w:r>
          </w:p>
        </w:tc>
        <w:tc>
          <w:tcPr>
            <w:tcW w:w="337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010" w:type="dxa"/>
            <w:gridSpan w:val="2"/>
            <w:tcBorders>
              <w:bottom w:val="single" w:sz="12" w:space="0" w:color="000000"/>
            </w:tcBorders>
            <w:tcMar>
              <w:bottom w:w="28" w:type="dxa"/>
            </w:tcMar>
            <w:vAlign w:val="center"/>
          </w:tcPr>
          <w:p>
            <w:pPr>
              <w:pStyle w:val="TableContents"/>
              <w:bidi w:val="0"/>
              <w:spacing w:before="0" w:after="283"/>
              <w:jc w:val="left"/>
              <w:rPr/>
            </w:pPr>
            <w:r>
              <w:rPr/>
              <w:t>/s/ Phyllis W. Newhouse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300" w:type="dxa"/>
            <w:tcBorders/>
            <w:vAlign w:val="center"/>
          </w:tcPr>
          <w:p>
            <w:pPr>
              <w:pStyle w:val="TableContents"/>
              <w:bidi w:val="0"/>
              <w:spacing w:before="0" w:after="283"/>
              <w:jc w:val="left"/>
              <w:rPr/>
            </w:pPr>
            <w:r>
              <w:rPr/>
              <w:t>Phyllis W. Newhouse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Holdings Amended and Restated Certificate of Incorporation]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bdr w:val="single" w:sz="12" w:space="1" w:color="000000"/>
        </w:rPr>
      </w:pPr>
      <w:r>
        <w:rPr>
          <w:bdr w:val="single" w:sz="12" w:space="1" w:color="000000"/>
        </w:rPr>
        <w:t> </w:t>
      </w:r>
    </w:p>
    <w:p>
      <w:pPr>
        <w:pStyle w:val="TextBody"/>
        <w:bidi w:val="0"/>
        <w:spacing w:before="0" w:after="0"/>
        <w:jc w:val="right"/>
        <w:rPr>
          <w:rFonts w:ascii="Times New Roman;Times;Serif" w:hAnsi="Times New Roman;Times;Serif"/>
          <w:b/>
          <w:i w:val="false"/>
          <w:caps w:val="false"/>
          <w:smallCaps w:val="false"/>
          <w:sz w:val="20"/>
        </w:rPr>
      </w:pPr>
      <w:bookmarkStart w:id="29" w:name="ea024660701ex3-2_cidhold.htm"/>
      <w:bookmarkStart w:id="30" w:name="ksea024660701ex32_cidhold"/>
      <w:bookmarkEnd w:id="29"/>
      <w:bookmarkEnd w:id="30"/>
      <w:r>
        <w:rPr>
          <w:rFonts w:ascii="Times New Roman;Times;Serif" w:hAnsi="Times New Roman;Times;Serif"/>
          <w:b/>
          <w:i w:val="false"/>
          <w:caps w:val="false"/>
          <w:smallCaps w:val="false"/>
          <w:sz w:val="20"/>
        </w:rPr>
        <w:t>Exhibit 3.2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Registered Office</w:t>
      </w:r>
      <w:r>
        <w:rPr>
          <w:rFonts w:ascii="Times New Roman;Times;Serif" w:hAnsi="Times New Roman;Times;Serif"/>
          <w:b w:val="false"/>
          <w:i w:val="false"/>
          <w:caps w:val="false"/>
          <w:smallCaps w:val="false"/>
          <w:sz w:val="20"/>
        </w:rPr>
        <w:t>. The registered office of CID HoldCo, Inc. (the “</w:t>
      </w:r>
      <w:r>
        <w:rPr>
          <w:rFonts w:ascii="Times New Roman;Times;Serif" w:hAnsi="Times New Roman;Times;Serif"/>
          <w:b/>
          <w:i/>
          <w:caps w:val="false"/>
          <w:smallCaps w:val="false"/>
          <w:sz w:val="20"/>
        </w:rPr>
        <w:t>Corporation</w:t>
      </w:r>
      <w:r>
        <w:rPr>
          <w:rFonts w:ascii="Times New Roman;Times;Serif" w:hAnsi="Times New Roman;Times;Serif"/>
          <w:b w:val="false"/>
          <w:i w:val="false"/>
          <w:caps w:val="false"/>
          <w:smallCaps w:val="false"/>
          <w:sz w:val="20"/>
        </w:rPr>
        <w:t>”) within the State of Delaware shall be located at either (a) the principal place of business of the Corporation in the State of Delaware or (b) the office of the corporation or individual acting as the Corporation’s registered agent in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Other Offices</w:t>
      </w:r>
      <w:r>
        <w:rPr>
          <w:rFonts w:ascii="Times New Roman;Times;Serif" w:hAnsi="Times New Roman;Times;Serif"/>
          <w:b w:val="false"/>
          <w:i w:val="false"/>
          <w:caps w:val="false"/>
          <w:smallCaps w:val="false"/>
          <w:sz w:val="20"/>
        </w:rPr>
        <w:t>. The Corporation may, in addition to its registered office in the State of Delaware, have such other offices and places of business, both within and outside the State of Delaware, as the Board of Directors of the Corporation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may from time to time determine or as the business and affairs of the Corporation may require.</w:t>
      </w:r>
    </w:p>
    <w:p>
      <w:pPr>
        <w:pStyle w:val="TextBody"/>
        <w:bidi w:val="0"/>
        <w:spacing w:before="0" w:after="0"/>
        <w:ind w:left="0" w:right="0" w:hanging="2"/>
        <w:jc w:val="center"/>
        <w:rPr>
          <w:caps w:val="false"/>
          <w:smallCaps w:val="false"/>
        </w:rPr>
      </w:pPr>
      <w:r>
        <w:rPr>
          <w:caps w:val="false"/>
          <w:smallCaps w:val="false"/>
        </w:rPr>
        <w:t> </w:t>
      </w:r>
    </w:p>
    <w:p>
      <w:pPr>
        <w:pStyle w:val="TextBody"/>
        <w:bidi w:val="0"/>
        <w:spacing w:before="0" w:after="0"/>
        <w:ind w:left="0" w:right="0" w:hanging="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 The annual meeting of stockholders shall be held at such place, either within or without the State of Delaware, and time and on such date as shall be determined by the Board and stated in the notice of the meeting, provided that the Board may in its sole discretion determine that the meeting shall not be held at any place, but may instead be held solely by means of remote communication pursuant to Section 9.5(a). At each annual meeting, the stockholders shall elect those directors of the Corporation to fill any term of a directorship that expires on the date of such annual meeting and may transact any other business as may properly be brought before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Subject to the rights of the holders of any outstanding series of the Preferred Stock, special meetings of stockholders, for any purpose or purposes, may be called only by the Chairman of the Board, the Chief Executive Officer of the Corporation, or the Board pursuant to a resolution adopted by a majority of the Board, and may not be called by any other person or persons. Special meetings of stockholders shall be held at such place, either within or without the State of Delaware, and time and on such date as shall be determined by the Board and stated in the Corporation’s notice of the meeting, provided that the Board may in its sole discretion determine that the meeting shall not be held at any place, but may instead be held solely by means of remote communication pursuant to Section 9.5(a).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Notice of Stockholder Meetings</w:t>
      </w:r>
      <w:r>
        <w:rPr>
          <w:rFonts w:ascii="Times New Roman;Times;Serif" w:hAnsi="Times New Roman;Times;Serif"/>
          <w:b w:val="false"/>
          <w:i w:val="false"/>
          <w:caps w:val="false"/>
          <w:smallCaps w:val="false"/>
          <w:sz w:val="20"/>
        </w:rPr>
        <w:t>. Written notice of each stockholders meeting stating the place, if any, date, and time of the meeting, and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 Section 9.3 to each stockholder entitled to vote thereat as of the record date for determining the stockholders entitled to notice of the meeting, by the Corporation not less than 10 nor more than 60 days before the date of the meeting, unless otherwise required by the General Corporation Law of the State of Delaware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If said notice is for a stockholders meeting other than an annual meeting, it shall in addition state the purpose or purposes for which the meeting is called, and the business transacted at such meeting shall be limited to the matters so stated in the Corporation’s notice of meeting (or any supplement thereto). Any meeting of stockholders as to which notice has been given may be postponed, and any special meeting of stockholders as to which notice has been given may be cancelled, by the Board upon public announcement (as defined in Section 2.7(c)) given before the date previously scheduled for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Quorum</w:t>
      </w:r>
      <w:r>
        <w:rPr>
          <w:rFonts w:ascii="Times New Roman;Times;Serif" w:hAnsi="Times New Roman;Times;Serif"/>
          <w:b w:val="false"/>
          <w:i w:val="false"/>
          <w:caps w:val="false"/>
          <w:smallCaps w:val="false"/>
          <w:sz w:val="20"/>
        </w:rPr>
        <w:t>. Except as otherwise provided by applicable law, the Certificate of Incorporation of the Corporation, as the same may be amended or restated from time to time (the “</w:t>
      </w:r>
      <w:r>
        <w:rPr>
          <w:rFonts w:ascii="Times New Roman;Times;Serif" w:hAnsi="Times New Roman;Times;Serif"/>
          <w:b/>
          <w:i/>
          <w:caps w:val="false"/>
          <w:smallCaps w:val="false"/>
          <w:sz w:val="20"/>
        </w:rPr>
        <w:t>Certificate of Incorporation</w:t>
      </w:r>
      <w:r>
        <w:rPr>
          <w:rFonts w:ascii="Times New Roman;Times;Serif" w:hAnsi="Times New Roman;Times;Serif"/>
          <w:b w:val="false"/>
          <w:i w:val="false"/>
          <w:caps w:val="false"/>
          <w:smallCaps w:val="false"/>
          <w:sz w:val="20"/>
        </w:rPr>
        <w:t>”) or these Bylaws, the presence, in person or by proxy, at a stockholders meeting of the holders of shares of outstanding capital stock of the Corporation representing a majority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If a quorum shall not be present or represented by proxy at any meeting of the stockholders of the Corporation, the chairman of the meeting may adjourn the meeting from time to time in the manner provided in Section 2.6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a majority of the voting power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such other corporation to vote shares held by it in a fiduciary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Voting and Proxies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Voting List</w:t>
      </w:r>
      <w:r>
        <w:rPr>
          <w:rFonts w:ascii="Times New Roman;Times;Serif" w:hAnsi="Times New Roman;Times;Serif"/>
          <w:b w:val="false"/>
          <w:i w:val="false"/>
          <w:caps w:val="false"/>
          <w:smallCaps w:val="false"/>
          <w:sz w:val="20"/>
        </w:rPr>
        <w:t>. The officer who has charge of the stock ledger of the Corporation shall prepare and make, at least 10 days before every meeting of stockholders, a complete list of the stockholders of record entitled to vote at such meeting, arranged in alphabetical order and showing the address and the number of shares registered in the name of each stockholder. Nothing contained in this Section 2.5(a)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examined by any stockholder who is present. If a meeting of stockholders is to be held solely by means of remote communication as permitted by Section 9.5(a), the list shall be open to the examination of any stockholder during the whole time of the meeting on a reasonably accessible electronic network, and the information required to access such list shall be provided with the notice of meeting. The stock ledger shall be the only evidence as to who are the stockholders entitled to examine the list required by this Section 2.5(a) or to vote in person or by proxy at any meeting of stockholders.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Manner of Voting</w:t>
      </w:r>
      <w:r>
        <w:rPr>
          <w:rFonts w:ascii="Times New Roman;Times;Serif" w:hAnsi="Times New Roman;Times;Serif"/>
          <w:b w:val="false"/>
          <w:i w:val="false"/>
          <w:caps w:val="false"/>
          <w:smallCaps w:val="false"/>
          <w:sz w:val="20"/>
        </w:rPr>
        <w:t>. At any stockholders meeting, every stockholder entitled to vote may vote in person or by proxy. If authorized by the Board, the voting by stockholders or proxy holders at any meeting conducted by remote communication may be effected by a ballot submitted by electronic transmission (as defined in Section 9.3), provided that any such electronic transmission must either set forth or be submitted with information from which the Corporation can determine that the electronic transmission was authorized by the stockholder or proxy holder. The Board, in its discretion, or the chairman of the meeting of stockholders, in such person’s discretion, may require that any votes cast at such meeting shall be cast by written ballot.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Proxies</w:t>
      </w:r>
      <w:r>
        <w:rPr>
          <w:rFonts w:ascii="Times New Roman;Times;Serif" w:hAnsi="Times New Roman;Times;Serif"/>
          <w:b w:val="false"/>
          <w:i w:val="false"/>
          <w:caps w:val="false"/>
          <w:smallCaps w:val="false"/>
          <w:sz w:val="20"/>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of the Corporation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electronic transmission must either set forth or be submitted with information from which it can be determined that the electronic transmission was authorized by the stockholder. 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Required Vote</w:t>
      </w:r>
      <w:r>
        <w:rPr>
          <w:rFonts w:ascii="Times New Roman;Times;Serif" w:hAnsi="Times New Roman;Times;Serif"/>
          <w:b w:val="false"/>
          <w:i w:val="false"/>
          <w:caps w:val="false"/>
          <w:smallCaps w:val="false"/>
          <w:sz w:val="20"/>
        </w:rPr>
        <w:t>. Subject to the rights of the holders of one or more series of preferred stock of the Corporation (“</w:t>
      </w: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voting separately by class or series, to elect directors pursuant to the terms of one or more series of Preferred Stock, at all meetings of stockholders at which a quorum is present, the election of directors shall be determined by a plurality of the votes cast by the stockholders present in person or represented by proxy at the meeting and entitled to vote thereon, unless a different vote is required by the Certificate of Incorporation, in which case the Certificate of Incorporation shall govern and control the election of directors. All other matters presented to the stockholders at a meeting at which a quorum is present shall be determined by the vote of a majority of the votes cast by the stockholders present in person or represented by proxy at the meeting and entitled to vote thereon, unless the matter is one upon which, by applicable law, the Certificate of Incorporation, these Bylaws or applicable stock exchange rules, a different vote is required, in which case such provision shall govern and control the decision of such matter.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Inspectors of Election</w:t>
      </w:r>
      <w:r>
        <w:rPr>
          <w:rFonts w:ascii="Times New Roman;Times;Serif" w:hAnsi="Times New Roman;Times;Serif"/>
          <w:b w:val="false"/>
          <w:i w:val="false"/>
          <w:caps w:val="false"/>
          <w:smallCaps w:val="false"/>
          <w:sz w:val="20"/>
        </w:rPr>
        <w:t>. The Board may, and shall if required by law, in advance of any meeting of stockholders, appoint one or more persons as inspectors of election, who may be employees of the Corporation or otherwise serve the Corporation in other capacities, to act at such meeting of stockholders or any adjournment thereof and to make a written report thereof. The Board may designate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Adjournments</w:t>
      </w:r>
      <w:r>
        <w:rPr>
          <w:rFonts w:ascii="Times New Roman;Times;Serif" w:hAnsi="Times New Roman;Times;Serif"/>
          <w:b w:val="false"/>
          <w:i w:val="false"/>
          <w:caps w:val="false"/>
          <w:smallCaps w:val="false"/>
          <w:sz w:val="20"/>
        </w:rPr>
        <w:t>. Any meeting of stockholders, annual or special, may be adjourned by the chairman of the meeting, from time to time, whether or not there is a quorum, to reconvene at the same or some other place. Notice need not be given of any such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Section 9.2, and shall give notice of the adjourned meeting to each stockholder of record entitled to vote at such adjourned meeting as of the record date fixed for notice of such adjourned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Advance Notice for Business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Annual Meetings of Stockholders</w:t>
      </w:r>
      <w:r>
        <w:rPr>
          <w:rFonts w:ascii="Times New Roman;Times;Serif" w:hAnsi="Times New Roman;Times;Serif"/>
          <w:b w:val="false"/>
          <w:i w:val="false"/>
          <w:caps w:val="false"/>
          <w:smallCaps w:val="false"/>
          <w:sz w:val="20"/>
        </w:rPr>
        <w:t>. No business (other than nominations of individual(s) for election to the Board) may be transacted at an annual meeting of stockholders, other than business that is either (i) specified in the Corporation’s notice of meeting (or any supplement thereto), (ii) otherwise properly brought before the annual meeting by or at the direction of the Board or (iii) otherwise properly brought before the annual meeting by any stockholder of the Corporation (x) who is a stockholder of record on the date of the giving of the notice provided for in this Section 2.7(a) and on the record date for the determination of stockholders entitled to vote at such annual meeting and (y) who complies with the notice procedures set forth in this Section 2.7(a). Notwithstanding anything in this Section 2.7(a) to the contrary, only persons nominated for election as a director to fill any term of a directorship that expires on the date of the annual meeting pursuant to Section 3.2 will be considered for election at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addition to any other applicable requirements, for business (other than nominations) to be properly brought before an annual meeting by a stockholder, such stockholder must have given timely notice thereof in proper written form to the Secretary of the Corporation and such business must otherwise be a proper matter for stockholder action. Subject to Section 2.7(a)(iii), a stockholder’s notice to the Secretary with respect to such business, to be timely, must be received by the Secretary at the principal executive offices of the Corporation not later than the close of business on the 90th day nor earlier than the close of business on the 120th day before the anniversary date of the immediately preceding annual meeting of stockholders; provided, however, that in the event that the annual meeting is called for a date that is not within 30 days before or after such anniversary date, notice by the stockholder to be timely must be so received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(or extend any time period) for the giving of a stockholder’s notice as described in this Section 2.7(a).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be in proper written form, a stockholder’s notice to the Secretary with respect to any business (other than nominations) must set forth as to each such matter such stockholder proposes to bring before the annual meeting (A) a brief description of the business desired to be brought before the annual meeting, the text of the proposal or business (including the text of any resolutions proposed for consideration and in the event such business includes a proposal to amend these Bylaws, the language of the proposed amendment) and the reasons for conducting such business at the annual meeting, (B) the name and record address of such stockholder and the name and address of the beneficial owner, if any, on whose behalf the proposal is made, (C) the class or series and number of shares of capital stock of the Corporation that are owned beneficially and of record by such stockholder and by the beneficial owner, if any, on whose behalf the proposal is made, (D) a description of all arrangements or understandings between such stockholder and the beneficial owner, if any, on whose behalf the proposal is made and any other person or persons (including their names) in connection with the proposal of such business by such stockholder, (E) any material interest of such stockholder and the beneficial owner, if any, on whose behalf the proposal is made in such business and (F) a representation that such stockholder intends to appear in person or by proxy at the annual meeting to bring such business before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foregoing notice requirements of this Section 2.7(a) shall be deemed satisfied by a stockholder as to any proposal (other than nominations) if the stockholder has notified the Corporation of such stockholder’s intention to present such proposal at an annual meeting in compliance with Rule 14a-8 (or any successor thereof)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such stockholder has complied with the requirements of such Rule for inclusion of such proposal in a proxy statement prepared by the Corporation to solicit proxies for such annual meeting. No business shall be conducted at the annual meeting of stockholders except business brought before the annual meeting in accordance with the procedures set forth in this Section 2.7(a), provided, however, that once business has been properly brought before the annual meeting in accordance with such procedures, nothing in this Section 2.7(a) shall be deemed to preclude discussion by any stockholder of any such business. If the Board or the chairman of the annual meeting determines that any stockholder proposal was not made in accordance with the provisions of this Section 2.7(a) or that the information provided in a stockholder’s notice does not satisfy the information requirements of this Section 2.7(a), such proposal shall not be presented for action at the annual meeting. Notwithstanding the foregoing provisions of this Section 2.7(a),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addition to the provisions of this Section 2.7(a), a stockholder shall also comply with all applicable requirements of the Exchange Act and the rules and regulations thereunder with respect to the matters set forth herein. Nothing in this Section 2.7(a) shall be deemed to affect any rights of stockholders to request inclusion of proposals in the Corporation’s proxy statement pursuant to Rule 14a-8 under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Special Meetings of Stockholders</w:t>
      </w:r>
      <w:r>
        <w:rPr>
          <w:rFonts w:ascii="Times New Roman;Times;Serif" w:hAnsi="Times New Roman;Times;Serif"/>
          <w:b w:val="false"/>
          <w:i w:val="false"/>
          <w:caps w:val="false"/>
          <w:smallCaps w:val="false"/>
          <w:sz w:val="20"/>
        </w:rPr>
        <w:t>. 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only pursuant to Section 3.2.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Public Announcement</w:t>
      </w:r>
      <w:r>
        <w:rPr>
          <w:rFonts w:ascii="Times New Roman;Times;Serif" w:hAnsi="Times New Roman;Times;Serif"/>
          <w:b w:val="false"/>
          <w:i w:val="false"/>
          <w:caps w:val="false"/>
          <w:smallCaps w:val="false"/>
          <w:sz w:val="20"/>
        </w:rPr>
        <w:t>. For purposes of these Bylaws, “</w:t>
      </w:r>
      <w:r>
        <w:rPr>
          <w:rFonts w:ascii="Times New Roman;Times;Serif" w:hAnsi="Times New Roman;Times;Serif"/>
          <w:b/>
          <w:i/>
          <w:caps w:val="false"/>
          <w:smallCaps w:val="false"/>
          <w:sz w:val="20"/>
        </w:rPr>
        <w:t>public announcement</w:t>
      </w:r>
      <w:r>
        <w:rPr>
          <w:rFonts w:ascii="Times New Roman;Times;Serif" w:hAnsi="Times New Roman;Times;Serif"/>
          <w:b w:val="false"/>
          <w:i w:val="false"/>
          <w:caps w:val="false"/>
          <w:smallCaps w:val="false"/>
          <w:sz w:val="20"/>
        </w:rPr>
        <w: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Conduct of Meetings</w:t>
      </w:r>
      <w:r>
        <w:rPr>
          <w:rFonts w:ascii="Times New Roman;Times;Serif" w:hAnsi="Times New Roman;Times;Serif"/>
          <w:b w:val="false"/>
          <w:i w:val="false"/>
          <w:caps w:val="false"/>
          <w:smallCaps w:val="false"/>
          <w:sz w:val="20"/>
        </w:rPr>
        <w:t>. The chairman of each annual and special meeting of stockholders shall be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Board may adopt such rules and regulations for the conduct of the meeting of stockholders as it shall deem appropriate. Except to the extent inconsistent with these Bylaws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(e) the date and time of the opening and the closing of the polls for each matter upon which the stockholders will vote at a meeting; and (f) limitations on the time allotted to questions or comments by participants.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Consents in Lieu of Meeting</w:t>
      </w:r>
      <w:r>
        <w:rPr>
          <w:rFonts w:ascii="Times New Roman;Times;Serif" w:hAnsi="Times New Roman;Times;Serif"/>
          <w:b w:val="false"/>
          <w:i w:val="false"/>
          <w:caps w:val="false"/>
          <w:smallCaps w:val="false"/>
          <w:sz w:val="20"/>
        </w:rPr>
        <w:t>. Unless otherwise provided by the Certificate of Incorporation, any action required to be taken at any annual or special meeting of stockholders, or any action which may be taken at any annual or special meeting of such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Every written consent shall bear the date of signature of each stockholder who signs the consent, and no written consent shall be effective to take the corporate action referred to therein unless, within 60 days of the earliest dated consent delivered in the manner required by this Section 2.9 and the DGCL to the Corporation, written consents signed by a sufficient number of holders to take action are delivered to the Corporation by delivery to its registered office in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The business and affairs of the Corporation shall be managed by or under the direction of the Board, which may exercise all such powers of the Corporation and do all such lawful acts and things as are not by statute or by the Certificate of Incorporation or by these Bylaws required to be exercised or done by the stockholders. Directors need not be stockholders or residents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Advance Notice for Nomination of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Only persons who are nominated in accordance with the following procedures shall be eligible for election as directors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may be made (i) by or at the direction of the Board or (ii) by any stockholder of the Corporation (y) who is a stockholder of record on the date of the giving of the notice provided for in this Section 3.2 and on the record date for the determination of stockholders entitled to vote at such meeting and (z) who complies with the notice procedures set forth in this Section 3.2.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to any other applicable requirements, for a nomination to be made by a stockholder, such stockholder must have given timely notice thereof in proper written form to the Secretary of the Corporation. To be timely, a stockholder’s notice to the Secretary must be received by the Secretary at the principal executive offices of the Corporation (i) in the case of an annual meeting, not later than the close of business on the 90th day nor earlier than the close of business on the 120th day before the anniversary date of the immediately preceding annual meeting of stockholders; provided, however, that in the event that the annual meeting is called for a date that is not within 30 days before or after such anniversary date, notice by the stockholder to be timely must be so received not earlier than the close of business on the 120th day before the meeting and not later than the later of (y) the close of business on the 90th day before the meeting or (z) the close of business on the 10th day following the day on which public announcement of the date of the annual meeting was first made by the Corporation; and (ii) in the case of a special meeting of stockholders called for the purpose of electing directors, not later than the close of business on the 10th day following the day on which public announcement of the date of the special meeting is first made by the Corporation. In no event shall the public announcement of an adjournment or postponement of an annual meeting or special meeting commence a new time period (or extend any time period) for the giving of a stockholder’s notice as described in this Section 3.2.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in paragraph (b) to the contrary, in the event that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 Section 3.2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pStyle w:val="TextBody"/>
        <w:bidi w:val="0"/>
        <w:spacing w:before="0" w:after="0"/>
        <w:ind w:left="0" w:right="0" w:hanging="71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be in proper written form, a stockholder’s notice to the Secretary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if any, that are owned beneficially or of record by the person and (D)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without regard to the application of the Exchange Act to either the nomination or the Corporation; and (ii) as to the stockholder giving the notice (A) the name and record address of such stockholder as they appear on the Corporation’s books and the name and address of the beneficial owner, if any, on whose behalf the nomination is made, (B) the class or series and number of shares of capital stock of the Corporation that are owned beneficially and of record by such stockholder and the beneficial owner, if any, on whose behalf the nomination is made, (C) a description of all arrangements or understandings relating to the nomination to be made by such stockholder among such stockholder, the beneficial owner, if any, on whose behalf the nomination is made, each proposed nominee and any other person or persons (including their names), (D) a representation that such stockholder intends to appear in person or by proxy at the meeting to nominate the persons named in its notice, (E) a statement of the stockholder’s intent to comply with Rule 14a-19, including the solicitation of at least 67% of the voting power of outstanding common shares, and (F)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Board or the chairman of the meeting of stockholders determines that any nomination was not made in accordance with the provisions of this Section 3.2 or that the information provided in a stockholder’s notice does not satisfy the information requirements of this Section 3.2, then such nomination shall not be considered at the meeting in question. Notwithstanding the foregoing provisions of this Section 3.2,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addition to the provisions of this Section 3.2, a stockholder shall also comply with all of the applicable requirements of the Exchange Act and the rules and regulations thereunder with respect to the matters set forth herein, including without limitation Rule 14a-19. If such requirements are not met, the Corporation may disregard the stockholder nominee. Nothing in this Section 3.2 shall be deemed to affect any rights of the holders of Preferred Stock to elect directors pursuant to the Certificate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 Unless otherwise restricted by the Certificate of Incorporation or these Bylaws, the Board shall have the authority to fix the compensation of directors, including for service on a committee of the Board.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reimbursement of expenses for service on the committee.</w:t>
      </w:r>
    </w:p>
    <w:p>
      <w:pPr>
        <w:pStyle w:val="TextBody"/>
        <w:bidi w:val="0"/>
        <w:spacing w:before="0" w:after="0"/>
        <w:ind w:left="0" w:right="0" w:hanging="2"/>
        <w:jc w:val="center"/>
        <w:rPr>
          <w:caps w:val="false"/>
          <w:smallCaps w:val="false"/>
        </w:rPr>
      </w:pPr>
      <w:r>
        <w:rPr>
          <w:caps w:val="false"/>
          <w:smallCaps w:val="false"/>
        </w:rPr>
        <w:t> </w:t>
      </w:r>
    </w:p>
    <w:p>
      <w:pPr>
        <w:pStyle w:val="TextBody"/>
        <w:bidi w:val="0"/>
        <w:spacing w:before="0" w:after="0"/>
        <w:ind w:left="0" w:right="0" w:hanging="2"/>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2"/>
        <w:jc w:val="center"/>
        <w:rPr>
          <w:caps w:val="false"/>
          <w:smallCaps w:val="false"/>
        </w:rPr>
      </w:pPr>
      <w:r>
        <w:rPr>
          <w:caps w:val="false"/>
          <w:smallCaps w:val="false"/>
        </w:rPr>
        <w:t> </w:t>
      </w:r>
    </w:p>
    <w:p>
      <w:pPr>
        <w:pStyle w:val="TextBody"/>
        <w:bidi w:val="0"/>
        <w:spacing w:before="0" w:after="0"/>
        <w:ind w:left="0" w:right="0" w:hanging="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Annual Meetings</w:t>
      </w:r>
      <w:r>
        <w:rPr>
          <w:rFonts w:ascii="Times New Roman;Times;Serif" w:hAnsi="Times New Roman;Times;Serif"/>
          <w:b w:val="false"/>
          <w:i w:val="false"/>
          <w:caps w:val="false"/>
          <w:smallCaps w:val="false"/>
          <w:sz w:val="20"/>
        </w:rPr>
        <w:t>. The Board shall meet as soon as practicable after the adjournment of each annual stockholders meeting at the 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 Section 4.1.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Regular Meetings</w:t>
      </w:r>
      <w:r>
        <w:rPr>
          <w:rFonts w:ascii="Times New Roman;Times;Serif" w:hAnsi="Times New Roman;Times;Serif"/>
          <w:b w:val="false"/>
          <w:i w:val="false"/>
          <w:caps w:val="false"/>
          <w:smallCaps w:val="false"/>
          <w:sz w:val="20"/>
        </w:rPr>
        <w:t>. Regularly scheduled, periodic meetings of the Board may be held without notice at such times, dates and places (within or without the State of Delaware) as shall from time to time be determined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Special meetings of the Board (a) may be called by the Chairman of the Board and (b) shall be called by the Chairman of the Board or the Secretary on the written request of at least a majority of directors then in office, or the sole director, as the case may be, and shall be held at such time, date and place (within or without the State of Delaware) as may be determined by the person calling the meeting or, if called upon the request of directors or the sole director, as specified in such written request. Notice of each special meeting of the Board shall be given, as provided in Section 9.3,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Bylaws, neither the business to be transacted at, nor the purpose of, any special meeting need be specified in the notice or waiver of notice of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Quorum; Required Vote</w:t>
      </w:r>
      <w:r>
        <w:rPr>
          <w:rFonts w:ascii="Times New Roman;Times;Serif" w:hAnsi="Times New Roman;Times;Serif"/>
          <w:b w:val="false"/>
          <w:i w:val="false"/>
          <w:caps w:val="false"/>
          <w:smallCaps w:val="false"/>
          <w:sz w:val="20"/>
        </w:rPr>
        <w:t>. A majority of the Board shall constitute a quorum for the transaction of business at any meeting of the Board, and the act of a majority of the directors present at any meeting at which there is a quorum shall be the act of the Board, except as may be otherwise specifically provided by applicable law, the Certificate of Incorporation or these Bylaws. If a quorum shall not be present at any meeting, a majority of the directors present may adjourn the meeting from time to time, without notice other than announcement at the meeting, until a quorum is present.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Consent In Lieu of Meeting</w:t>
      </w:r>
      <w:r>
        <w:rPr>
          <w:rFonts w:ascii="Times New Roman;Times;Serif" w:hAnsi="Times New Roman;Times;Serif"/>
          <w:b w:val="false"/>
          <w:i w:val="false"/>
          <w:caps w:val="false"/>
          <w:smallCaps w:val="false"/>
          <w:sz w:val="20"/>
        </w:rPr>
        <w:t>. Unless otherwise restricted by the Certificate of Incorporation or these Bylaws, any action required or 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The chairman of each meeting of the Board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a chairman elected from the directors present.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pStyle w:val="TextBody"/>
        <w:bidi w:val="0"/>
        <w:spacing w:before="0" w:after="0"/>
        <w:ind w:left="0" w:right="0" w:firstLine="1022"/>
        <w:jc w:val="left"/>
        <w:rPr>
          <w:caps w:val="false"/>
          <w:smallCaps w:val="false"/>
        </w:rPr>
      </w:pPr>
      <w:r>
        <w:rPr>
          <w:caps w:val="false"/>
          <w:smallCaps w:val="false"/>
        </w:rPr>
        <w:t> </w:t>
      </w:r>
    </w:p>
    <w:p>
      <w:pPr>
        <w:pStyle w:val="TextBody"/>
        <w:bidi w:val="0"/>
        <w:spacing w:before="0" w:after="0"/>
        <w:ind w:left="0" w:right="0" w:firstLine="1022"/>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1022"/>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Establishment</w:t>
      </w:r>
      <w:r>
        <w:rPr>
          <w:rFonts w:ascii="Times New Roman;Times;Serif" w:hAnsi="Times New Roman;Times;Serif"/>
          <w:b w:val="false"/>
          <w:i w:val="false"/>
          <w:caps w:val="false"/>
          <w:smallCaps w:val="false"/>
          <w:sz w:val="20"/>
        </w:rPr>
        <w:t>. The Board may by resolution of the Board designate one or more committees, each committee to consist of one or more of the directors of the Corporation. Each committee shall keep regular minutes of its meetings and report the same to the Board when required by the resolution designating such committee. The Board shall have the power at any time to fill vacancies in, to change the membership of, or to dissolve any such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Available Powers</w:t>
      </w:r>
      <w:r>
        <w:rPr>
          <w:rFonts w:ascii="Times New Roman;Times;Serif" w:hAnsi="Times New Roman;Times;Serif"/>
          <w:b w:val="false"/>
          <w:i w:val="false"/>
          <w:caps w:val="false"/>
          <w:smallCaps w:val="false"/>
          <w:sz w:val="20"/>
        </w:rPr>
        <w:t>. Any committee established pursuant to Section 5.1 hereof, to the extent permitted by applicable law and by resolution of the Board, shall have and may exercise all of the powers and authority of the Board in the management of the business and affairs of the Corporation, and may authorize the seal of the Corporation to be affixed to all papers that may require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Alternate Members</w:t>
      </w:r>
      <w:r>
        <w:rPr>
          <w:rFonts w:ascii="Times New Roman;Times;Serif" w:hAnsi="Times New Roman;Times;Serif"/>
          <w:b w:val="false"/>
          <w:i w:val="false"/>
          <w:caps w:val="false"/>
          <w:smallCaps w:val="false"/>
          <w:sz w:val="20"/>
        </w:rPr>
        <w:t>. The Board may designate one or more directors as alternate members of any committee, who may replace any 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Procedures</w:t>
      </w:r>
      <w:r>
        <w:rPr>
          <w:rFonts w:ascii="Times New Roman;Times;Serif" w:hAnsi="Times New Roman;Times;Serif"/>
          <w:b w:val="false"/>
          <w:i w:val="false"/>
          <w:caps w:val="false"/>
          <w:smallCaps w:val="false"/>
          <w:sz w:val="20"/>
        </w:rPr>
        <w:t>. Unless the Board otherwise provides, the time, date, place, if any, and notice of meetings of a committee shall be 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Article III and Article IV of these Bylaws.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The officers of the Corporation elected by the Board shall be a Chief Executive Officer and a Secretary. The Corporation may also have, at the discretion of the Board, a Chairman of the Board, a Vice Chairman of the Board, one or more Presidents, a Chief Financial Officer, a Treasurer, one or more Vice Presidents, one or more Assistant Vice Presidents, one or more Assistant Treasurers, one or more Assistant Secretaries, and any such other officers as may be appointed in accordance with the provisions of these Bylaws. Such officers shall also have such powers and duties as from time to time may be conferred by the Board.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Bylaws or as may be prescribed by the Board or, if such officer has been appointed by the Chief Executive Officer or President, as may be prescribed by the appointing officer.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Chairman of the Board</w:t>
      </w:r>
      <w:r>
        <w:rPr>
          <w:rFonts w:ascii="Times New Roman;Times;Serif" w:hAnsi="Times New Roman;Times;Serif"/>
          <w:b w:val="false"/>
          <w:i w:val="false"/>
          <w:caps w:val="false"/>
          <w:smallCaps w:val="false"/>
          <w:sz w:val="20"/>
        </w:rPr>
        <w:t>. The Chairman of the Board shall have general supervision and control of the acquisition activities of the Corporation subject to the ultimate authority of the Board, and shall be responsible for the execution of the policies of the Board with respect to such matters. The powers and duties of the Chairman of the Board shall not include supervision or control of the preparation of the financial statements of the Corporation (other than through participation as a member of the Board).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Chief Executive Officer</w:t>
      </w:r>
      <w:r>
        <w:rPr>
          <w:rFonts w:ascii="Times New Roman;Times;Serif" w:hAnsi="Times New Roman;Times;Serif"/>
          <w:b w:val="false"/>
          <w:i w:val="false"/>
          <w:caps w:val="false"/>
          <w:smallCaps w:val="false"/>
          <w:sz w:val="20"/>
        </w:rPr>
        <w:t>.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with respect to such matters, except to the extent any such powers and duties have been prescribed to the Chairman of the Board pursuant to Section 6.1(a) above. The Chief Executive Officer (if he or she shall be a director) shall preside when present at all meetings of the stockholders and the Board.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President</w:t>
      </w:r>
      <w:r>
        <w:rPr>
          <w:rFonts w:ascii="Times New Roman;Times;Serif" w:hAnsi="Times New Roman;Times;Serif"/>
          <w:b w:val="false"/>
          <w:i w:val="false"/>
          <w:caps w:val="false"/>
          <w:smallCaps w:val="false"/>
          <w:sz w:val="20"/>
        </w:rPr>
        <w:t>. The President shall make recommendations to the Chief Executive Officer on all operational matters that would normally be reserved for the final executive responsibility of the Chief Executive Officer. In the absence (or inability or refusal to act) of the Chief Executive Officer, the President (if he or she shall be a director) shall preside when present at all meetings of the stockholders and the Board. The President shall also perform such duties and have such powers as shall be designated by the Board.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Vice Presidents</w:t>
      </w:r>
      <w:r>
        <w:rPr>
          <w:rFonts w:ascii="Times New Roman;Times;Serif" w:hAnsi="Times New Roman;Times;Serif"/>
          <w:b w:val="false"/>
          <w:i w:val="false"/>
          <w:caps w:val="false"/>
          <w:smallCaps w:val="false"/>
          <w:sz w:val="20"/>
        </w:rPr>
        <w:t>.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w:t>
      </w:r>
    </w:p>
    <w:p>
      <w:pPr>
        <w:pStyle w:val="TextBody"/>
        <w:bidi w:val="0"/>
        <w:spacing w:before="0" w:after="0"/>
        <w:ind w:left="0" w:right="0" w:hanging="719"/>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Secretary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Chief Executive Officer or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Assistant Secretaries</w:t>
      </w:r>
      <w:r>
        <w:rPr>
          <w:rFonts w:ascii="Times New Roman;Times;Serif" w:hAnsi="Times New Roman;Times;Serif"/>
          <w:b w:val="false"/>
          <w:i w:val="false"/>
          <w:caps w:val="false"/>
          <w:smallCaps w:val="false"/>
          <w:sz w:val="20"/>
        </w:rPr>
        <w:t>. The Assistant Secretary or, if there be more than one, the Assistant Secretaries in the order determined by the Board shall, in the absence (or inability or refusal to act) of the Secretary, perform the duties and have the powers of the Secretary.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Chief Financial Officer</w:t>
      </w:r>
      <w:r>
        <w:rPr>
          <w:rFonts w:ascii="Times New Roman;Times;Serif" w:hAnsi="Times New Roman;Times;Serif"/>
          <w:b w:val="false"/>
          <w:i w:val="false"/>
          <w:caps w:val="false"/>
          <w:smallCaps w:val="false"/>
          <w:sz w:val="20"/>
        </w:rPr>
        <w:t>. The Chief Financial Officer shall perform all duties commonly incident to that office (including, without limitation, the care and custody of the funds and securities of the Corporation, which from time to time may come into the Chief Financial Officer’s hands and the deposit of the funds of the Corporation in such banks or trust companies as the Board, the Chief Executive Officer or the President may authorize).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Treasurer</w:t>
      </w:r>
      <w:r>
        <w:rPr>
          <w:rFonts w:ascii="Times New Roman;Times;Serif" w:hAnsi="Times New Roman;Times;Serif"/>
          <w:b w:val="false"/>
          <w:i w:val="false"/>
          <w:caps w:val="false"/>
          <w:smallCaps w:val="false"/>
          <w:sz w:val="20"/>
        </w:rPr>
        <w:t>. The Treasurer shall, in the absence (or inability or refusal to act) of the Chief Financial Officer, perform the duties and exercise the powers of the Chief Financial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Term of Office; Removal; Vacancies</w:t>
      </w:r>
      <w:r>
        <w:rPr>
          <w:rFonts w:ascii="Times New Roman;Times;Serif" w:hAnsi="Times New Roman;Times;Serif"/>
          <w:b w:val="false"/>
          <w:i w:val="false"/>
          <w:caps w:val="false"/>
          <w:smallCaps w:val="false"/>
          <w:sz w:val="20"/>
        </w:rPr>
        <w:t>. The elected officers of the Corporation shall hold office until their successors are duly elected and qualified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Multiple Officeholders; Stockholder and Director Officers</w:t>
      </w:r>
      <w:r>
        <w:rPr>
          <w:rFonts w:ascii="Times New Roman;Times;Serif" w:hAnsi="Times New Roman;Times;Serif"/>
          <w:b w:val="false"/>
          <w:i w:val="false"/>
          <w:caps w:val="false"/>
          <w:smallCaps w:val="false"/>
          <w:sz w:val="20"/>
        </w:rPr>
        <w:t>. Any number of offices may be held by the same person unless the Certificate of Incorporation or these Bylaws otherwise provide. Officers need not be stockholders or residents of the State of Delaware.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Certificated and Uncertificated Shares</w:t>
      </w:r>
      <w:r>
        <w:rPr>
          <w:rFonts w:ascii="Times New Roman;Times;Serif" w:hAnsi="Times New Roman;Times;Serif"/>
          <w:b w:val="false"/>
          <w:i w:val="false"/>
          <w:caps w:val="false"/>
          <w:smallCaps w:val="false"/>
          <w:sz w:val="20"/>
        </w:rPr>
        <w:t>. The shares of the Corporation may be certificated or uncertificated, subject to the sole discretion of the Board and the requirements of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Multiple Classes of Stock</w:t>
      </w:r>
      <w:r>
        <w:rPr>
          <w:rFonts w:ascii="Times New Roman;Times;Serif" w:hAnsi="Times New Roman;Times;Serif"/>
          <w:b w:val="false"/>
          <w:i w:val="false"/>
          <w:caps w:val="false"/>
          <w:smallCaps w:val="false"/>
          <w:sz w:val="20"/>
        </w:rPr>
        <w:t>. If the Corporation shall be authorized to issue more than one class of stock or more than one series of any class, the Corporation shall (a) cause the powers, designations, preferences and relative, participating, optional or other special rights of each class of stock or series thereof and the qualifications, limitations or restrictions of such preferences and/or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provided, however,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Signatures</w:t>
      </w:r>
      <w:r>
        <w:rPr>
          <w:rFonts w:ascii="Times New Roman;Times;Serif" w:hAnsi="Times New Roman;Times;Serif"/>
          <w:b w:val="false"/>
          <w:i w:val="false"/>
          <w:caps w:val="false"/>
          <w:smallCaps w:val="false"/>
          <w:sz w:val="20"/>
        </w:rPr>
        <w:t>. Each certificate representing capital stock of the Corporation shall be signed by or in the name of the Corporation by (a) the Chief Executive Officer, the President or a Vice President and (b) the Treasurer, an Assistant Treasurer, the Secretary or an Assistant Secretary of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Consideration and Payment for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cash, tangible or intangible property or any benefit to the Corporation or any combination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Lost, Destroyed or Wrongfully Taken Certificates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val="false"/>
          <w:caps w:val="false"/>
          <w:smallCaps w:val="false"/>
          <w:sz w:val="20"/>
          <w:u w:val="single"/>
        </w:rPr>
        <w:t>Transfer of Stock</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certificate representing shares of the Corporation is presented to the Corporation with an endorsement requesting the registration of transfer of such shares or an instruction is presented to the Corporation requesting the registration of transfer of uncertificated shares, the Corporation shall register the transfer as requested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certificated shares, the certificate representing such shares has been surrendered;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with respect to certificated shares, the endorsement is made by the person specified by the certificate as entitled to such shares; (B) 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Corporation has received a guarantee of signature of the person signing such endorsement or instruction or such other reasonable assurance that the endorsement or instruction is genuine and authorized as the Corporation may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transfer does not violate any restriction on transfer imposed by the Corporation that is enforceable in accordance with Section 7.8(a);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such other conditions for such transfer as shall be provided for under applicable law have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Registered Stockholders</w:t>
      </w:r>
      <w:r>
        <w:rPr>
          <w:rFonts w:ascii="Times New Roman;Times;Serif" w:hAnsi="Times New Roman;Times;Serif"/>
          <w:b w:val="false"/>
          <w:i w:val="false"/>
          <w:caps w:val="false"/>
          <w:smallCaps w:val="false"/>
          <w:sz w:val="20"/>
        </w:rPr>
        <w:t>. Before due presentment for registration of transfer of a certificate representing shares of the Corporation 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upon providing documentary evidence of beneficial ownership of such shares and satisfying such other conditions as are provided under applicable law, may also so inspect the books and records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val="false"/>
          <w:i w:val="false"/>
          <w:caps w:val="false"/>
          <w:smallCaps w:val="false"/>
          <w:sz w:val="20"/>
          <w:u w:val="single"/>
        </w:rPr>
        <w:t>Effect of the Corporation’s Restriction on Transfer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sent pursuant to Section 7.2, may be enforced against the holder of such shares or any successor or transferee of the holder including an executor, administrator, trustee, guardian or other fiduciary entrusted with like responsibility for the person or estate of the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sent pursuant to Section 7.2.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7.9 </w:t>
      </w:r>
      <w:r>
        <w:rPr>
          <w:rFonts w:ascii="Times New Roman;Times;Serif" w:hAnsi="Times New Roman;Times;Serif"/>
          <w:b w:val="false"/>
          <w:i w:val="false"/>
          <w:caps w:val="false"/>
          <w:smallCaps w:val="false"/>
          <w:sz w:val="20"/>
          <w:u w:val="single"/>
        </w:rPr>
        <w:t>Regulations</w:t>
      </w:r>
      <w:r>
        <w:rPr>
          <w:rFonts w:ascii="Times New Roman;Times;Serif" w:hAnsi="Times New Roman;Times;Serif"/>
          <w:b w:val="false"/>
          <w:i w:val="false"/>
          <w:caps w:val="false"/>
          <w:smallCaps w:val="false"/>
          <w:sz w:val="20"/>
        </w:rPr>
        <w:t>. The Board shall have power and authority to make such additional rules and regulations, subject to any applicable 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2"/>
        <w:jc w:val="center"/>
        <w:rPr>
          <w:caps w:val="false"/>
          <w:smallCaps w:val="false"/>
        </w:rPr>
      </w:pPr>
      <w:r>
        <w:rPr>
          <w:caps w:val="false"/>
          <w:smallCaps w:val="false"/>
        </w:rPr>
        <w:t> </w:t>
      </w:r>
    </w:p>
    <w:p>
      <w:pPr>
        <w:pStyle w:val="TextBody"/>
        <w:bidi w:val="0"/>
        <w:spacing w:before="0" w:after="0"/>
        <w:ind w:left="0" w:right="0" w:hanging="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Right to Indemnification</w:t>
      </w:r>
      <w:r>
        <w:rPr>
          <w:rFonts w:ascii="Times New Roman;Times;Serif" w:hAnsi="Times New Roman;Times;Serif"/>
          <w:b w:val="false"/>
          <w:i w:val="false"/>
          <w:caps w:val="false"/>
          <w:smallCaps w:val="false"/>
          <w:sz w:val="20"/>
        </w:rPr>
        <w:t>. To the fullest extent permitted by applicable law, as the same exists or may hereafter be amended, the Corporation shall indemnify and hold harmless each person who was or is made a party or is threatened to be made a party to or is otherwise involved in any threatened, pending or completed action, suit or proceeding, whether civil, criminal, administrative or investigative (a “</w:t>
      </w:r>
      <w:r>
        <w:rPr>
          <w:rFonts w:ascii="Times New Roman;Times;Serif" w:hAnsi="Times New Roman;Times;Serif"/>
          <w:b/>
          <w:i/>
          <w:caps w:val="false"/>
          <w:smallCaps w:val="false"/>
          <w:sz w:val="20"/>
        </w:rPr>
        <w:t>proceeding</w:t>
      </w:r>
      <w:r>
        <w:rPr>
          <w:rFonts w:ascii="Times New Roman;Times;Serif" w:hAnsi="Times New Roman;Times;Serif"/>
          <w:b w:val="false"/>
          <w:i w:val="false"/>
          <w:caps w:val="false"/>
          <w:smallCaps w:val="false"/>
          <w:sz w:val="20"/>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Times;Serif" w:hAnsi="Times New Roman;Times;Serif"/>
          <w:b/>
          <w:i/>
          <w:caps w:val="false"/>
          <w:smallCaps w:val="false"/>
          <w:sz w:val="20"/>
        </w:rPr>
        <w:t>Indemnitee</w:t>
      </w:r>
      <w:r>
        <w:rPr>
          <w:rFonts w:ascii="Times New Roman;Times;Serif" w:hAnsi="Times New Roman;Times;Serif"/>
          <w:b w:val="false"/>
          <w:i w:val="false"/>
          <w:caps w:val="false"/>
          <w:smallCaps w:val="false"/>
          <w:sz w:val="20"/>
        </w:rPr>
        <w:t>”), against all liability and loss suffered and expenses (including, without limitation, attorneys’ fees, judgments, fines, ERISA excise taxes and penalties and amounts paid in settlement) reasonably incurred by such Indemnitee in connection with such proceeding; provided, however, that, except as provided in Section 8.3 with respect to proceedings to enforce rights to indemnification, the Corporation shall indemnify an Indemnitee in connection with a proceeding (or part thereof) initiated by such Indemnitee only if such proceeding (or part thereof) was authorized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Advancement of Expenses</w:t>
      </w:r>
      <w:r>
        <w:rPr>
          <w:rFonts w:ascii="Times New Roman;Times;Serif" w:hAnsi="Times New Roman;Times;Serif"/>
          <w:b w:val="false"/>
          <w:i w:val="false"/>
          <w:caps w:val="false"/>
          <w:smallCaps w:val="false"/>
          <w:sz w:val="20"/>
        </w:rPr>
        <w:t>. Expenses (including attorneys’ fees) incurred by a director or officer of the Corporation in defending any civil, criminal, administrative or investigative action, suit or proceeding may be paid by the corporation in advance of the final disposition of such action (“</w:t>
      </w:r>
      <w:r>
        <w:rPr>
          <w:rFonts w:ascii="Times New Roman;Times;Serif" w:hAnsi="Times New Roman;Times;Serif"/>
          <w:b/>
          <w:i/>
          <w:caps w:val="false"/>
          <w:smallCaps w:val="false"/>
          <w:sz w:val="20"/>
        </w:rPr>
        <w:t>advancement of expenses</w:t>
      </w:r>
      <w:r>
        <w:rPr>
          <w:rFonts w:ascii="Times New Roman;Times;Serif" w:hAnsi="Times New Roman;Times;Serif"/>
          <w:b w:val="false"/>
          <w:i w:val="false"/>
          <w:caps w:val="false"/>
          <w:smallCaps w:val="false"/>
          <w:sz w:val="20"/>
        </w:rPr>
        <w:t>”), suit or proceeding upon receipt of an undertaking (an “</w:t>
      </w:r>
      <w:r>
        <w:rPr>
          <w:rFonts w:ascii="Times New Roman;Times;Serif" w:hAnsi="Times New Roman;Times;Serif"/>
          <w:b/>
          <w:i/>
          <w:caps w:val="false"/>
          <w:smallCaps w:val="false"/>
          <w:sz w:val="20"/>
        </w:rPr>
        <w:t>undertaking</w:t>
      </w:r>
      <w:r>
        <w:rPr>
          <w:rFonts w:ascii="Times New Roman;Times;Serif" w:hAnsi="Times New Roman;Times;Serif"/>
          <w:b w:val="false"/>
          <w:i w:val="false"/>
          <w:caps w:val="false"/>
          <w:smallCaps w:val="false"/>
          <w:sz w:val="20"/>
        </w:rPr>
        <w:t>”) by or on behalf of such director or officer to repay such amount if it shall ultimately be determined that such person is not entitled to be indemnified by the corporation as authorized in this section.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8.3 </w:t>
      </w:r>
      <w:r>
        <w:rPr>
          <w:rFonts w:ascii="Times New Roman;Times;Serif" w:hAnsi="Times New Roman;Times;Serif"/>
          <w:b w:val="false"/>
          <w:i w:val="false"/>
          <w:caps w:val="false"/>
          <w:smallCaps w:val="false"/>
          <w:sz w:val="20"/>
          <w:u w:val="single"/>
        </w:rPr>
        <w:t>Right of Indemnitee to Bring Suit</w:t>
      </w:r>
      <w:r>
        <w:rPr>
          <w:rFonts w:ascii="Times New Roman;Times;Serif" w:hAnsi="Times New Roman;Times;Serif"/>
          <w:b w:val="false"/>
          <w:i w:val="false"/>
          <w:caps w:val="false"/>
          <w:smallCaps w:val="false"/>
          <w:sz w:val="20"/>
        </w:rPr>
        <w:t>. If a claim under Section 8.1 or Section 8.2 is not paid in full by the Corporation within 60 days 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(a “</w:t>
      </w:r>
      <w:r>
        <w:rPr>
          <w:rFonts w:ascii="Times New Roman;Times;Serif" w:hAnsi="Times New Roman;Times;Serif"/>
          <w:b/>
          <w:i/>
          <w:caps w:val="false"/>
          <w:smallCaps w:val="false"/>
          <w:sz w:val="20"/>
        </w:rPr>
        <w:t>final adjudication</w:t>
      </w:r>
      <w:r>
        <w:rPr>
          <w:rFonts w:ascii="Times New Roman;Times;Serif" w:hAnsi="Times New Roman;Times;Serif"/>
          <w:b w:val="false"/>
          <w:i w:val="false"/>
          <w:caps w:val="false"/>
          <w:smallCaps w:val="false"/>
          <w:sz w:val="20"/>
        </w:rPr>
        <w:t>”)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VIII or otherwise shall be on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8.4 </w:t>
      </w:r>
      <w:r>
        <w:rPr>
          <w:rFonts w:ascii="Times New Roman;Times;Serif" w:hAnsi="Times New Roman;Times;Serif"/>
          <w:b w:val="false"/>
          <w:i w:val="false"/>
          <w:caps w:val="false"/>
          <w:smallCaps w:val="false"/>
          <w:sz w:val="20"/>
          <w:u w:val="single"/>
        </w:rPr>
        <w:t>Non-Exclusivity of Rights</w:t>
      </w:r>
      <w:r>
        <w:rPr>
          <w:rFonts w:ascii="Times New Roman;Times;Serif" w:hAnsi="Times New Roman;Times;Serif"/>
          <w:b w:val="false"/>
          <w:i w:val="false"/>
          <w:caps w:val="false"/>
          <w:smallCaps w:val="false"/>
          <w:sz w:val="20"/>
        </w:rPr>
        <w:t>. The rights provided to any Indemnitee pursuant to this Article VIII shall not be exclusive of any other right, which such Indemnitee may have or hereafter acquire under applicable law, the Certificate of Incorporation, these Bylaws, an agreement, a vote of stockholders or disinterested directors, or otherwise, both as to action in such person’s official capacity and as to action in another capacity while holding such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8.5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Corporation may maintain insurance, at its expense, to protect itself and/or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8.6 </w:t>
      </w:r>
      <w:r>
        <w:rPr>
          <w:rFonts w:ascii="Times New Roman;Times;Serif" w:hAnsi="Times New Roman;Times;Serif"/>
          <w:b w:val="false"/>
          <w:i w:val="false"/>
          <w:caps w:val="false"/>
          <w:smallCaps w:val="false"/>
          <w:sz w:val="20"/>
          <w:u w:val="single"/>
        </w:rPr>
        <w:t>Indemnification of Other Persons</w:t>
      </w:r>
      <w:r>
        <w:rPr>
          <w:rFonts w:ascii="Times New Roman;Times;Serif" w:hAnsi="Times New Roman;Times;Serif"/>
          <w:b w:val="false"/>
          <w:i w:val="false"/>
          <w:caps w:val="false"/>
          <w:smallCaps w:val="false"/>
          <w:sz w:val="20"/>
        </w:rPr>
        <w:t>. This Article VIII shall not limit the right of the Corporation to the extent and in the manner 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 Article VIII with respect to the indemnification and advancement of expenses of Indemnitees under this Article VIII.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8.7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Any repeal or amendment of this Article VIII by the Board or the stockholders of the Corporation or by changes in applicable law, or the adoption of any other provision of these Bylaws inconsistent with this Article VIII,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provided however, that amendments or repeals of this Article VIII shall require the affirmative vote of the stockholders holding at least 65% of the voting power of all outstanding shares of capital stock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8.8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Article VIII, (a) references to “</w:t>
      </w:r>
      <w:r>
        <w:rPr>
          <w:rFonts w:ascii="Times New Roman;Times;Serif" w:hAnsi="Times New Roman;Times;Serif"/>
          <w:b/>
          <w:i/>
          <w:caps w:val="false"/>
          <w:smallCaps w:val="false"/>
          <w:sz w:val="20"/>
        </w:rPr>
        <w:t>other enterprise</w:t>
      </w:r>
      <w:r>
        <w:rPr>
          <w:rFonts w:ascii="Times New Roman;Times;Serif" w:hAnsi="Times New Roman;Times;Serif"/>
          <w:b w:val="false"/>
          <w:i w:val="false"/>
          <w:caps w:val="false"/>
          <w:smallCaps w:val="false"/>
          <w:sz w:val="20"/>
        </w:rPr>
        <w:t>” shall include any employee benefit plan; (b) references to “</w:t>
      </w:r>
      <w:r>
        <w:rPr>
          <w:rFonts w:ascii="Times New Roman;Times;Serif" w:hAnsi="Times New Roman;Times;Serif"/>
          <w:b/>
          <w:i/>
          <w:caps w:val="false"/>
          <w:smallCaps w:val="false"/>
          <w:sz w:val="20"/>
        </w:rPr>
        <w:t>fines</w:t>
      </w:r>
      <w:r>
        <w:rPr>
          <w:rFonts w:ascii="Times New Roman;Times;Serif" w:hAnsi="Times New Roman;Times;Serif"/>
          <w:b w:val="false"/>
          <w:i w:val="false"/>
          <w:caps w:val="false"/>
          <w:smallCaps w:val="false"/>
          <w:sz w:val="20"/>
        </w:rPr>
        <w:t>” shall include any excise taxes assessed on a person with respect to an employee benefit plan; (c) references to “</w:t>
      </w:r>
      <w:r>
        <w:rPr>
          <w:rFonts w:ascii="Times New Roman;Times;Serif" w:hAnsi="Times New Roman;Times;Serif"/>
          <w:b/>
          <w:i/>
          <w:caps w:val="false"/>
          <w:smallCaps w:val="false"/>
          <w:sz w:val="20"/>
        </w:rPr>
        <w:t>serving at the request of the Corporation</w:t>
      </w:r>
      <w:r>
        <w:rPr>
          <w:rFonts w:ascii="Times New Roman;Times;Serif" w:hAnsi="Times New Roman;Times;Serif"/>
          <w:b w:val="false"/>
          <w:i w:val="false"/>
          <w:caps w:val="false"/>
          <w:smallCaps w:val="false"/>
          <w:sz w:val="20"/>
        </w:rPr>
        <w:t>” shall include any service that imposes duties on, or involves services by, a person with respect to any employee benefit plan, its participants, or beneficiaries; and (d) a person who acted in good faith and in a manner such person reasonably believed to be in the interest of the participants and beneficiaries of an employee benefit plan shall be deemed to have acted in a manner “</w:t>
      </w:r>
      <w:r>
        <w:rPr>
          <w:rFonts w:ascii="Times New Roman;Times;Serif" w:hAnsi="Times New Roman;Times;Serif"/>
          <w:b/>
          <w:i/>
          <w:caps w:val="false"/>
          <w:smallCaps w:val="false"/>
          <w:sz w:val="20"/>
        </w:rPr>
        <w:t>not opposed to the best interests of the Corporation</w:t>
      </w:r>
      <w:r>
        <w:rPr>
          <w:rFonts w:ascii="Times New Roman;Times;Serif" w:hAnsi="Times New Roman;Times;Serif"/>
          <w:b w:val="false"/>
          <w:i w:val="false"/>
          <w:caps w:val="false"/>
          <w:smallCaps w:val="false"/>
          <w:sz w:val="20"/>
        </w:rPr>
        <w:t>” for purposes of Section 145 of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8.9 </w:t>
      </w:r>
      <w:r>
        <w:rPr>
          <w:rFonts w:ascii="Times New Roman;Times;Serif" w:hAnsi="Times New Roman;Times;Serif"/>
          <w:b w:val="false"/>
          <w:i w:val="false"/>
          <w:caps w:val="false"/>
          <w:smallCaps w:val="false"/>
          <w:sz w:val="20"/>
          <w:u w:val="single"/>
        </w:rPr>
        <w:t>Contract Rights</w:t>
      </w:r>
      <w:r>
        <w:rPr>
          <w:rFonts w:ascii="Times New Roman;Times;Serif" w:hAnsi="Times New Roman;Times;Serif"/>
          <w:b w:val="false"/>
          <w:i w:val="false"/>
          <w:caps w:val="false"/>
          <w:smallCaps w:val="false"/>
          <w:sz w:val="20"/>
        </w:rPr>
        <w:t>. The rights provided to Indemnitees pursuant to this Article VIII shall be contract rights and such rights shall continue as to an Indemnitee who has ceased to be a director, officer, agent or employee and shall inure to the benefit of the Indemnitee’s heirs, executors and administrators.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or provisions of this Article VIII shall be held to be invalid, illegal or unenforceable for any reason whatsoever: (a) the validity, legality and enforceability of the remaining provisions of this Article VIII shall not in any way be affected or impaired thereby; and (b) to the fullest extent possible, the provisions of this Article VIII (including, without limitation, each such portion of this Article VIII containing any such provision held to be invalid, illegal or unenforceable) shall be construed so as to give effect to the intent manifested by the provision held invalid, illegal or unenforceable.</w:t>
      </w:r>
    </w:p>
    <w:p>
      <w:pPr>
        <w:pStyle w:val="TextBody"/>
        <w:bidi w:val="0"/>
        <w:spacing w:before="0" w:after="0"/>
        <w:ind w:left="0" w:right="0" w:firstLine="3"/>
        <w:jc w:val="center"/>
        <w:rPr>
          <w:caps w:val="false"/>
          <w:smallCaps w:val="false"/>
        </w:rPr>
      </w:pPr>
      <w:r>
        <w:rPr>
          <w:caps w:val="false"/>
          <w:smallCaps w:val="false"/>
        </w:rPr>
        <w:t> </w:t>
      </w:r>
    </w:p>
    <w:p>
      <w:pPr>
        <w:pStyle w:val="TextBody"/>
        <w:bidi w:val="0"/>
        <w:spacing w:before="0" w:after="0"/>
        <w:ind w:left="0" w:right="0" w:firstLine="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3"/>
        <w:jc w:val="center"/>
        <w:rPr>
          <w:caps w:val="false"/>
          <w:smallCaps w:val="false"/>
        </w:rPr>
      </w:pPr>
      <w:r>
        <w:rPr>
          <w:caps w:val="false"/>
          <w:smallCaps w:val="false"/>
        </w:rPr>
        <w:t> </w:t>
      </w:r>
    </w:p>
    <w:p>
      <w:pPr>
        <w:pStyle w:val="TextBody"/>
        <w:bidi w:val="0"/>
        <w:spacing w:before="0" w:after="0"/>
        <w:ind w:left="0" w:right="0" w:firstLine="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 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Place of Meetings</w:t>
      </w:r>
      <w:r>
        <w:rPr>
          <w:rFonts w:ascii="Times New Roman;Times;Serif" w:hAnsi="Times New Roman;Times;Serif"/>
          <w:b w:val="false"/>
          <w:i w:val="false"/>
          <w:caps w:val="false"/>
          <w:smallCaps w:val="false"/>
          <w:sz w:val="20"/>
        </w:rPr>
        <w:t>. If the place of any meeting of stockholders, the Board or committee of the Board for which notice is required under these Bylaws is not designated in the notice of such meeting, such meeting shall be held at the principal business office of the Corporation; provided, however, if the Board has, in its sole discretion, determined that a meeting shall not be held at any place, but instead shall be held by means of remote communication pursuant to Section 9.5 hereof, then such meeting shall not be held at any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Fixing Record Dates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provided, however,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Section 9.2(a) at the adjourned meeting.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Means of Giving Notice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Notice to Directors</w:t>
      </w:r>
      <w:r>
        <w:rPr>
          <w:rFonts w:ascii="Times New Roman;Times;Serif" w:hAnsi="Times New Roman;Times;Serif"/>
          <w:b w:val="false"/>
          <w:i w:val="false"/>
          <w:caps w:val="false"/>
          <w:smallCaps w:val="false"/>
          <w:sz w:val="20"/>
        </w:rPr>
        <w:t>.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Notice to Stockholders</w:t>
      </w:r>
      <w:r>
        <w:rPr>
          <w:rFonts w:ascii="Times New Roman;Times;Serif" w:hAnsi="Times New Roman;Times;Serif"/>
          <w:b w:val="false"/>
          <w:i w:val="false"/>
          <w:caps w:val="false"/>
          <w:smallCaps w:val="false"/>
          <w:sz w:val="20"/>
        </w:rPr>
        <w:t>. Whenever under applicable law, the Certificate of Incorporation or these Bylaws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or to the Corporation’s transfer agent, or other person responsible for the giving of notice; provided, however, the inadvertent failure to treat such inability as a revocation shall not invalidate any meeting or other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Electronic Transmission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Electronic transmission</w:t>
      </w:r>
      <w:r>
        <w:rPr>
          <w:rFonts w:ascii="Times New Roman;Times;Serif" w:hAnsi="Times New Roman;Times;Serif"/>
          <w:b w:val="false"/>
          <w:i w:val="false"/>
          <w:caps w:val="false"/>
          <w:smallCaps w:val="false"/>
          <w:sz w:val="20"/>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Notice to Stockholders Sharing Same Address</w:t>
      </w:r>
      <w:r>
        <w:rPr>
          <w:rFonts w:ascii="Times New Roman;Times;Serif" w:hAnsi="Times New Roman;Times;Serif"/>
          <w:b w:val="false"/>
          <w:i w:val="false"/>
          <w:caps w:val="false"/>
          <w:smallCaps w:val="false"/>
          <w:sz w:val="20"/>
        </w:rPr>
        <w:t>.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Exceptions to Notice Requirements</w:t>
      </w:r>
      <w:r>
        <w:rPr>
          <w:rFonts w:ascii="Times New Roman;Times;Serif" w:hAnsi="Times New Roman;Times;Serif"/>
          <w:b w:val="false"/>
          <w:i w:val="false"/>
          <w:caps w:val="false"/>
          <w:smallCaps w:val="false"/>
          <w:sz w:val="20"/>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 Whenever notice is required to be given by the Corporation, under any provision of the DGCL, the Certificate of Incorporation or these Bylaws,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 (2) 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Waiver of Notice</w:t>
      </w:r>
      <w:r>
        <w:rPr>
          <w:rFonts w:ascii="Times New Roman;Times;Serif" w:hAnsi="Times New Roman;Times;Serif"/>
          <w:b w:val="false"/>
          <w:i w:val="false"/>
          <w:caps w:val="false"/>
          <w:smallCaps w:val="false"/>
          <w:sz w:val="20"/>
        </w:rPr>
        <w:t>. Whenever any notice is required to be given under applicable law, the Certificate of Incorporation, or these Bylaws, a written waiver of such notice, signed by the person or persons entitled to said notice, or a waiver by electronic transmission by the person entitled to said notice, whether before or after the time stated therein, shall be deemed equivalent to such required notice. Attendance at a meeting shall constitute a waiver of notice of such meeting, except where a person attends for the express purpose of objecting to the transaction of any business on the ground that the meeting was not lawfully called or convened.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Meeting Attendance via Remote Communication Equipment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Stockholder Meetings</w:t>
      </w:r>
      <w:r>
        <w:rPr>
          <w:rFonts w:ascii="Times New Roman;Times;Serif" w:hAnsi="Times New Roman;Times;Serif"/>
          <w:b w:val="false"/>
          <w:i w:val="false"/>
          <w:caps w:val="false"/>
          <w:smallCaps w:val="false"/>
          <w:sz w:val="20"/>
        </w:rPr>
        <w:t>. If authorized by the Board in its sole discretion, and subject to such guidelines and procedures as the Board may adopt, stockholders and proxy holders not physically present at a meeting of stockholders may, by means of remote communication:</w:t>
      </w:r>
    </w:p>
    <w:p>
      <w:pPr>
        <w:pStyle w:val="TextBody"/>
        <w:bidi w:val="0"/>
        <w:spacing w:before="0" w:after="0"/>
        <w:ind w:left="0" w:right="0" w:hanging="719"/>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participate in a meeting of stockholders;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to vote on matters submitted to the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Board Meetings</w:t>
      </w:r>
      <w:r>
        <w:rPr>
          <w:rFonts w:ascii="Times New Roman;Times;Serif" w:hAnsi="Times New Roman;Times;Serif"/>
          <w:b w:val="false"/>
          <w:i w:val="false"/>
          <w:caps w:val="false"/>
          <w:smallCaps w:val="false"/>
          <w:sz w:val="20"/>
        </w:rPr>
        <w:t>. Unless otherwise restricted by applicable law, the Certificate of Incorporation or these Bylaws,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The Board may from time to time declare, and the Corporation may pay, dividends (payable in cash, property or shares of the Corporation’s capital stock) on the Corporation’s outstanding shares of capital stock, subject to applicable law and the Certificate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9.7 </w:t>
      </w:r>
      <w:r>
        <w:rPr>
          <w:rFonts w:ascii="Times New Roman;Times;Serif" w:hAnsi="Times New Roman;Times;Serif"/>
          <w:b w:val="false"/>
          <w:i w:val="false"/>
          <w:caps w:val="false"/>
          <w:smallCaps w:val="false"/>
          <w:sz w:val="20"/>
          <w:u w:val="single"/>
        </w:rPr>
        <w:t>Reserves</w:t>
      </w:r>
      <w:r>
        <w:rPr>
          <w:rFonts w:ascii="Times New Roman;Times;Serif" w:hAnsi="Times New Roman;Times;Serif"/>
          <w:b w:val="false"/>
          <w:i w:val="false"/>
          <w:caps w:val="false"/>
          <w:smallCaps w:val="false"/>
          <w:sz w:val="20"/>
        </w:rPr>
        <w:t>. The Board may set apart out of the funds of the Corporation available for dividends a reserve or reserves for any proper purpose and may abolish any such reserve.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9.8 </w:t>
      </w:r>
      <w:r>
        <w:rPr>
          <w:rFonts w:ascii="Times New Roman;Times;Serif" w:hAnsi="Times New Roman;Times;Serif"/>
          <w:b w:val="false"/>
          <w:i w:val="false"/>
          <w:caps w:val="false"/>
          <w:smallCaps w:val="false"/>
          <w:sz w:val="20"/>
          <w:u w:val="single"/>
        </w:rPr>
        <w:t>Contracts and Negotiable Instruments</w:t>
      </w:r>
      <w:r>
        <w:rPr>
          <w:rFonts w:ascii="Times New Roman;Times;Serif" w:hAnsi="Times New Roman;Times;Serif"/>
          <w:b w:val="false"/>
          <w:i w:val="false"/>
          <w:caps w:val="false"/>
          <w:smallCaps w:val="false"/>
          <w:sz w:val="20"/>
        </w:rPr>
        <w:t>. Except as otherwise provided by applicable law, the Certificate of Incorporation or these Bylaws,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Chief Executive Officer, the President, the Chief Financial Officer, the Treasurer or any Vice President may execute and deliver any contract, bond, deed, lease, mortgage or other instrument in the name and on behalf of the Corporation. Subject to any restrictions imposed by the Board, the Chief Executive Officer, the President, the Chief Financial Officer, the Treasurer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9.9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The fiscal year of the Corporation shall be fixed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9.10 </w:t>
      </w:r>
      <w:r>
        <w:rPr>
          <w:rFonts w:ascii="Times New Roman;Times;Serif" w:hAnsi="Times New Roman;Times;Serif"/>
          <w:b w:val="false"/>
          <w:i w:val="false"/>
          <w:caps w:val="false"/>
          <w:smallCaps w:val="false"/>
          <w:sz w:val="20"/>
          <w:u w:val="single"/>
        </w:rPr>
        <w:t>Seal</w:t>
      </w:r>
      <w:r>
        <w:rPr>
          <w:rFonts w:ascii="Times New Roman;Times;Serif" w:hAnsi="Times New Roman;Times;Serif"/>
          <w:b w:val="false"/>
          <w:i w:val="false"/>
          <w:caps w:val="false"/>
          <w:smallCaps w:val="false"/>
          <w:sz w:val="20"/>
        </w:rPr>
        <w:t>. The Board may adopt a corporate seal, which shall be in such form as the Board determines. The seal may be used by causing it or a facsimile thereof to be impressed, affixed or otherwise reproduced.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9.11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The books and records of the Corporation may be kept within or outside the State of Delaware at such place or places as may from time to time be designated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9.12 </w:t>
      </w:r>
      <w:r>
        <w:rPr>
          <w:rFonts w:ascii="Times New Roman;Times;Serif" w:hAnsi="Times New Roman;Times;Serif"/>
          <w:b w:val="false"/>
          <w:i w:val="false"/>
          <w:caps w:val="false"/>
          <w:smallCaps w:val="false"/>
          <w:sz w:val="20"/>
          <w:u w:val="single"/>
        </w:rPr>
        <w:t>Resignation</w:t>
      </w:r>
      <w:r>
        <w:rPr>
          <w:rFonts w:ascii="Times New Roman;Times;Serif" w:hAnsi="Times New Roman;Times;Serif"/>
          <w:b w:val="false"/>
          <w:i w:val="false"/>
          <w:caps w:val="false"/>
          <w:smallCaps w:val="false"/>
          <w:sz w:val="20"/>
        </w:rPr>
        <w:t>. Any director, committee member or officer may resign by giving notice thereof in writing or by electronic transmission to the Chief Executive Officer, the President or the Secretary. The resignation shall take effect at the time it is delivered unless the resignation specifies a later effective date or an effective date determined upon the happening of an event or events. Unless otherwise specified therein, the acceptance of such resignation shall not be necessary to make it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9.13 </w:t>
      </w:r>
      <w:r>
        <w:rPr>
          <w:rFonts w:ascii="Times New Roman;Times;Serif" w:hAnsi="Times New Roman;Times;Serif"/>
          <w:b w:val="false"/>
          <w:i w:val="false"/>
          <w:caps w:val="false"/>
          <w:smallCaps w:val="false"/>
          <w:sz w:val="20"/>
          <w:u w:val="single"/>
        </w:rPr>
        <w:t>Securities of Other Corporations</w:t>
      </w:r>
      <w:r>
        <w:rPr>
          <w:rFonts w:ascii="Times New Roman;Times;Serif" w:hAnsi="Times New Roman;Times;Serif"/>
          <w:b w:val="false"/>
          <w:i w:val="false"/>
          <w:caps w:val="false"/>
          <w:smallCaps w:val="false"/>
          <w:sz w:val="20"/>
        </w:rPr>
        <w:t>. Powers of attorney, proxies, waivers of notice of meeting, consents in writing and other instruments relating to securities owned by the Corporation may be executed in the name of and on behalf of the Corporation by the Chief Executive Officer, President, or any officers authorized by the Board. Any such officer, may, in the 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9.14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The Board shall have the power to adopt, amend, alter or repeal the Bylaws. The affirmative vote of a majority of the Board shall be required to adopt, amend, alter or repeal the Bylaws. The Bylaws also may be adopted, amended, altered or repealed by the stockholders; provided, however, that in addition to any vote of the holders of any class or series of capital stock of the Corporation required by applicable law or the Certificate of Incorporation, the affirmative vote of the holders of at least a majority of the voting (except as otherwise provided in Section 8.7) power of all outstanding shares of capital stock of the Corporation entitled to vote generally in the election of directors, voting together as a single class, shall be required for the stockholders to adopt, amend, alter or repeal the Bylaws.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1" w:name="ea024660701ex4-4_cidhold.htm"/>
      <w:bookmarkStart w:id="32" w:name="ksea024660701ex44_cidhold"/>
      <w:bookmarkEnd w:id="31"/>
      <w:bookmarkEnd w:id="32"/>
      <w:r>
        <w:rPr>
          <w:rFonts w:ascii="Times New Roman;Times;Serif" w:hAnsi="Times New Roman;Times;Serif"/>
          <w:b/>
          <w:i w:val="false"/>
          <w:caps w:val="false"/>
          <w:smallCaps w:val="false"/>
          <w:sz w:val="20"/>
        </w:rPr>
        <w:t>Exhibit 4.4</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ASSIGNMENT, ASSUMPTION AND AMENDMENT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ASSIGNMENT, ASSUMPTION AND AMENDMENT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as of June 18, 2025, by and among ShoulderUp Technology Acquisition Corp., a Delaware corporation (“SUAC”), CID HoldCo, Inc. a Delaware corporation (“Holdings”), and Continental Stock Transfer &amp; Trust SUAC, a New York limited purpose trust company (the “</w:t>
      </w:r>
      <w:r>
        <w:rPr>
          <w:rFonts w:ascii="Times New Roman;Times;Serif" w:hAnsi="Times New Roman;Times;Serif"/>
          <w:b w:val="false"/>
          <w:i w:val="false"/>
          <w:caps w:val="false"/>
          <w:smallCaps w:val="false"/>
          <w:sz w:val="20"/>
          <w:u w:val="single"/>
        </w:rPr>
        <w:t>Warrant Agent</w:t>
      </w:r>
      <w:r>
        <w:rPr>
          <w:rFonts w:ascii="Times New Roman;Times;Serif" w:hAnsi="Times New Roman;Times;Serif"/>
          <w:b w:val="false"/>
          <w:i w:val="false"/>
          <w:caps w:val="false"/>
          <w:smallCaps w:val="false"/>
          <w:sz w:val="20"/>
        </w:rPr>
        <w:t>”). Capitalized terms used but not defined in this Agreement shall have the respective meanings ascribed to such terms in the Business Combination Agreement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SUAC and the Warrant Agent are parties to that certain Warrant Agreement, dated as of November 16, 2021, filed with the United States Securities and Exchange Commission on November 16, 2021 (including all Exhibits thereto, the “</w:t>
      </w:r>
      <w:r>
        <w:rPr>
          <w:rFonts w:ascii="Times New Roman;Times;Serif" w:hAnsi="Times New Roman;Times;Serif"/>
          <w:b w:val="false"/>
          <w:i w:val="false"/>
          <w:caps w:val="false"/>
          <w:smallCaps w:val="false"/>
          <w:sz w:val="20"/>
          <w:u w:val="single"/>
        </w:rPr>
        <w:t>Existing Warrant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SUAC has issued and sold (a) 1,350,000 private placement units to ShoulderUp Technology Sponsor, LLC, a Delaware limited liability company (the “</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at a purchase price of $10.00 per Private placement unit, with each private placement unit consisting of one share of SUAC Class A Common Stock and one- half of one warrant (the “</w:t>
      </w:r>
      <w:r>
        <w:rPr>
          <w:rFonts w:ascii="Times New Roman;Times;Serif" w:hAnsi="Times New Roman;Times;Serif"/>
          <w:b w:val="false"/>
          <w:i w:val="false"/>
          <w:caps w:val="false"/>
          <w:smallCaps w:val="false"/>
          <w:sz w:val="20"/>
          <w:u w:val="single"/>
        </w:rPr>
        <w:t>Private Placement Warrants</w:t>
      </w:r>
      <w:r>
        <w:rPr>
          <w:rFonts w:ascii="Times New Roman;Times;Serif" w:hAnsi="Times New Roman;Times;Serif"/>
          <w:b w:val="false"/>
          <w:i w:val="false"/>
          <w:caps w:val="false"/>
          <w:smallCaps w:val="false"/>
          <w:sz w:val="20"/>
        </w:rPr>
        <w:t>”), with each Private Placement Warrant being exercisable for one share of SUAC Class A Common Stock and with an exercise price of $11.50 per share, and (b) 15,000,000 warrants as part of the units sold to public investors in a public offering (the “</w:t>
      </w:r>
      <w:r>
        <w:rPr>
          <w:rFonts w:ascii="Times New Roman;Times;Serif" w:hAnsi="Times New Roman;Times;Serif"/>
          <w:b w:val="false"/>
          <w:i w:val="false"/>
          <w:caps w:val="false"/>
          <w:smallCaps w:val="false"/>
          <w:sz w:val="20"/>
          <w:u w:val="single"/>
        </w:rPr>
        <w:t>Public Warrants</w:t>
      </w:r>
      <w:r>
        <w:rPr>
          <w:rFonts w:ascii="Times New Roman;Times;Serif" w:hAnsi="Times New Roman;Times;Serif"/>
          <w:b w:val="false"/>
          <w:i w:val="false"/>
          <w:caps w:val="false"/>
          <w:smallCaps w:val="false"/>
          <w:sz w:val="20"/>
        </w:rPr>
        <w:t>” and together with the Private Placement Warrants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to purchase SUAC Class A Common Stock, with each whole Public Warrant being exercisable for one share of SUAC Class A Common Stock and with an exercise price of $11.50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of the Warrants are governed by the Existing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SUAC, Holdings, ShoulderUp Merger Sub, Inc., a Delaware corporation and wholly-owned subsidiary of Holdings (“</w:t>
      </w:r>
      <w:r>
        <w:rPr>
          <w:rFonts w:ascii="Times New Roman;Times;Serif" w:hAnsi="Times New Roman;Times;Serif"/>
          <w:b/>
          <w:i/>
          <w:caps w:val="false"/>
          <w:smallCaps w:val="false"/>
          <w:sz w:val="20"/>
        </w:rPr>
        <w:t>ShoulderUp Merger Sub</w:t>
      </w:r>
      <w:r>
        <w:rPr>
          <w:rFonts w:ascii="Times New Roman;Times;Serif" w:hAnsi="Times New Roman;Times;Serif"/>
          <w:b w:val="false"/>
          <w:i w:val="false"/>
          <w:caps w:val="false"/>
          <w:smallCaps w:val="false"/>
          <w:sz w:val="20"/>
        </w:rPr>
        <w:t>”), SEI Merger Sub, Inc., a Delaware corporation and a wholly- owned subsidiary of Holdings (“</w:t>
      </w:r>
      <w:r>
        <w:rPr>
          <w:rFonts w:ascii="Times New Roman;Times;Serif" w:hAnsi="Times New Roman;Times;Serif"/>
          <w:b/>
          <w:i/>
          <w:caps w:val="false"/>
          <w:smallCaps w:val="false"/>
          <w:sz w:val="20"/>
        </w:rPr>
        <w:t>SEI Merger Sub,</w:t>
      </w:r>
      <w:r>
        <w:rPr>
          <w:rFonts w:ascii="Times New Roman;Times;Serif" w:hAnsi="Times New Roman;Times;Serif"/>
          <w:b w:val="false"/>
          <w:i w:val="false"/>
          <w:caps w:val="false"/>
          <w:smallCaps w:val="false"/>
          <w:sz w:val="20"/>
        </w:rPr>
        <w:t>” and together with ShoulderUp Merger Sub, the “</w:t>
      </w:r>
      <w:r>
        <w:rPr>
          <w:rFonts w:ascii="Times New Roman;Times;Serif" w:hAnsi="Times New Roman;Times;Serif"/>
          <w:b/>
          <w:i/>
          <w:caps w:val="false"/>
          <w:smallCaps w:val="false"/>
          <w:sz w:val="20"/>
        </w:rPr>
        <w:t>Merger Subs</w:t>
      </w:r>
      <w:r>
        <w:rPr>
          <w:rFonts w:ascii="Times New Roman;Times;Serif" w:hAnsi="Times New Roman;Times;Serif"/>
          <w:b w:val="false"/>
          <w:i w:val="false"/>
          <w:caps w:val="false"/>
          <w:smallCaps w:val="false"/>
          <w:sz w:val="20"/>
        </w:rPr>
        <w:t>”), and SEE ID, Inc., a Nevada corporation (“</w:t>
      </w:r>
      <w:r>
        <w:rPr>
          <w:rFonts w:ascii="Times New Roman;Times;Serif" w:hAnsi="Times New Roman;Times;Serif"/>
          <w:b/>
          <w:i/>
          <w:caps w:val="false"/>
          <w:smallCaps w:val="false"/>
          <w:sz w:val="20"/>
        </w:rPr>
        <w:t>SEE ID</w:t>
      </w:r>
      <w:r>
        <w:rPr>
          <w:rFonts w:ascii="Times New Roman;Times;Serif" w:hAnsi="Times New Roman;Times;Serif"/>
          <w:b w:val="false"/>
          <w:i w:val="false"/>
          <w:caps w:val="false"/>
          <w:smallCaps w:val="false"/>
          <w:sz w:val="20"/>
        </w:rPr>
        <w:t>”),, entered into that certain Business Combination Agreement, dated as of March 18, 2024 (as may be amended, restated, amended and restated, supplemented or otherwise modified from time to time, the “</w:t>
      </w:r>
      <w:r>
        <w:rPr>
          <w:rFonts w:ascii="Times New Roman;Times;Serif" w:hAnsi="Times New Roman;Times;Serif"/>
          <w:b w:val="false"/>
          <w:i w:val="false"/>
          <w:caps w:val="false"/>
          <w:smallCaps w:val="false"/>
          <w:sz w:val="20"/>
          <w:u w:val="single"/>
        </w:rPr>
        <w:t>Business Combination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the Closing Date, (i) ShoulderUp Merger Sub will merge with and into SUAC (the “</w:t>
      </w:r>
      <w:r>
        <w:rPr>
          <w:rFonts w:ascii="Times New Roman;Times;Serif" w:hAnsi="Times New Roman;Times;Serif"/>
          <w:b/>
          <w:i/>
          <w:caps w:val="false"/>
          <w:smallCaps w:val="false"/>
          <w:sz w:val="20"/>
        </w:rPr>
        <w:t>ShoulderUp Merger</w:t>
      </w:r>
      <w:r>
        <w:rPr>
          <w:rFonts w:ascii="Times New Roman;Times;Serif" w:hAnsi="Times New Roman;Times;Serif"/>
          <w:b w:val="false"/>
          <w:i w:val="false"/>
          <w:caps w:val="false"/>
          <w:smallCaps w:val="false"/>
          <w:sz w:val="20"/>
        </w:rPr>
        <w:t>”), with SUAC surviving the ShoulderUp Merger as a wholly-owned subsidiary of Holdings and (ii) simultaneously with the ShoulderUp Merger, SEI Merger Sub will merge with and into SEE ID (the “</w:t>
      </w:r>
      <w:r>
        <w:rPr>
          <w:rFonts w:ascii="Times New Roman;Times;Serif" w:hAnsi="Times New Roman;Times;Serif"/>
          <w:b/>
          <w:i/>
          <w:caps w:val="false"/>
          <w:smallCaps w:val="false"/>
          <w:sz w:val="20"/>
        </w:rPr>
        <w:t>SEE ID Merger</w:t>
      </w:r>
      <w:r>
        <w:rPr>
          <w:rFonts w:ascii="Times New Roman;Times;Serif" w:hAnsi="Times New Roman;Times;Serif"/>
          <w:b w:val="false"/>
          <w:i w:val="false"/>
          <w:caps w:val="false"/>
          <w:smallCaps w:val="false"/>
          <w:sz w:val="20"/>
        </w:rPr>
        <w:t>”), with SEE ID surviving the SEE ID Merger as a wholly-owned subsidiary of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following the consummation of the business combination, (i) the holders of shares of SUAC Common Stock issued and outstanding immediately prior to the effective time of the Business Combination (other than any redeemed shares) will receive one share of Holdings Common Stock in exchange for each share of SUAC Common Stock held by them, subject to adjustment as more fully described in the Business Combination Agreement, (ii) the holders of each whole warrant to purchase SUAC Class A Common Stock will receive one warrant to purchase Holdings Common Stock at an exercise price of $11.50 per share, and (iii) 13 million shares of Holdings Common Stock, subject to adjustment as more fully described in the Business Combination Agreement, will be issued to the SEE ID Stockholders in proportion to their ownership interests in SEE ID. As a result of the Business Combination, SUAC and SEE ID will become wholly-owned subsidiaries of Holdings.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contemplated by Section 4.4 of the Existing Warrant Agreement, the Warrants are no longer exercisable for shares of SUAC Class A Common Stock but instead are exercisable (subject to the terms and conditions of the Existing Warrant Agreement as amended hereby) for Holdings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SUAC Board has determined that the consummation of the transactions contemplated by the Business Combination Agreement constitutes a “Business Combination” (as such term is defined in Section 3.2 of the Existing Warrant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Holdings has obtained all necessary corporate approvals to enter into this Agreement and to consummate the transactions contemplated hereby (including the assignment and assumption of the Existing Warrant Agreement and the related issuance of each Warrant, and exchange thereof for a warrant to subscribe for Holdings Common Stock on the conditions set out herein, and the exclusion of any pre-emptive rights in that respect) and by the Existing Warrant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SUAC desires to assign all of its right, title and interest in the Existing Warrant Agreement to Holdings and Holdings wishes to accept such assignment;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9.8 of the Existing Warrant Agreement provides that SUAC and the Warrant Agent may amend the Existing Warrant Agreement without the consent of any Registered Holder (as such term is defined in the Existing Warrant Agreement) for the purpose of curing any ambiguity, or curing, correcting or supplementing any defective provision contained therein or adding or changing any other provisions with respect to matters or questions arising under the Existing Warrant Agreement as SUAC and the Warrant Agent may deem necessary or desirable and that SUAC and the Warrant Agent deem shall not adversely affect the interest of the Registered Holders (as such term is defined in the Existing Warrant Agreement) of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agreements contained herein and other good and valuable consideration, the receipt and sufficiency of which are hereby acknowledged, and intending to be legally bound hereby,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ASSIGNMENT AND ASSUMPTION;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Assignment and Assumption</w:t>
      </w:r>
      <w:r>
        <w:rPr>
          <w:rFonts w:ascii="Times New Roman;Times;Serif" w:hAnsi="Times New Roman;Times;Serif"/>
          <w:b w:val="false"/>
          <w:i w:val="false"/>
          <w:caps w:val="false"/>
          <w:smallCaps w:val="false"/>
          <w:sz w:val="20"/>
        </w:rPr>
        <w:t>. SUAC hereby assigns to Holdings all of SUAC’s right, title and interest in and to the Existing Warrant Agreement (as amended hereby) and Holdings hereby assumes, and agrees to pay, perform, satisfy and discharge in full, as the same become due, all of SUAC’s liabilities and obligations under the Existing Warrant Agreement (as amended hereby) arising from and after the execution of this Agreement, in each case, effective immediately following the completion of the Business Combination and conditioned on the occurrence of the Closing. As a result of the preceding sentence, effective immediately following the completion of the Business Combination, each Warrant shall automatically cease to represent a right to acquire SUAC Class A Common Stock and shall instead represent a right to acquire Holdings Common Stock pursuant to the terms and conditions of the Existing Warrant Agreement (as amended hereby). Holdings consents to payment of the Exercise Price (as defined in the Existing Warrant Agreement) upon an exercise of such warrants for Holdings Common Stock in accordance with the terms of the Existing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 xml:space="preserve">. The Warrant Agent hereby consents to the assignment of the Existing Warrant Agreement by SUAC to Holdings pursuant to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hereof effective immediately following the completion of the Domestication Merger and conditioned on the occurrence of the Closing, and the assumption of the Existing Warrant Agreement by Holdings from SUAC pursuant to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hereof effective immediately the completion of the Domestication Merger and conditioned on the occurrence of the Closing, and to the continuation of the Existing Warrant Agreement in full force and effect from and after the Business Combination, subject at all times to the Existing Warrant Agreement (as amended hereby) and to all of the provisions, covenants, agreements, terms and conditions of the Existing Warrant Agreement and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AMENDMENT OF EXISTING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SUAC and the Warrant Agent hereby amend the Existing Warrant Agreement as provided in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effective immediately upon the completion of the Business Combination and conditioned on the occurrence of the Closing, and acknowledge and agree that the amendments to the Existing Warrant Agreement set forth in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are necessary or desirable and that such amendments do not adversely affect the interests of the Registered Holders (as such term is defined in the Existing Warrant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Preamble</w:t>
      </w:r>
      <w:r>
        <w:rPr>
          <w:rFonts w:ascii="Times New Roman;Times;Serif" w:hAnsi="Times New Roman;Times;Serif"/>
          <w:b w:val="false"/>
          <w:i w:val="false"/>
          <w:caps w:val="false"/>
          <w:smallCaps w:val="false"/>
          <w:sz w:val="20"/>
        </w:rPr>
        <w:t>. All references to “ShoulderUp Technology Acquisition Corp., a Delaware corporation, in the Existing Warrant Agreement shall refer instead to “CID HoldCo, Inc., a Delaware Corporation”. As a result thereof, all references to the “Company” in the Existing Warrant Agreement shall be references to CID HoldCo, Inc. rather than to ShoulderUp Technology Acquisition Corp.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Reference to Holdings Common Stock</w:t>
      </w:r>
      <w:r>
        <w:rPr>
          <w:rFonts w:ascii="Times New Roman;Times;Serif" w:hAnsi="Times New Roman;Times;Serif"/>
          <w:b w:val="false"/>
          <w:i w:val="false"/>
          <w:caps w:val="false"/>
          <w:smallCaps w:val="false"/>
          <w:sz w:val="20"/>
        </w:rPr>
        <w:t>. All references to “Class A common stock” and “$0.0001 par value” in the Existing Warrant Agreement shall refer instead to “common stock” and “with a par value of $0.0001 per share”, respectively. As a result thereof, all references to “Common Stock” in the Existing Warrant Agreement shall be references to Holdings Common Stock rather than to SUAC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The address for notices to SUAC set forth in Section 9.2 of the Existing Warrant Agreement is hereby amended and restated in its entirety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 Old Georgetown Road, Suite 901</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Bethesda, Maryland 20814</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Edmund Nabrotzky</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Detachability of Warrants</w:t>
      </w:r>
      <w:r>
        <w:rPr>
          <w:rFonts w:ascii="Times New Roman;Times;Serif" w:hAnsi="Times New Roman;Times;Serif"/>
          <w:b w:val="false"/>
          <w:i w:val="false"/>
          <w:caps w:val="false"/>
          <w:smallCaps w:val="false"/>
          <w:sz w:val="20"/>
        </w:rPr>
        <w:t>. Section 2.4 of the Existing Warrant Agreement is hereby deleted and replaced with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[INTENTIONALLY OMITTED]”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Section 3.3.1(c) of the Existing Warrant Agreement is hereby deleted and replaced with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[INTENTIONALLY OMITTED]”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Issuance of Shares of Common Stock on Exercise</w:t>
      </w:r>
      <w:r>
        <w:rPr>
          <w:rFonts w:ascii="Times New Roman;Times;Serif" w:hAnsi="Times New Roman;Times;Serif"/>
          <w:b w:val="false"/>
          <w:i w:val="false"/>
          <w:caps w:val="false"/>
          <w:smallCaps w:val="false"/>
          <w:sz w:val="20"/>
        </w:rPr>
        <w:t xml:space="preserve"> Section 3.3.2 of the Existing Warrant Agreement is hereby deleted and replaced with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3.3.2. </w:t>
      </w:r>
      <w:r>
        <w:rPr>
          <w:rFonts w:ascii="Times New Roman;Times;Serif" w:hAnsi="Times New Roman;Times;Serif"/>
          <w:b w:val="false"/>
          <w:i w:val="false"/>
          <w:caps w:val="false"/>
          <w:smallCaps w:val="false"/>
          <w:sz w:val="20"/>
          <w:u w:val="single"/>
        </w:rPr>
        <w:t>Issuance of Shares of Common Stock on Exercise</w:t>
      </w:r>
      <w:r>
        <w:rPr>
          <w:rFonts w:ascii="Times New Roman;Times;Serif" w:hAnsi="Times New Roman;Times;Serif"/>
          <w:b w:val="false"/>
          <w:i w:val="false"/>
          <w:caps w:val="false"/>
          <w:smallCaps w:val="false"/>
          <w:sz w:val="20"/>
        </w:rPr>
        <w:t xml:space="preserve">. As soon as practicable after the exercise of any Warrant and the clearance of the funds in payment of the Exercise Price (if payment is pursuant to </w:t>
      </w:r>
      <w:r>
        <w:rPr>
          <w:rFonts w:ascii="Times New Roman;Times;Serif" w:hAnsi="Times New Roman;Times;Serif"/>
          <w:b w:val="false"/>
          <w:i w:val="false"/>
          <w:caps w:val="false"/>
          <w:smallCaps w:val="false"/>
          <w:sz w:val="20"/>
          <w:u w:val="single"/>
        </w:rPr>
        <w:t>subsection 3.3.1(a)</w:t>
      </w:r>
      <w:r>
        <w:rPr>
          <w:rFonts w:ascii="Times New Roman;Times;Serif" w:hAnsi="Times New Roman;Times;Serif"/>
          <w:b w:val="false"/>
          <w:i w:val="false"/>
          <w:caps w:val="false"/>
          <w:smallCaps w:val="false"/>
          <w:sz w:val="20"/>
        </w:rPr>
        <w:t>), the Company shall issue to the Registered Holder of such Warrant a book-entry position or certificate, as applicable, for the number of shares of Common Stock to which he, she or it is entitled, registered in such name or names as may be directed by him, her or it, and if such Warrant shall not have been exercised in full, a new book- entry position or countersigned Warrant, as applicable, for the number of shares of Common Stock as to which such Warrant shall not have been exercised. If fewer than all the Warrants evidenced by a Book-Entry Warrant Certificate are exercised, a notation shall be made to the records maintained by the Depositary, its nominee for each Book- Entry Warrant Certificate, or a Participant, as appropriate, evidencing the balance of the Warrants remaining after such exercise. In no event will the Company be required to net cash settle the Warrant exercise. The Company may require holders of Public Warrants to settle the Warrant on a “cashless basis” pursuant to subsection 3.3.1(b). If, by reason of any exercise of Warrants on a “cashless basis”, the holder of any Warrant would be entitled, upon the exercise of such Warrant, to receive a fractional interest in a share of Common Stock, the Company shall round down to the nearest whole number, the number of shares of Common Stock to be issued to such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Registration of Common Stock</w:t>
      </w:r>
      <w:r>
        <w:rPr>
          <w:rFonts w:ascii="Times New Roman;Times;Serif" w:hAnsi="Times New Roman;Times;Serif"/>
          <w:b w:val="false"/>
          <w:i w:val="false"/>
          <w:caps w:val="false"/>
          <w:smallCaps w:val="false"/>
          <w:sz w:val="20"/>
        </w:rPr>
        <w:t>. Section 7.4.1 of the Existing Warrant Agreement is hereby deleted and replaced with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[INTENTIONALLY OMITTED]”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Cashless Exercise at Company’s Option</w:t>
      </w:r>
      <w:r>
        <w:rPr>
          <w:rFonts w:ascii="Times New Roman;Times;Serif" w:hAnsi="Times New Roman;Times;Serif"/>
          <w:b w:val="false"/>
          <w:i w:val="false"/>
          <w:caps w:val="false"/>
          <w:smallCaps w:val="false"/>
          <w:sz w:val="20"/>
        </w:rPr>
        <w:t>. Section 7.4.2 of the Existing Warrant Agreement is hereby deleted and replaced with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[INTENTIONALLY OMITTED]”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Warrant Certificate</w:t>
      </w:r>
      <w:r>
        <w:rPr>
          <w:rFonts w:ascii="Times New Roman;Times;Serif" w:hAnsi="Times New Roman;Times;Serif"/>
          <w:b w:val="false"/>
          <w:i w:val="false"/>
          <w:caps w:val="false"/>
          <w:smallCaps w:val="false"/>
          <w:sz w:val="20"/>
        </w:rPr>
        <w:t>. The following sentence is hereby deleted from Exhibit A (Form of Warrant Certificate – Reverse):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In the event that the Warrant is to be exercised on a “cashless” basis pursuant to Section 7.4 of the Warrant Agreement, the number of shares of Common Stock that this Warrant is exercisable for shall be determined in accordance with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of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MISCELLANEOUS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Effectiveness of Agreement</w:t>
      </w:r>
      <w:r>
        <w:rPr>
          <w:rFonts w:ascii="Times New Roman;Times;Serif" w:hAnsi="Times New Roman;Times;Serif"/>
          <w:b w:val="false"/>
          <w:i w:val="false"/>
          <w:caps w:val="false"/>
          <w:smallCaps w:val="false"/>
          <w:sz w:val="20"/>
        </w:rPr>
        <w:t>. Each of the parties hereto acknowledges and agrees that the effectiveness of this Agreement shall be contingent upon the occurrence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Examination of the Existing Warrant Agreement</w:t>
      </w:r>
      <w:r>
        <w:rPr>
          <w:rFonts w:ascii="Times New Roman;Times;Serif" w:hAnsi="Times New Roman;Times;Serif"/>
          <w:b w:val="false"/>
          <w:i w:val="false"/>
          <w:caps w:val="false"/>
          <w:smallCaps w:val="false"/>
          <w:sz w:val="20"/>
        </w:rPr>
        <w:t>. A copy of this Agreement shall be available at all reasonable times at the office of the Warrant Agent in the United States of America, for inspection by the Registered Holder (as such term is defined in the Existing Warrant Agreement) of any Warrant. The Warrant Agent may require any such holder to submit such holder’s Warrant for inspection by the Warrant Agent.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the entire relationship of the parties hereto, and any dispute between the parties (whether grounded in contract, tort, statute, law or equity) shall be governed by, construed in accordance with, and interpreted pursuant to the laws of the State of New York, without giving effect to its choice of laws principles.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Persons Having Rights under this Agreement</w:t>
      </w:r>
      <w:r>
        <w:rPr>
          <w:rFonts w:ascii="Times New Roman;Times;Serif" w:hAnsi="Times New Roman;Times;Serif"/>
          <w:b w:val="false"/>
          <w:i w:val="false"/>
          <w:caps w:val="false"/>
          <w:smallCaps w:val="false"/>
          <w:sz w:val="20"/>
        </w:rPr>
        <w:t>. Nothing in this Agreement shall be construed to confer upon, or give to, any person or corporation other than the parties hereto and the Registered Holders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will be deemed an original but all of which together will constitute one and the same instrument.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xml:space="preserve">. Except to the extent specifically amended or superseded by the terms of this Agreement, all of the provisions of the Existing Warrant Agreement shall remain in full force and effect, as assigned and assumed by the parties hereto, to the extent in effect on the date hereof, and shall apply to this Agreement,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This Agreement and the Existing Warrant Agreement, as assigned and modified by this Agreement, constitutes the complete agreement between the parties and supersedes any prior written or oral agreements, writings, communications or understandings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Holdings, SUAC, and the Warrant Agent have duly executed this Agreement, all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75"/>
        <w:gridCol w:w="666"/>
        <w:gridCol w:w="1323"/>
        <w:gridCol w:w="4074"/>
      </w:tblGrid>
      <w:tr>
        <w:trPr/>
        <w:tc>
          <w:tcPr>
            <w:tcW w:w="75" w:type="dxa"/>
            <w:tcBorders/>
            <w:vAlign w:val="center"/>
          </w:tcPr>
          <w:p>
            <w:pPr>
              <w:pStyle w:val="TableContents"/>
              <w:bidi w:val="0"/>
              <w:spacing w:before="0" w:after="283"/>
              <w:jc w:val="left"/>
              <w:rPr/>
            </w:pPr>
            <w:r>
              <w:rPr/>
              <w:t> </w:t>
            </w:r>
          </w:p>
        </w:tc>
        <w:tc>
          <w:tcPr>
            <w:tcW w:w="6063" w:type="dxa"/>
            <w:gridSpan w:val="3"/>
            <w:tcBorders/>
            <w:vAlign w:val="center"/>
          </w:tcPr>
          <w:p>
            <w:pPr>
              <w:pStyle w:val="TableContents"/>
              <w:bidi w:val="0"/>
              <w:spacing w:before="0" w:after="283"/>
              <w:jc w:val="left"/>
              <w:rPr>
                <w:b/>
              </w:rPr>
            </w:pPr>
            <w:r>
              <w:rPr>
                <w:b/>
              </w:rPr>
              <w:t>SHOULDERUP TECHNOLOGY ACQUISITION CORP.</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c>
          <w:tcPr>
            <w:tcW w:w="5397"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sz w:val="20"/>
              </w:rPr>
            </w:pPr>
            <w:r>
              <w:rPr>
                <w:sz w:val="20"/>
              </w:rPr>
              <w:t>By:</w:t>
            </w:r>
          </w:p>
        </w:tc>
        <w:tc>
          <w:tcPr>
            <w:tcW w:w="5397" w:type="dxa"/>
            <w:gridSpan w:val="2"/>
            <w:tcBorders>
              <w:bottom w:val="single" w:sz="12" w:space="0" w:color="000000"/>
            </w:tcBorders>
            <w:tcMar>
              <w:bottom w:w="28" w:type="dxa"/>
            </w:tcMar>
            <w:vAlign w:val="center"/>
          </w:tcPr>
          <w:p>
            <w:pPr>
              <w:pStyle w:val="TableContents"/>
              <w:bidi w:val="0"/>
              <w:spacing w:before="0" w:after="283"/>
              <w:jc w:val="left"/>
              <w:rPr/>
            </w:pPr>
            <w:r>
              <w:rPr/>
              <w:t>/s/ Phyllis Newhouse</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sz w:val="20"/>
              </w:rPr>
            </w:pPr>
            <w:r>
              <w:rPr>
                <w:sz w:val="20"/>
              </w:rPr>
              <w:t xml:space="preserve">Name:  </w:t>
            </w:r>
          </w:p>
        </w:tc>
        <w:tc>
          <w:tcPr>
            <w:tcW w:w="4074" w:type="dxa"/>
            <w:tcBorders/>
            <w:vAlign w:val="center"/>
          </w:tcPr>
          <w:p>
            <w:pPr>
              <w:pStyle w:val="TableContents"/>
              <w:bidi w:val="0"/>
              <w:spacing w:before="0" w:after="283"/>
              <w:jc w:val="left"/>
              <w:rPr>
                <w:sz w:val="20"/>
              </w:rPr>
            </w:pPr>
            <w:r>
              <w:rPr>
                <w:sz w:val="20"/>
              </w:rPr>
              <w:t>Phyllis Newhouse</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sz w:val="20"/>
              </w:rPr>
            </w:pPr>
            <w:r>
              <w:rPr>
                <w:sz w:val="20"/>
              </w:rPr>
              <w:t xml:space="preserve">Title: </w:t>
            </w:r>
          </w:p>
        </w:tc>
        <w:tc>
          <w:tcPr>
            <w:tcW w:w="4074"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75"/>
        <w:gridCol w:w="320"/>
        <w:gridCol w:w="635"/>
        <w:gridCol w:w="1955"/>
      </w:tblGrid>
      <w:tr>
        <w:trPr/>
        <w:tc>
          <w:tcPr>
            <w:tcW w:w="75" w:type="dxa"/>
            <w:tcBorders/>
            <w:vAlign w:val="center"/>
          </w:tcPr>
          <w:p>
            <w:pPr>
              <w:pStyle w:val="TableContents"/>
              <w:bidi w:val="0"/>
              <w:spacing w:before="0" w:after="283"/>
              <w:jc w:val="left"/>
              <w:rPr/>
            </w:pPr>
            <w:r>
              <w:rPr/>
              <w:t> </w:t>
            </w:r>
          </w:p>
        </w:tc>
        <w:tc>
          <w:tcPr>
            <w:tcW w:w="2910" w:type="dxa"/>
            <w:gridSpan w:val="3"/>
            <w:tcBorders/>
            <w:vAlign w:val="center"/>
          </w:tcPr>
          <w:p>
            <w:pPr>
              <w:pStyle w:val="TableContents"/>
              <w:bidi w:val="0"/>
              <w:spacing w:before="0" w:after="283"/>
              <w:jc w:val="left"/>
              <w:rPr>
                <w:b/>
              </w:rPr>
            </w:pPr>
            <w:r>
              <w:rPr>
                <w:b/>
              </w:rPr>
              <w:t>CID HOLDCO,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590" w:type="dxa"/>
            <w:gridSpan w:val="2"/>
            <w:tcBorders>
              <w:bottom w:val="single" w:sz="12" w:space="0" w:color="000000"/>
            </w:tcBorders>
            <w:tcMar>
              <w:bottom w:w="28" w:type="dxa"/>
            </w:tcMar>
            <w:vAlign w:val="center"/>
          </w:tcPr>
          <w:p>
            <w:pPr>
              <w:pStyle w:val="TableContents"/>
              <w:bidi w:val="0"/>
              <w:spacing w:before="0" w:after="283"/>
              <w:jc w:val="left"/>
              <w:rPr/>
            </w:pPr>
            <w:r>
              <w:rPr/>
              <w:t>/s/ Phyllis Newhouse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1955" w:type="dxa"/>
            <w:tcBorders/>
            <w:vAlign w:val="center"/>
          </w:tcPr>
          <w:p>
            <w:pPr>
              <w:pStyle w:val="TableContents"/>
              <w:bidi w:val="0"/>
              <w:spacing w:before="0" w:after="283"/>
              <w:jc w:val="left"/>
              <w:rPr>
                <w:sz w:val="20"/>
              </w:rPr>
            </w:pPr>
            <w:r>
              <w:rPr>
                <w:sz w:val="20"/>
              </w:rPr>
              <w:t>Phyllis Newhouse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Title: </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75"/>
        <w:gridCol w:w="943"/>
        <w:gridCol w:w="1872"/>
        <w:gridCol w:w="3818"/>
      </w:tblGrid>
      <w:tr>
        <w:trPr/>
        <w:tc>
          <w:tcPr>
            <w:tcW w:w="75" w:type="dxa"/>
            <w:tcBorders/>
            <w:vAlign w:val="center"/>
          </w:tcPr>
          <w:p>
            <w:pPr>
              <w:pStyle w:val="TableContents"/>
              <w:bidi w:val="0"/>
              <w:spacing w:before="0" w:after="283"/>
              <w:jc w:val="left"/>
              <w:rPr/>
            </w:pPr>
            <w:r>
              <w:rPr/>
              <w:t> </w:t>
            </w:r>
          </w:p>
        </w:tc>
        <w:tc>
          <w:tcPr>
            <w:tcW w:w="6633" w:type="dxa"/>
            <w:gridSpan w:val="3"/>
            <w:tcBorders/>
            <w:vAlign w:val="center"/>
          </w:tcPr>
          <w:p>
            <w:pPr>
              <w:pStyle w:val="TableContents"/>
              <w:bidi w:val="0"/>
              <w:spacing w:before="0" w:after="283"/>
              <w:jc w:val="left"/>
              <w:rPr>
                <w:b/>
              </w:rPr>
            </w:pPr>
            <w:r>
              <w:rPr>
                <w:b/>
              </w:rPr>
              <w:t>CONTINENTAL STOCK TRANSFER &amp; TRUST COMPANY</w:t>
            </w:r>
          </w:p>
        </w:tc>
      </w:tr>
      <w:tr>
        <w:trPr/>
        <w:tc>
          <w:tcPr>
            <w:tcW w:w="7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 </w:t>
            </w:r>
          </w:p>
        </w:tc>
        <w:tc>
          <w:tcPr>
            <w:tcW w:w="56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sz w:val="20"/>
              </w:rPr>
            </w:pPr>
            <w:r>
              <w:rPr>
                <w:sz w:val="20"/>
              </w:rPr>
              <w:t>By:</w:t>
            </w:r>
          </w:p>
        </w:tc>
        <w:tc>
          <w:tcPr>
            <w:tcW w:w="5690" w:type="dxa"/>
            <w:gridSpan w:val="2"/>
            <w:tcBorders>
              <w:bottom w:val="single" w:sz="12" w:space="0" w:color="000000"/>
            </w:tcBorders>
            <w:tcMar>
              <w:bottom w:w="28" w:type="dxa"/>
            </w:tcMar>
            <w:vAlign w:val="center"/>
          </w:tcPr>
          <w:p>
            <w:pPr>
              <w:pStyle w:val="TableContents"/>
              <w:bidi w:val="0"/>
              <w:spacing w:before="0" w:after="283"/>
              <w:jc w:val="left"/>
              <w:rPr/>
            </w:pPr>
            <w:r>
              <w:rPr/>
              <w:t>/s/ Steven Vacante</w:t>
            </w:r>
          </w:p>
        </w:tc>
      </w:tr>
      <w:tr>
        <w:trPr/>
        <w:tc>
          <w:tcPr>
            <w:tcW w:w="7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 </w:t>
            </w:r>
          </w:p>
        </w:tc>
        <w:tc>
          <w:tcPr>
            <w:tcW w:w="1872" w:type="dxa"/>
            <w:tcBorders/>
            <w:vAlign w:val="center"/>
          </w:tcPr>
          <w:p>
            <w:pPr>
              <w:pStyle w:val="TableContents"/>
              <w:bidi w:val="0"/>
              <w:spacing w:before="0" w:after="283"/>
              <w:jc w:val="left"/>
              <w:rPr>
                <w:sz w:val="20"/>
              </w:rPr>
            </w:pPr>
            <w:r>
              <w:rPr>
                <w:sz w:val="20"/>
              </w:rPr>
              <w:t xml:space="preserve">Name:  </w:t>
            </w:r>
          </w:p>
        </w:tc>
        <w:tc>
          <w:tcPr>
            <w:tcW w:w="3818" w:type="dxa"/>
            <w:tcBorders/>
            <w:vAlign w:val="center"/>
          </w:tcPr>
          <w:p>
            <w:pPr>
              <w:pStyle w:val="TableContents"/>
              <w:bidi w:val="0"/>
              <w:spacing w:before="0" w:after="283"/>
              <w:jc w:val="left"/>
              <w:rPr>
                <w:sz w:val="20"/>
              </w:rPr>
            </w:pPr>
            <w:r>
              <w:rPr>
                <w:sz w:val="20"/>
              </w:rPr>
              <w:t>Steven Vacante</w:t>
            </w:r>
          </w:p>
        </w:tc>
      </w:tr>
      <w:tr>
        <w:trPr/>
        <w:tc>
          <w:tcPr>
            <w:tcW w:w="7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 </w:t>
            </w:r>
          </w:p>
        </w:tc>
        <w:tc>
          <w:tcPr>
            <w:tcW w:w="1872" w:type="dxa"/>
            <w:tcBorders/>
            <w:vAlign w:val="center"/>
          </w:tcPr>
          <w:p>
            <w:pPr>
              <w:pStyle w:val="TableContents"/>
              <w:bidi w:val="0"/>
              <w:spacing w:before="0" w:after="283"/>
              <w:jc w:val="left"/>
              <w:rPr>
                <w:sz w:val="20"/>
              </w:rPr>
            </w:pPr>
            <w:r>
              <w:rPr>
                <w:sz w:val="20"/>
              </w:rPr>
              <w:t xml:space="preserve">Title: </w:t>
            </w:r>
          </w:p>
        </w:tc>
        <w:tc>
          <w:tcPr>
            <w:tcW w:w="3818" w:type="dxa"/>
            <w:tcBorders/>
            <w:vAlign w:val="center"/>
          </w:tcPr>
          <w:p>
            <w:pPr>
              <w:pStyle w:val="TableContents"/>
              <w:bidi w:val="0"/>
              <w:spacing w:before="0" w:after="283"/>
              <w:jc w:val="left"/>
              <w:rPr>
                <w:sz w:val="20"/>
              </w:rPr>
            </w:pPr>
            <w:r>
              <w:rPr>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Warrant Assumption Agreement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right"/>
        <w:rPr>
          <w:rFonts w:ascii="Times New Roman;Times;Serif" w:hAnsi="Times New Roman;Times;Serif"/>
          <w:b/>
          <w:i w:val="false"/>
          <w:caps w:val="false"/>
          <w:smallCaps w:val="false"/>
          <w:sz w:val="20"/>
        </w:rPr>
      </w:pPr>
      <w:bookmarkStart w:id="33" w:name="ea024660701ex10-8_cidhold.htm"/>
      <w:bookmarkStart w:id="34" w:name="ksea024660701ex108_cidhold"/>
      <w:bookmarkEnd w:id="33"/>
      <w:bookmarkEnd w:id="34"/>
      <w:r>
        <w:rPr>
          <w:rFonts w:ascii="Times New Roman;Times;Serif" w:hAnsi="Times New Roman;Times;Serif"/>
          <w:b/>
          <w:i w:val="false"/>
          <w:caps w:val="false"/>
          <w:smallCaps w:val="false"/>
          <w:sz w:val="20"/>
        </w:rPr>
        <w:t>Exhibit 10.8</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SUBSCRIPTION AGREEMENT (this </w:t>
      </w:r>
      <w:r>
        <w:rPr>
          <w:rFonts w:ascii="Times New Roman;Times;Serif" w:hAnsi="Times New Roman;Times;Serif"/>
          <w:b w:val="false"/>
          <w:i w:val="false"/>
          <w:caps w:val="false"/>
          <w:smallCaps w:val="false"/>
          <w:sz w:val="20"/>
          <w:u w:val="single"/>
        </w:rPr>
        <w:t>“Subscription Agreeme</w:t>
      </w:r>
      <w:r>
        <w:rPr>
          <w:rFonts w:ascii="Times New Roman;Times;Serif" w:hAnsi="Times New Roman;Times;Serif"/>
          <w:b w:val="false"/>
          <w:i w:val="false"/>
          <w:caps w:val="false"/>
          <w:smallCaps w:val="false"/>
          <w:sz w:val="20"/>
        </w:rPr>
        <w:t>nt”) is entered into on    , 2025, by and among CID HoldCo, Inc., a Delaware corporation (</w:t>
      </w:r>
      <w:r>
        <w:rPr>
          <w:rFonts w:ascii="Times New Roman;Times;Serif" w:hAnsi="Times New Roman;Times;Serif"/>
          <w:b w:val="false"/>
          <w:i w:val="false"/>
          <w:caps w:val="false"/>
          <w:smallCaps w:val="false"/>
          <w:sz w:val="20"/>
          <w:u w:val="single"/>
        </w:rPr>
        <w:t>“Holding</w:t>
      </w:r>
      <w:r>
        <w:rPr>
          <w:rFonts w:ascii="Times New Roman;Times;Serif" w:hAnsi="Times New Roman;Times;Serif"/>
          <w:b w:val="false"/>
          <w:i w:val="false"/>
          <w:caps w:val="false"/>
          <w:smallCaps w:val="false"/>
          <w:sz w:val="20"/>
        </w:rPr>
        <w:t>s”) and the undersigned subscriber (“</w:t>
      </w:r>
      <w:r>
        <w:rPr>
          <w:rFonts w:ascii="Times New Roman;Times;Serif" w:hAnsi="Times New Roman;Times;Serif"/>
          <w:b w:val="false"/>
          <w:i w:val="false"/>
          <w:caps w:val="false"/>
          <w:smallCaps w:val="false"/>
          <w:sz w:val="20"/>
          <w:u w:val="single"/>
        </w:rPr>
        <w:t>Subscriber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SEE ID, Inc., a Nevada corporation (the “Company”), ShoulderUp Technology Acquisition Corp., a Delaware corporation (“</w:t>
      </w:r>
      <w:r>
        <w:rPr>
          <w:rFonts w:ascii="Times New Roman;Times;Serif" w:hAnsi="Times New Roman;Times;Serif"/>
          <w:b w:val="false"/>
          <w:i w:val="false"/>
          <w:caps w:val="false"/>
          <w:smallCaps w:val="false"/>
          <w:sz w:val="20"/>
          <w:u w:val="single"/>
        </w:rPr>
        <w:t>SUAC</w:t>
      </w:r>
      <w:r>
        <w:rPr>
          <w:rFonts w:ascii="Times New Roman;Times;Serif" w:hAnsi="Times New Roman;Times;Serif"/>
          <w:b w:val="false"/>
          <w:i w:val="false"/>
          <w:caps w:val="false"/>
          <w:smallCaps w:val="false"/>
          <w:sz w:val="20"/>
        </w:rPr>
        <w:t>”), CID HoldCo, Inc., a Delaware corporation and wholly-owned subsidiary of SUAC (“</w:t>
      </w:r>
      <w:r>
        <w:rPr>
          <w:rFonts w:ascii="Times New Roman;Times;Serif" w:hAnsi="Times New Roman;Times;Serif"/>
          <w:b w:val="false"/>
          <w:i w:val="false"/>
          <w:caps w:val="false"/>
          <w:smallCaps w:val="false"/>
          <w:sz w:val="20"/>
          <w:u w:val="single"/>
        </w:rPr>
        <w:t>Holdings</w:t>
      </w:r>
      <w:r>
        <w:rPr>
          <w:rFonts w:ascii="Times New Roman;Times;Serif" w:hAnsi="Times New Roman;Times;Serif"/>
          <w:b w:val="false"/>
          <w:i w:val="false"/>
          <w:caps w:val="false"/>
          <w:smallCaps w:val="false"/>
          <w:sz w:val="20"/>
        </w:rPr>
        <w:t>”), ShoulderUp Merger Sub, Inc., a Delaware corporation and wholly-owned subsidiary of Holdings (“</w:t>
      </w:r>
      <w:r>
        <w:rPr>
          <w:rFonts w:ascii="Times New Roman;Times;Serif" w:hAnsi="Times New Roman;Times;Serif"/>
          <w:b w:val="false"/>
          <w:i w:val="false"/>
          <w:caps w:val="false"/>
          <w:smallCaps w:val="false"/>
          <w:sz w:val="20"/>
          <w:u w:val="single"/>
        </w:rPr>
        <w:t>ShoulderUp Merger Sub</w:t>
      </w:r>
      <w:r>
        <w:rPr>
          <w:rFonts w:ascii="Times New Roman;Times;Serif" w:hAnsi="Times New Roman;Times;Serif"/>
          <w:b w:val="false"/>
          <w:i w:val="false"/>
          <w:caps w:val="false"/>
          <w:smallCaps w:val="false"/>
          <w:sz w:val="20"/>
        </w:rPr>
        <w:t>”), and SEI Merger Sub, Inc., a Delaware corporation and a wholly-owned subsidiary of Holdings (“SEI Merger Sub,” and together with ShoulderUp Merger Sub, the “</w:t>
      </w:r>
      <w:r>
        <w:rPr>
          <w:rFonts w:ascii="Times New Roman;Times;Serif" w:hAnsi="Times New Roman;Times;Serif"/>
          <w:b w:val="false"/>
          <w:i w:val="false"/>
          <w:caps w:val="false"/>
          <w:smallCaps w:val="false"/>
          <w:sz w:val="20"/>
          <w:u w:val="single"/>
        </w:rPr>
        <w:t>Merger Subs</w:t>
      </w:r>
      <w:r>
        <w:rPr>
          <w:rFonts w:ascii="Times New Roman;Times;Serif" w:hAnsi="Times New Roman;Times;Serif"/>
          <w:b w:val="false"/>
          <w:i w:val="false"/>
          <w:caps w:val="false"/>
          <w:smallCaps w:val="false"/>
          <w:sz w:val="20"/>
        </w:rPr>
        <w:t>”) have entered into that certain Business Combination Agreement, dated as of March 18, 2024 (as may be further amended, supplemented or otherwise modified from time to time, the “</w:t>
      </w:r>
      <w:r>
        <w:rPr>
          <w:rFonts w:ascii="Times New Roman;Times;Serif" w:hAnsi="Times New Roman;Times;Serif"/>
          <w:b w:val="false"/>
          <w:i w:val="false"/>
          <w:caps w:val="false"/>
          <w:smallCaps w:val="false"/>
          <w:sz w:val="20"/>
          <w:u w:val="single"/>
        </w:rPr>
        <w:t>Business Combination Agreement</w:t>
      </w:r>
      <w:r>
        <w:rPr>
          <w:rFonts w:ascii="Times New Roman;Times;Serif" w:hAnsi="Times New Roman;Times;Serif"/>
          <w:b w:val="false"/>
          <w:i w:val="false"/>
          <w:caps w:val="false"/>
          <w:smallCaps w:val="false"/>
          <w:sz w:val="20"/>
        </w:rPr>
        <w:t>”), pursuant to which, ShoulderUp Merger Sub will merge with and into SUAC (the “</w:t>
      </w:r>
      <w:r>
        <w:rPr>
          <w:rFonts w:ascii="Times New Roman;Times;Serif" w:hAnsi="Times New Roman;Times;Serif"/>
          <w:b w:val="false"/>
          <w:i w:val="false"/>
          <w:caps w:val="false"/>
          <w:smallCaps w:val="false"/>
          <w:sz w:val="20"/>
          <w:u w:val="single"/>
        </w:rPr>
        <w:t>ShoulderUp Merger</w:t>
      </w:r>
      <w:r>
        <w:rPr>
          <w:rFonts w:ascii="Times New Roman;Times;Serif" w:hAnsi="Times New Roman;Times;Serif"/>
          <w:b w:val="false"/>
          <w:i w:val="false"/>
          <w:caps w:val="false"/>
          <w:smallCaps w:val="false"/>
          <w:sz w:val="20"/>
        </w:rPr>
        <w:t>”), with SUAC surviving the ShoulderUp Merger as a wholly-owned subsidiary of Holdings (the “</w:t>
      </w:r>
      <w:r>
        <w:rPr>
          <w:rFonts w:ascii="Times New Roman;Times;Serif" w:hAnsi="Times New Roman;Times;Serif"/>
          <w:b w:val="false"/>
          <w:i w:val="false"/>
          <w:caps w:val="false"/>
          <w:smallCaps w:val="false"/>
          <w:sz w:val="20"/>
          <w:u w:val="single"/>
        </w:rPr>
        <w:t>ShoulderUp Surviving Company</w:t>
      </w:r>
      <w:r>
        <w:rPr>
          <w:rFonts w:ascii="Times New Roman;Times;Serif" w:hAnsi="Times New Roman;Times;Serif"/>
          <w:b w:val="false"/>
          <w:i w:val="false"/>
          <w:caps w:val="false"/>
          <w:smallCaps w:val="false"/>
          <w:sz w:val="20"/>
        </w:rPr>
        <w:t>”); and (ii) simultaneously with the ShoulderUp Merger, SEI Merger Sub will merge with and into SEE ID (the “</w:t>
      </w:r>
      <w:r>
        <w:rPr>
          <w:rFonts w:ascii="Times New Roman;Times;Serif" w:hAnsi="Times New Roman;Times;Serif"/>
          <w:b w:val="false"/>
          <w:i w:val="false"/>
          <w:caps w:val="false"/>
          <w:smallCaps w:val="false"/>
          <w:sz w:val="20"/>
          <w:u w:val="single"/>
        </w:rPr>
        <w:t>SEE ID Merger</w:t>
      </w:r>
      <w:r>
        <w:rPr>
          <w:rFonts w:ascii="Times New Roman;Times;Serif" w:hAnsi="Times New Roman;Times;Serif"/>
          <w:b w:val="false"/>
          <w:i w:val="false"/>
          <w:caps w:val="false"/>
          <w:smallCaps w:val="false"/>
          <w:sz w:val="20"/>
        </w:rPr>
        <w:t>”), with SEE ID surviving the SEE ID Merger as a wholly-owned subsidiary of Holdings (the “</w:t>
      </w:r>
      <w:r>
        <w:rPr>
          <w:rFonts w:ascii="Times New Roman;Times;Serif" w:hAnsi="Times New Roman;Times;Serif"/>
          <w:b w:val="false"/>
          <w:i w:val="false"/>
          <w:caps w:val="false"/>
          <w:smallCaps w:val="false"/>
          <w:sz w:val="20"/>
          <w:u w:val="single"/>
        </w:rPr>
        <w:t>Surviving Company</w:t>
      </w:r>
      <w:r>
        <w:rPr>
          <w:rFonts w:ascii="Times New Roman;Times;Serif" w:hAnsi="Times New Roman;Times;Serif"/>
          <w:b w:val="false"/>
          <w:i w:val="false"/>
          <w:caps w:val="false"/>
          <w:smallCaps w:val="false"/>
          <w:sz w:val="20"/>
        </w:rPr>
        <w:t>”) (the ShoulderUp Merger and the SEE ID Merger, together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and together with the other transactions contemplated by the Business Combination Agreement,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terms of the Business Combination Agreement, Holdings filed with the U.S.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a registration statement on Form S-4 (as amended or supplemented from time to time, the “</w:t>
      </w:r>
      <w:r>
        <w:rPr>
          <w:rFonts w:ascii="Times New Roman;Times;Serif" w:hAnsi="Times New Roman;Times;Serif"/>
          <w:b w:val="false"/>
          <w:i w:val="false"/>
          <w:caps w:val="false"/>
          <w:smallCaps w:val="false"/>
          <w:sz w:val="20"/>
          <w:u w:val="single"/>
        </w:rPr>
        <w:t>Business Combination Registration Statement</w:t>
      </w:r>
      <w:r>
        <w:rPr>
          <w:rFonts w:ascii="Times New Roman;Times;Serif" w:hAnsi="Times New Roman;Times;Serif"/>
          <w:b w:val="false"/>
          <w:i w:val="false"/>
          <w:caps w:val="false"/>
          <w:smallCaps w:val="false"/>
          <w:sz w:val="20"/>
        </w:rPr>
        <w:t>”), pursuant to which at the closing of the Business Combination, (i) the holders of shares of SUAC’s common stock (“</w:t>
      </w:r>
      <w:r>
        <w:rPr>
          <w:rFonts w:ascii="Times New Roman;Times;Serif" w:hAnsi="Times New Roman;Times;Serif"/>
          <w:b w:val="false"/>
          <w:i w:val="false"/>
          <w:caps w:val="false"/>
          <w:smallCaps w:val="false"/>
          <w:sz w:val="20"/>
          <w:u w:val="single"/>
        </w:rPr>
        <w:t>SUAC Common Stock</w:t>
      </w:r>
      <w:r>
        <w:rPr>
          <w:rFonts w:ascii="Times New Roman;Times;Serif" w:hAnsi="Times New Roman;Times;Serif"/>
          <w:b w:val="false"/>
          <w:i w:val="false"/>
          <w:caps w:val="false"/>
          <w:smallCaps w:val="false"/>
          <w:sz w:val="20"/>
        </w:rPr>
        <w:t>”) issued and outstanding immediately prior to the effective time of the Business Combination (other than any redeemed shares) will receive one share of common stock of Holdings (“</w:t>
      </w:r>
      <w:r>
        <w:rPr>
          <w:rFonts w:ascii="Times New Roman;Times;Serif" w:hAnsi="Times New Roman;Times;Serif"/>
          <w:b w:val="false"/>
          <w:i w:val="false"/>
          <w:caps w:val="false"/>
          <w:smallCaps w:val="false"/>
          <w:sz w:val="20"/>
          <w:u w:val="single"/>
        </w:rPr>
        <w:t>Holdings Common Stock</w:t>
      </w:r>
      <w:r>
        <w:rPr>
          <w:rFonts w:ascii="Times New Roman;Times;Serif" w:hAnsi="Times New Roman;Times;Serif"/>
          <w:b w:val="false"/>
          <w:i w:val="false"/>
          <w:caps w:val="false"/>
          <w:smallCaps w:val="false"/>
          <w:sz w:val="20"/>
        </w:rPr>
        <w:t>”) in exchange for each share of SUAC Common Stock held by them, subject to adjustment as more fully described in the Business Combination Agreement, (ii) the holders of each whole warrant to purchase SUAC Class A Common Stock will receive one warrant to purchase Holdings Common Stock at an exercise price of $11.50 per share, and (iii) 13 million shares of Holdings Common Stock, subject to adjustment as more fully described in the Business Combination Agreement, will be issued to the Company’s stockholders in exchange for their shares of the Company’s common stock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and such shares of SUAC Common Stock and Common Stock to be issued in exchange for the shares of Holdings Common Stock, collectively, the “</w:t>
      </w:r>
      <w:r>
        <w:rPr>
          <w:rFonts w:ascii="Times New Roman;Times;Serif" w:hAnsi="Times New Roman;Times;Serif"/>
          <w:b w:val="false"/>
          <w:i w:val="false"/>
          <w:caps w:val="false"/>
          <w:smallCaps w:val="false"/>
          <w:sz w:val="20"/>
          <w:u w:val="single"/>
        </w:rPr>
        <w:t>Exchange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Holdings and the Subscriber are executing and delivering this Subscription Agreement in reliance upon the exemption from securities registration afforded by Section 4(a)(2) of the Securities Act of 1933, as amended (the “</w:t>
      </w:r>
      <w:r>
        <w:rPr>
          <w:rFonts w:ascii="Times New Roman;Times;Serif" w:hAnsi="Times New Roman;Times;Serif"/>
          <w:b w:val="false"/>
          <w:i w:val="false"/>
          <w:caps w:val="false"/>
          <w:smallCaps w:val="false"/>
          <w:sz w:val="20"/>
          <w:u w:val="single"/>
        </w:rPr>
        <w:t>1933 Act</w:t>
      </w:r>
      <w:r>
        <w:rPr>
          <w:rFonts w:ascii="Times New Roman;Times;Serif" w:hAnsi="Times New Roman;Times;Serif"/>
          <w:b w:val="false"/>
          <w:i w:val="false"/>
          <w:caps w:val="false"/>
          <w:smallCaps w:val="false"/>
          <w:sz w:val="20"/>
        </w:rPr>
        <w:t>”), and Rule 506(b) of Regulation D (“</w:t>
      </w:r>
      <w:r>
        <w:rPr>
          <w:rFonts w:ascii="Times New Roman;Times;Serif" w:hAnsi="Times New Roman;Times;Serif"/>
          <w:b w:val="false"/>
          <w:i w:val="false"/>
          <w:caps w:val="false"/>
          <w:smallCaps w:val="false"/>
          <w:sz w:val="20"/>
          <w:u w:val="single"/>
        </w:rPr>
        <w:t>Regulation D</w:t>
      </w:r>
      <w:r>
        <w:rPr>
          <w:rFonts w:ascii="Times New Roman;Times;Serif" w:hAnsi="Times New Roman;Times;Serif"/>
          <w:b w:val="false"/>
          <w:i w:val="false"/>
          <w:caps w:val="false"/>
          <w:smallCaps w:val="false"/>
          <w:sz w:val="20"/>
        </w:rPr>
        <w:t>”) as promulgated by the Commission under the 1933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Business Combination, Subscriber desires to subscribe for and purchase from Holdings, immediately prior to consummation of the Business Combination, shares of Common Stock at a purchase price of $10.00 per share (the “Per Share Price”). In addition, any Subscriber investing an aggregate Purchase Price of at least $1,000,000 shall receive additional merger consideration or shares from SUAC, effectively reducing such Subscriber’s net effective price per share to approximately $4.00 per share (the “Additional Consideration Shares”), and any Subscriber investing an aggregate Purchase Price of less than $1,000,000 shall receive additional merger consideration or shares from SUAC, effectively reducing such Subscriber’s net effective price per share to approximately $5.00 per share (the “Additional Consideration Shares”) subject to terms and conditions described herein. These Additional Consideration Shares will be registered on an SEC Form S-1 registration statement following the closing of the Business Combination Agreement (“BCA”) and will be freely tradeable only after such Form S-1 has been reviewed and declared effective by the U.S. Securities and Exchange Commission (“SEC”), a process which could take up to approximately sixty (60) days following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representations, warranties and covenants, and subject to the conditions, herein contained, and intending to be legally bound hereby, the parties hereto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Subscription</w:t>
      </w:r>
      <w:r>
        <w:rPr>
          <w:rFonts w:ascii="Times New Roman;Times;Serif" w:hAnsi="Times New Roman;Times;Serif"/>
          <w:b w:val="false"/>
          <w:i w:val="false"/>
          <w:caps w:val="false"/>
          <w:smallCaps w:val="false"/>
          <w:sz w:val="20"/>
        </w:rPr>
        <w:t>. Subject to the terms and conditions hereof, Subscriber hereby agrees at the Closing (as defined below), to irrevocably subscribe for and purchase from Holdings, and Holdings hereby agrees to issue and sell to Subscriber, the Subscribed Shares (such subscription and issuance, the “</w:t>
      </w:r>
      <w:r>
        <w:rPr>
          <w:rFonts w:ascii="Times New Roman;Times;Serif" w:hAnsi="Times New Roman;Times;Serif"/>
          <w:b w:val="false"/>
          <w:i w:val="false"/>
          <w:caps w:val="false"/>
          <w:smallCaps w:val="false"/>
          <w:sz w:val="20"/>
          <w:u w:val="single"/>
        </w:rPr>
        <w:t>Subscription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consummation of the Subscription contemplated hereby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occur on the closing date of the Business Combination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substantially concurrently with and immediately prior to the consummation of the Business Combination and subject to the terms and conditions of this Subscription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least five (5) Business Days before the anticipated Closing Date, the Company shall deliver written notice to Subscriber (the “</w:t>
      </w:r>
      <w:r>
        <w:rPr>
          <w:rFonts w:ascii="Times New Roman;Times;Serif" w:hAnsi="Times New Roman;Times;Serif"/>
          <w:b w:val="false"/>
          <w:i w:val="false"/>
          <w:caps w:val="false"/>
          <w:smallCaps w:val="false"/>
          <w:sz w:val="20"/>
          <w:u w:val="single"/>
        </w:rPr>
        <w:t>Closing Notice</w:t>
      </w:r>
      <w:r>
        <w:rPr>
          <w:rFonts w:ascii="Times New Roman;Times;Serif" w:hAnsi="Times New Roman;Times;Serif"/>
          <w:b w:val="false"/>
          <w:i w:val="false"/>
          <w:caps w:val="false"/>
          <w:smallCaps w:val="false"/>
          <w:sz w:val="20"/>
        </w:rPr>
        <w:t xml:space="preserve">”) specifying (i) the anticipated Closing Date and (ii) the wire instructions for delivery of the Purchase Price to the Company. No later than one Business Day prior to the Closing Date as set forth in the Closing Notice, Subscriber shall deliver the Purchase Price (subject to adjustment as described below) for the Subscribed Shares by wire transfer of United States dollars in immediately available funds to the account specified by the Company in the Closing Notice, and such funds shall be held by Holdings in escrow, segregated from and not comingled with the other funds of Holdings, until the Closing Date. Upon satisfaction (or, if applicable, waiver) of the conditions set forth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the Company shall issue to Subscriber (i) on the Closing Date, the Subscribed Shares in book entry form, free and clear of any liens or other restrictions (other than those arising under this Subscription Agreement or applicable securities laws), in the name of Subscriber (or its nominee or custodian in accordance with its delivery instructions) (and the Purchase Price shall be released from escrow automatically and without further action by the Company or Subscriber), and (ii) as promptly as practicable after the Closing, evidence of the issuance to Subscriber of the Subscribed Shares on and as of the Closing Date. Furthermore, upon the consummation of the Business Combination, the Subscribed Shares shall be exchanged into shares of Holdings Common Stock in accordance with the terms of the Business Combination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event that the consummation of the Business Combination does not occur within three (3) Business Days after the anticipated Closing Date specified in the Closing Notice, unless otherwise agreed to in writing by the Company and Subscriber, the Company, shall promptly (but in no event later than five (5) Business Days after the anticipated Closing Date specified in the Closing Notice) return the funds so delivered by Subscriber by wire transfer in immediately available funds to the account specified by Subscriber, and any book entries shall be deemed cancelled. Notwithstanding such return or cancellation (x) a failure to close on the anticipated Closing Date shall not, by itself, be deemed to be a failure of any of the conditions to Closing set forth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to be satisfied or waived on or prior to the Closing Date, and (y) unless and until (i) this Subscription Agreement is terminated in accordance with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herein or (ii) the obligations of the Company and Subscriber to consummate the Subscription are deemed satisfied by way of Subscriber’s purchase of Non-Redeemed Shares pursuant to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Subscriber shall remain obligated to redeliver funds to the Company, as set forth in the Closing Notice, following the Company’s delivery to Subscriber of a new Closing Notice in accordance with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Subscriber and the Company shall remain obligated to consummate the Closing upon satisfaction of the conditions set forth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following the Company’s delivery to Subscriber of a new Closing Notice. For the purposes of this Subscription Agreement,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 day, other than a Saturday or Sunday, on which commercial banks in New York, New York are open for the general transaction of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obligations of Subscriber and the Company to consummate, or cause to be consummated, the transactions contemplated by this Subscription Agreement (including the Closing) are subject to the satisfaction or, if permitted by applicable law, waiver by the parties hereto, of the conditions that, on the Closing Date: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(i)</w:t>
            </w:r>
          </w:p>
        </w:tc>
        <w:tc>
          <w:tcPr>
            <w:tcW w:w="9997" w:type="dxa"/>
            <w:tcBorders/>
            <w:vAlign w:val="center"/>
          </w:tcPr>
          <w:p>
            <w:pPr>
              <w:pStyle w:val="TableContents"/>
              <w:bidi w:val="0"/>
              <w:spacing w:before="0" w:after="283"/>
              <w:jc w:val="both"/>
              <w:rPr/>
            </w:pPr>
            <w:r>
              <w:rPr/>
              <w:t xml:space="preserve">the Business Combination Registration Statement shall have been declared effective by the Commission, the </w:t>
            </w:r>
            <w:r>
              <w:rPr>
                <w:u w:val="single"/>
              </w:rPr>
              <w:t>Business Combination Registration Statement</w:t>
            </w:r>
            <w:r>
              <w:rPr/>
              <w:t xml:space="preserve"> shall have registered all of the Exchange Securities to be exchanged for the Subscribed Shares, and there shall have been no issuance by the Commission of any stop order suspending the effectiveness of the Business Combination Registration Statement or the initiation of any proceedings for such purpose;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(ii)</w:t>
            </w:r>
          </w:p>
        </w:tc>
        <w:tc>
          <w:tcPr>
            <w:tcW w:w="9942" w:type="dxa"/>
            <w:tcBorders/>
            <w:vAlign w:val="center"/>
          </w:tcPr>
          <w:p>
            <w:pPr>
              <w:pStyle w:val="TableContents"/>
              <w:bidi w:val="0"/>
              <w:spacing w:before="0" w:after="283"/>
              <w:jc w:val="both"/>
              <w:rPr/>
            </w:pPr>
            <w:r>
              <w:rPr/>
              <w:t>all conditions precedent to the closing of the Business Combination set forth in Article 8 of the Business Combination Agreement shall have been satisfied (as determined by the parties to the Business Combination Agreement) or waived in writing by the person with the authority to make such waiver (other than those conditions which, by their nature, are to be satisfied at the closing of the Business Combination pursuant to the Business Combination Agreement, but subject to the satisfaction of such conditions at such closing), and the closing of the Business Combination shall be scheduled to occur concurrently with and immediately following the Closing;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5"/>
        <w:gridCol w:w="9852"/>
      </w:tblGrid>
      <w:tr>
        <w:trPr/>
        <w:tc>
          <w:tcPr>
            <w:tcW w:w="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(iii)</w:t>
            </w:r>
          </w:p>
        </w:tc>
        <w:tc>
          <w:tcPr>
            <w:tcW w:w="9852" w:type="dxa"/>
            <w:tcBorders/>
            <w:vAlign w:val="center"/>
          </w:tcPr>
          <w:p>
            <w:pPr>
              <w:pStyle w:val="TableContents"/>
              <w:bidi w:val="0"/>
              <w:spacing w:before="0" w:after="283"/>
              <w:jc w:val="both"/>
              <w:rPr/>
            </w:pPr>
            <w:r>
              <w:rPr/>
              <w:t>all conditions precedent to the performance of the Non-Redemption Agreement have been satisfied or waived in writing by the person with the authority to make such waiver;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2"/>
        <w:gridCol w:w="9865"/>
      </w:tblGrid>
      <w:tr>
        <w:trPr/>
        <w:tc>
          <w:tcPr>
            <w:tcW w:w="3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(iv)</w:t>
            </w:r>
          </w:p>
        </w:tc>
        <w:tc>
          <w:tcPr>
            <w:tcW w:w="9865" w:type="dxa"/>
            <w:tcBorders/>
            <w:vAlign w:val="center"/>
          </w:tcPr>
          <w:p>
            <w:pPr>
              <w:pStyle w:val="TableContents"/>
              <w:bidi w:val="0"/>
              <w:spacing w:before="0" w:after="283"/>
              <w:jc w:val="both"/>
              <w:rPr/>
            </w:pPr>
            <w:r>
              <w:rPr/>
              <w:t>no order or law issued by any court of competent jurisdiction or other governmental entity or other legal restraint or prohibition preventing the consummation of the transactions contemplated by this Subscription Agreement (including the Closing) shall be in effect.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obligations of the Company to consummate, or cause to be consummated, the transactions contemplated by this Subscription Agreement (including the Closing) are subject to the satisfaction or, if permitted by applicable Law, waiver by the Company of the additional conditions that, on the Closing Date: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(i)</w:t>
            </w:r>
          </w:p>
        </w:tc>
        <w:tc>
          <w:tcPr>
            <w:tcW w:w="10001" w:type="dxa"/>
            <w:tcBorders/>
            <w:vAlign w:val="center"/>
          </w:tcPr>
          <w:p>
            <w:pPr>
              <w:pStyle w:val="TableContents"/>
              <w:bidi w:val="0"/>
              <w:spacing w:before="0" w:after="283"/>
              <w:jc w:val="both"/>
              <w:rPr/>
            </w:pPr>
            <w:r>
              <w:rPr/>
              <w:t>The representations and warranties of Subscriber shall be true and correct in all material respects as of the date when made and as of the Closing Date as though originally made at that time (except for representations and warranties that speak as of a specific date, which shall be true and correct as of such specific date), and Subscriber shall have performed, satisfied and complied in all material respects with the covenants, agreements and conditions required by this Subscription Agreement to be performed, satisfied or complied with by Subscriber at or prior to the Closing Date;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(ii)</w:t>
            </w:r>
          </w:p>
        </w:tc>
        <w:tc>
          <w:tcPr>
            <w:tcW w:w="9922" w:type="dxa"/>
            <w:tcBorders/>
            <w:vAlign w:val="center"/>
          </w:tcPr>
          <w:p>
            <w:pPr>
              <w:pStyle w:val="TableContents"/>
              <w:bidi w:val="0"/>
              <w:spacing w:before="0" w:after="283"/>
              <w:jc w:val="both"/>
              <w:rPr/>
            </w:pPr>
            <w:r>
              <w:rPr/>
              <w:t>Subscriber shall have performed, satisfied and complied in all material respects with all covenants, agreements and conditions required by this Subscription Agreement to be performed, satisfied or complied with by it at or prior to the Closing.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obligations of Subscriber to consummate, or cause to be consummated, the transactions contemplated by this Subscription Agreement (including the Closing) are subject to the satisfaction or, if permitted by applicable Law, waiver by Subscriber of the additional conditions that, on the Closing Date: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(i)</w:t>
            </w:r>
          </w:p>
        </w:tc>
        <w:tc>
          <w:tcPr>
            <w:tcW w:w="10000" w:type="dxa"/>
            <w:tcBorders/>
            <w:vAlign w:val="center"/>
          </w:tcPr>
          <w:p>
            <w:pPr>
              <w:pStyle w:val="TableContents"/>
              <w:bidi w:val="0"/>
              <w:spacing w:before="0" w:after="283"/>
              <w:jc w:val="both"/>
              <w:rPr/>
            </w:pPr>
            <w:r>
              <w:rPr/>
              <w:t>each representation and warranty of the Company shall be true and correct in all material respects as of the date when made and as of the Closing Date as though originally made at that time (except for representations and warranties that speak as of a specific date, which shall be true and correct as of such specific date) and each of the Company shall have performed, satisfied and complied in all respects with the covenants, agreements and conditions required to be performed, satisfied or complied with by the Company, as applicable, at or prior to the Closing Date;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(ii)</w:t>
            </w:r>
          </w:p>
        </w:tc>
        <w:tc>
          <w:tcPr>
            <w:tcW w:w="9938" w:type="dxa"/>
            <w:tcBorders/>
            <w:vAlign w:val="center"/>
          </w:tcPr>
          <w:p>
            <w:pPr>
              <w:pStyle w:val="TableContents"/>
              <w:bidi w:val="0"/>
              <w:spacing w:before="0" w:after="283"/>
              <w:jc w:val="both"/>
              <w:rPr/>
            </w:pPr>
            <w:r>
              <w:rPr/>
              <w:t>there shall have been no amendment or modification to the Business Combination Agreement after the date hereof that materially and adversely affects the Subscriber’s investment ,provided that Subscriber’s determination of such materiality shall be reasonable and made in good faith and based on objective financial criteria, other than amendments, waivers or modifications as expressly contemplated by and included in the terms of the Business Combination Agreement as of the date of its execution.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Tradability of Shares. Subscriber acknowledges and agrees that all Shares shall be registered on a Form S-1 registration statement filed promptly following closing of the Business Combination, the filing of the Super 8-k and Form 10-Q. Subscriber acknowledges that these shares will not be tradable until the SEC has reviewed and declared such Form S-1 registration statement effective. Although the Company anticipates this process typically requires approximately sixty (60) days following initial filing, Subscriber acknowledges that such timing is not guaranteed, as SEC review timelines are beyond the control of the Company. Subscriber acknowledges that Holdings bears no liability or penalty if SEC effectiveness takes longer than anticipated, and Subscriber expressly waives any claim arising from such delays.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Prior to or at the Closing, Subscriber shall deliver to the Company all such other information as is reasonably requested in order for the Company to issue the Subscribed Shares to Subscriber, including, without limitation, the legal name of the person in whose name the Subscribed Shares are to be issued (or Subscriber’s nominee in accordance with its delivery instructions) and a duly completed and executed Internal Revenue Service Form W-9 or appropriate Form W-8.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Company Representations and Warranties</w:t>
      </w:r>
      <w:r>
        <w:rPr>
          <w:rFonts w:ascii="Times New Roman;Times;Serif" w:hAnsi="Times New Roman;Times;Serif"/>
          <w:b w:val="false"/>
          <w:i w:val="false"/>
          <w:caps w:val="false"/>
          <w:smallCaps w:val="false"/>
          <w:sz w:val="20"/>
        </w:rPr>
        <w:t>. The Company represents and warrants to the Subscriber that, as of the date hereof and as of the Closing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Registration Coverage. The Company represents and warrants that Holdings intends and commits to promptly file an SEC Form S-1 Registration Statement post-closing of the Business Combination to register the Additional Consideration Shares described herein, ensuring such shares are freely tradable by Subscriber upon SEC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Each of the Company its respective Subsidiaries (as defined below) are entities duly organized and validly existing and in good standing under the laws of the jurisdiction in which they are formed, and have the requisite power and authority to own their properties and to carry on their business as now being conducted and as presently proposed to be conducted. Each of the Company and its Subsidiaries is duly qualified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Subscription Agreement,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any material adverse effect on (i) the business, properties, assets, liabilities, operations (including results thereof), condition (financial or otherwise) or prospects of the Company or any of its Subsidiaries, individually or taken as a whole, (ii) the transactions contemplated hereby or in any of the other Transaction Documents (as defined below) or any other agreements or instruments to be entered into in connection herewith or therewith or (iii) the authority or ability of the Company or any of its Subsidiaries to perform any of their respective obligations under any of the Transaction Documents.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means any Person (as defined below) in which the Company, as applicable, directly or indirectly, (I) owns any of the outstanding capital stock or holds any equity or similar interest of such Person or (II) controls or operates all or any part of the business, operations or administration of such Person, and each of the foregoing, is individually referred to herein as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Enforcement; Validity</w:t>
      </w:r>
      <w:r>
        <w:rPr>
          <w:rFonts w:ascii="Times New Roman;Times;Serif" w:hAnsi="Times New Roman;Times;Serif"/>
          <w:b w:val="false"/>
          <w:i w:val="false"/>
          <w:caps w:val="false"/>
          <w:smallCaps w:val="false"/>
          <w:sz w:val="20"/>
        </w:rPr>
        <w:t>. The Company has the requisite power and authority to enter into and perform its obligations under this Subscription Agreement and the other Transaction Documents and the Company has the requisite power and authority to issue the Subscribed Shares in accordance with the terms hereof and thereof. The execution and delivery of this Subscription Agreement and the other Transaction Documents by the Company, and the consummation by the Company of the transactions contemplated hereby and thereby (including, without limitation, the issuance by the Company of the Subscribed Shares) have been duly authorized by the Company’s board of directors and (other than the filing with the SEC of the Business Combination Registration Statement, a Form D with the SEC and any other filings as may be required by any state securities agencies) no further filing, consent or authorization is required by the Company, its Subsidiaries, or its boards of directors or stockholders or other governing body. This Subscription Agreement has been, and the other Transaction Documents to which it is a party will be prior to the Closing, duly executed and delivered by the Company and constitutes the legal, valid and binding obligations of the Company, respectively,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collectively, this Subscription Agreement, the Non-Redemption Agreement, the Irrevocable Transfer Agent Instructions (as defined below) and each of the other agreements and instruments entered into or delivered by any of the parties hereto in connection with the transactions contemplated hereby and thereby, as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Issuance of Subscribed Shares</w:t>
      </w:r>
      <w:r>
        <w:rPr>
          <w:rFonts w:ascii="Times New Roman;Times;Serif" w:hAnsi="Times New Roman;Times;Serif"/>
          <w:b w:val="false"/>
          <w:i w:val="false"/>
          <w:caps w:val="false"/>
          <w:smallCaps w:val="false"/>
          <w:sz w:val="20"/>
        </w:rPr>
        <w:t>. The issuance of the Subscribed Shares is duly authorized and upon issuance in accordance with the terms of the Transaction Documents shall be validly issued, fully paid and non-assessable and free from all preemptive or similar rights, mortgages, defects, claims, liens, pledges, charges, taxes, rights of first refusal, encumbrances, security interests and other encumbrances (collectively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with respect to the issuance thereof. As of the Closing, the Company shall have reserved from its duly authorized capital stock not less than the number of shares sufficient to cover the issuance of Subscribed Shares. The Subscribed Shares, when issued, will be validly issued, fully paid and nonassessable and free from all preemptive or similar rights or Liens with respect to the issue thereof, with the holders being entitled to all rights accorded to a holder of Common Stock. Subject to the accuracy of the representations and warranties of Subscriber in this Subscription Agreement, the offer and issuance by the Company of the Subscribed Shares is exempt from registration under the 1933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the Transaction Documents by the Company and the consummation by the Company of the transactions contemplated hereby and thereby (including, without limitation, the issuance by the Company of the Subscribed Shares) will not (i) result in a violation of the Certificate of Incorporation (as defined below) (including, without limitation, any certificate of designation contained therein), Bylaws (as defined below), certificate of formation, memorandum of association, articles of association, bylaws or other organizational documents of the Company, or any capital stock or other securities of the Company, (ii) conflict with, or constitute a default (or an event which with notice or lapse of time or both would become a default) in any respect under, or give to others any rights of termination, amendment, acceleration or cancellation of, any agreement, indenture or instrument to which the Company is a party, or (iii) result in a violation of any law, rule, regulation, order, judgment or decree (including, without limitation, foreign, federal and state securities laws and regulations and the rules and regulations of the Nasdaq Global Market LLC (the “</w:t>
      </w:r>
      <w:r>
        <w:rPr>
          <w:rFonts w:ascii="Times New Roman;Times;Serif" w:hAnsi="Times New Roman;Times;Serif"/>
          <w:b w:val="false"/>
          <w:i w:val="false"/>
          <w:caps w:val="false"/>
          <w:smallCaps w:val="false"/>
          <w:sz w:val="20"/>
          <w:u w:val="single"/>
        </w:rPr>
        <w:t>Principal Market</w:t>
      </w:r>
      <w:r>
        <w:rPr>
          <w:rFonts w:ascii="Times New Roman;Times;Serif" w:hAnsi="Times New Roman;Times;Serif"/>
          <w:b w:val="false"/>
          <w:i w:val="false"/>
          <w:caps w:val="false"/>
          <w:smallCaps w:val="false"/>
          <w:sz w:val="20"/>
        </w:rPr>
        <w:t>”) and including all applicable foreign, federal and state laws, rules and regulations) applicable to the Company or by which any property or asset of the Company is bound or affected.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Neither the Company nor any of its Subsidiaries, is required to obtain any consent from, authorization or order of, or make any filing or registration with (other than the filing with the SEC of the Business Combination Registration Statement, a Form D with the SEC and any other filings as may be required by any state securities agencies), any Governmental Entity (as defined below) or any regulatory or self-regulatory agency or any other Person in order for it to execute, deliver or perform any of its respective obligations under or contemplated by the Transaction Documents, in each case, in accordance with the terms hereof or thereof. All consents, authorizations, orders, filings and registrations which the Company or any of its Subsidiaries is required to obtain pursuant to the preceding sentence have been or will be obtained or effected on or prior to the Closing Date, and neither the Company nor its Subsidiaries, is aware of any facts or circumstances which might prevent the Company or its Subsidiaries from obtaining or effecting any of the registration, application or filings contemplated by the Transaction Documents. “</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Acknowledgment Regarding Subscriber’s Purchase of the Subscribed Shares</w:t>
      </w:r>
      <w:r>
        <w:rPr>
          <w:rFonts w:ascii="Times New Roman;Times;Serif" w:hAnsi="Times New Roman;Times;Serif"/>
          <w:b w:val="false"/>
          <w:i w:val="false"/>
          <w:caps w:val="false"/>
          <w:smallCaps w:val="false"/>
          <w:sz w:val="20"/>
        </w:rPr>
        <w:t>. The Company each acknowledges and agrees that Subscriber is acting solely in the capacity of an arm’s length purchaser with respect to the Transaction Documents and the transactions contemplated hereby and thereby and that Subscriber is not (i) an officer or director of the Company, (ii) an “affiliate” (as defined in Rule 144) of the Company or (iii) to its knowledge, a “beneficial owner” of more than 10% of the shares of Common Stock of the Company (as defined for purposes of Rule 13d-3 of the Securities Exchange Act of 1934, as amended (the “</w:t>
      </w:r>
      <w:r>
        <w:rPr>
          <w:rFonts w:ascii="Times New Roman;Times;Serif" w:hAnsi="Times New Roman;Times;Serif"/>
          <w:b w:val="false"/>
          <w:i w:val="false"/>
          <w:caps w:val="false"/>
          <w:smallCaps w:val="false"/>
          <w:sz w:val="20"/>
          <w:u w:val="single"/>
        </w:rPr>
        <w:t>1934 Act</w:t>
      </w:r>
      <w:r>
        <w:rPr>
          <w:rFonts w:ascii="Times New Roman;Times;Serif" w:hAnsi="Times New Roman;Times;Serif"/>
          <w:b w:val="false"/>
          <w:i w:val="false"/>
          <w:caps w:val="false"/>
          <w:smallCaps w:val="false"/>
          <w:sz w:val="20"/>
        </w:rPr>
        <w:t>”)). The Company further acknowledges that Subscriber is not acting as a financial advisor or fiduciary of the Company (or in any similar capacity) with respect to the Transaction Documents and the transactions contemplated hereby and thereby, and any advice given by Subscriber or any of its representatives or agents in connection with the Transaction Documents and the transactions contemplated hereby and thereby is merely incidental to Subscriber’s purchase of the Subscribed Shares. The Company further represents to Subscriber that the Company’s decision to enter into the Transaction Documents to which it is a party has been based solely on the independent evaluation by the Company and its respective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 General Solicitation; Placement Agent’s Fees</w:t>
      </w:r>
      <w:r>
        <w:rPr>
          <w:rFonts w:ascii="Times New Roman;Times;Serif" w:hAnsi="Times New Roman;Times;Serif"/>
          <w:b w:val="false"/>
          <w:i w:val="false"/>
          <w:caps w:val="false"/>
          <w:smallCaps w:val="false"/>
          <w:sz w:val="20"/>
        </w:rPr>
        <w:t>. Neither the Company, nor any of its Subsidiaries or affiliates, nor any Person acting on its or their behalf, has engaged in any form of general solicitation or general advertising (within the meaning of Regulation D) in connection with the offer or sale of the Subscribed Shares. The Company shall be responsible for the payment of any placement agent’s fees, financial advisory fees, or brokers’ commissions (other than for Persons engaged by Subscriber or its investment advisor) relating to or arising out of the transactions contemplated hereby. The Company shall pay and hold Subscriber harmless against, any liability, loss or expense (including, without limitation, attorney’s fees and out-of-pocket expenses) arising in connection with any such claim. Neither the Company nor any of its Subsidiaries has engaged any placement agent or other agent in connection with the offer or sale of the Subscribed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None of the Company or any of its Subsidiaries or any of their affiliates, nor any Person acting on their behalf has, directly or indirectly, made any offers or sales of any security or solicited any offers to buy any security, under circumstances that would require registration of the issuance of any of the Subscribed Shares under the 1933 Act, whether through integration with prior offerings or otherwise, or cause this offering of the Subscribed Shares to require approval of stockholders of the Company for purposes of the 1933 Act or under any applicable stockholder approval provisions, including, without limitation, under the rules and regulations of any exchange or automated quotation system on which any of the securities of the Company are listed or designated for quotation. None of the Company or any of its Subsidiaries, their affiliates nor any Person acting on their behalf will take any action or steps that would cause the offering of any of the Subscribed Shares to be integrated with other offerings of securities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The Company has delivered or has made available to Subscriber or their respective representatives true, correct and complete copies of each of the reports, schedules, forms, proxy statements, statements and other documents required to be filed by it with the SEC pursuant to the reporting requirements of the 1934 Act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Times;Serif" w:hAnsi="Times New Roman;Times;Serif"/>
          <w:b w:val="false"/>
          <w:i w:val="false"/>
          <w:caps w:val="false"/>
          <w:smallCaps w:val="false"/>
          <w:sz w:val="20"/>
          <w:u w:val="single"/>
        </w:rPr>
        <w:t>SEC Documents</w:t>
      </w:r>
      <w:r>
        <w:rPr>
          <w:rFonts w:ascii="Times New Roman;Times;Serif" w:hAnsi="Times New Roman;Times;Serif"/>
          <w:b w:val="false"/>
          <w:i w:val="false"/>
          <w:caps w:val="false"/>
          <w:smallCaps w:val="false"/>
          <w:sz w:val="20"/>
        </w:rPr>
        <w:t>”) not available on the EDGAR system.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xml:space="preserve">”),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No other information provided by or on behalf of the Company to Subscriber which is not included in the SEC Documents (including, without limitation, information referred to in </w:t>
      </w:r>
      <w:r>
        <w:rPr>
          <w:rFonts w:ascii="Times New Roman;Times;Serif" w:hAnsi="Times New Roman;Times;Serif"/>
          <w:b w:val="false"/>
          <w:i w:val="false"/>
          <w:caps w:val="false"/>
          <w:smallCaps w:val="false"/>
          <w:sz w:val="20"/>
          <w:u w:val="single"/>
        </w:rPr>
        <w:t>Section 2(g)</w:t>
      </w:r>
      <w:r>
        <w:rPr>
          <w:rFonts w:ascii="Times New Roman;Times;Serif" w:hAnsi="Times New Roman;Times;Serif"/>
          <w:b w:val="false"/>
          <w:i w:val="false"/>
          <w:caps w:val="false"/>
          <w:smallCaps w:val="false"/>
          <w:sz w:val="20"/>
        </w:rPr>
        <w:t xml:space="preserve"> of this Subscription Agreement or in the disclosure schedules to this Subscription Agreement)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(with respect to the Company, the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nor is the Company currently aware of facts or circumstances which would require the Company to amend or restate any of the Financial Statements, in each case, in order for any of the Financials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Subscriber Representations and Warranties</w:t>
      </w:r>
      <w:r>
        <w:rPr>
          <w:rFonts w:ascii="Times New Roman;Times;Serif" w:hAnsi="Times New Roman;Times;Serif"/>
          <w:b w:val="false"/>
          <w:i w:val="false"/>
          <w:caps w:val="false"/>
          <w:smallCaps w:val="false"/>
          <w:sz w:val="20"/>
        </w:rPr>
        <w:t>. Subscriber represents and warrants to the Company that, as of the date hereof and as of the Closing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Subscriber is an entity duly organized, validly existing and in good standing under the laws of the jurisdiction of its organization with the requisite power and authority to enter into and to consummate the transactions contemplated by the Transaction Documents to which it is a party and otherwise to carry out its obligations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Public Sale or Distribution</w:t>
      </w:r>
      <w:r>
        <w:rPr>
          <w:rFonts w:ascii="Times New Roman;Times;Serif" w:hAnsi="Times New Roman;Times;Serif"/>
          <w:b w:val="false"/>
          <w:i w:val="false"/>
          <w:caps w:val="false"/>
          <w:smallCaps w:val="false"/>
          <w:sz w:val="20"/>
        </w:rPr>
        <w:t>. Subscriber is acquiring the Subscribed Shares for its own account and not with a view towards, or for resale in connection with, the public sale or distribution thereof in violation of applicable securities laws, except pursuant to sales registered or exempted under the 1933 Act; provided, however, by making the representations herein, Subscriber does not agree, or make any representation or warranty, to hold any of the Subscribed Shares for any minimum or other specific term and reserves the right to dispose of the Subscribed Shares at any time in accordance with or pursuant to a registration statement or an exemption from registration under the 1933 Act. Subscriber does not presently have any agreement or understanding, directly or indirectly, with any Person to distribute any of the Subscribed Shares in violation of applicable securities laws. For purposes of this Subscription Agreement,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any other entity and any Governmental Entity (as defined below) or any department or agency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xml:space="preserve">. Subscriber is an “accredited investor” as that term is defined in Rule 501(a) of Regulation D, satisfying the applicable requirements set forth on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hereto, and has provided the Company with the requested information on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following the signature page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Subscriber understands that the Subscribed Shares are being offered and sold to it in reliance on specific exemptions from the registration requirements of United States federal and state securities laws and that the Company is relying in part upon the truth and accuracy of, and Subscriber’s compliance with, the representations, warranties, agreements, acknowledgments and understandings of Subscriber set forth herein in order to determine the availability of such exemptions and the eligibility of Subscriber to acquire the Subscribed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Subscriber and its advisors, if any, have been furnished with all materials relating to the business, finances and operations of the Company and materials relating to the offer and sale of the Subscribed Shares that have been requested by Subscriber. Subscriber and its advisors, if any, have been afforded the opportunity to ask questions of the Company. Neither such inquiries nor any other due diligence investigations conducted by Subscriber or its advisors, if any, or its representatives shall modify, amend or affect Subscriber’s right to rely on the Company’s representations and warranties contained herein. Subscriber understands that its investment in the Subscribed Shares involves a high degree of risk. Subscriber has sought such accounting, legal and tax advice as it has considered necessary to make an informed investment decision with respect to its acquisition of the Subscribed Shares. Subscriber expressly disclaims reliance upon any statements, projections, forecasts, presentations, or materials provided outside of this Subscription Agreement, including, without limitation, any investor presentations, marketing materials, or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 Governmental Review</w:t>
      </w:r>
      <w:r>
        <w:rPr>
          <w:rFonts w:ascii="Times New Roman;Times;Serif" w:hAnsi="Times New Roman;Times;Serif"/>
          <w:b w:val="false"/>
          <w:i w:val="false"/>
          <w:caps w:val="false"/>
          <w:smallCaps w:val="false"/>
          <w:sz w:val="20"/>
        </w:rPr>
        <w:t>. Subscriber understands that no United States federal or state agency or any other government or governmental agency has passed on or made any recommendation or endorsement of the Subscribed Shares or the fairness or suitability of the investment in the Subscribed Shares nor have such authorities passed upon or endorsed the merits of the offering of the Subscribed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Subscriber understands that: (i) the Subscribed Shares have not been registered under the 1933 Act or any state securities laws, and may not be offered for sale, sold, assigned or transferred unless (A) subsequently registered, or (B) Subscriber provides the Company with reasonable assurance that such Subscribed Shares can be sold, assigned or transferred pursuant to Rule 144 or Rule 144A promulgated under the 1933 Act (or a successor rule thereto) (collectively,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xml:space="preserve">”); and (ii) any sale of the Subscribed Shares made in reliance on Rule 144 may be made only in accordance with the terms of Rule 144, and further, if Rule 144 is not applicable, any resale of the Subscribed Shares under circumstances in which the seller (or the Person through whom the sale is made) may be deemed to be an underwriter (as that term is defined in the 1933 Act) may require compliance with some other exemption under the 1933 Act or the rules and regulations of the SEC promulgated thereunder. Notwithstanding the foregoing, the Exchange Shares to be received by Subscriber upon consummation of the Business Combination in exchange for the Subscribed Shares shall be registered under the 1933 Act and freely tradeable following effectiveness of an S-1 registration statement, this </w:t>
      </w:r>
      <w:r>
        <w:rPr>
          <w:rFonts w:ascii="Times New Roman;Times;Serif" w:hAnsi="Times New Roman;Times;Serif"/>
          <w:b w:val="false"/>
          <w:i w:val="false"/>
          <w:caps w:val="false"/>
          <w:smallCaps w:val="false"/>
          <w:sz w:val="20"/>
          <w:u w:val="single"/>
        </w:rPr>
        <w:t>Section 4(g)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Validity; Enforcement</w:t>
      </w:r>
      <w:r>
        <w:rPr>
          <w:rFonts w:ascii="Times New Roman;Times;Serif" w:hAnsi="Times New Roman;Times;Serif"/>
          <w:b w:val="false"/>
          <w:i w:val="false"/>
          <w:caps w:val="false"/>
          <w:smallCaps w:val="false"/>
          <w:sz w:val="20"/>
        </w:rPr>
        <w:t>. This Subscription Agreement has been duly and validly authorized, executed and delivered on behalf of Subscriber and shall constitute the legal, valid and binding obligations of Subscriber enforceable against Subscriber in accordance with their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Subscriber of this Subscription Agreement and the consummation by Subscriber of the transactions contemplated hereby will not (i) result in a violation of the organizational documents of Subscriber, or (ii) conflict with, or constitute a default (or an event which with notice or lapse of time or both would become a default) under, or give to others any rights of termination, amendment, acceleration or cancellation of, any agreement, indenture or instrument to which Subscriber is a party, or (iii) result in a violation of any law, rule, regulation, order, judgment or decree (including federal and state securities laws) applicable to Subscriber, except in the case of clauses (ii) and (iii) above, for such conflicts, defaults, rights or violations which could not, individually or in the aggregate, reasonably be expected to have a material adverse effect on the ability of Subscriber to perform its obligations 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Register; Transfer Agent Instructions; Legend</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xml:space="preserve">. The Company shall maintain at its principal executive offices (or such other office or agency of the Company as it may designate by notice to each holder of Subscribed Shares), a stock ledger for the Subscribed Shares in which the Company shall record the name and address of the Person in whose name the Subscribed Shares have been issued (including the name and address of each transferee) and the number of Subscribed Shares held by such Person. The Company shall keep the stock ledger open and available at all times during business hours for inspection of Subscriber or its legal representatives. If Subscriber effects a sale, assignment or transfer of the Subscribed Shares in accordance with </w:t>
      </w:r>
      <w:r>
        <w:rPr>
          <w:rFonts w:ascii="Times New Roman;Times;Serif" w:hAnsi="Times New Roman;Times;Serif"/>
          <w:b w:val="false"/>
          <w:i w:val="false"/>
          <w:caps w:val="false"/>
          <w:smallCaps w:val="false"/>
          <w:sz w:val="20"/>
          <w:u w:val="single"/>
        </w:rPr>
        <w:t>Section 4(g)</w:t>
      </w:r>
      <w:r>
        <w:rPr>
          <w:rFonts w:ascii="Times New Roman;Times;Serif" w:hAnsi="Times New Roman;Times;Serif"/>
          <w:b w:val="false"/>
          <w:i w:val="false"/>
          <w:caps w:val="false"/>
          <w:smallCaps w:val="false"/>
          <w:sz w:val="20"/>
        </w:rPr>
        <w:t>, the Company shall permit the transfer and shall promptly record in its stock ledger for the Subscribed Shares, such name and such denominations as specified by Subscriber to effect such sale, transfer or assignment.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Subscriber understands that the Subscribed Shares have been issued pursuant to an exemption from registration or qualification under the 1933 Act and applicable state securities laws, and except as set forth below, the Subscribed Shares shall bear any legend as required by the “blue sky” laws of any state and a restrictive legend in substantially the following form (and a stop-transfer order may be placed against transfer of such stock certificates):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AND SALE OF THE SECURITIES REPRESENTED BY THIS CERTIFICATE HAS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Removal of Legends</w:t>
      </w:r>
      <w:r>
        <w:rPr>
          <w:rFonts w:ascii="Times New Roman;Times;Serif" w:hAnsi="Times New Roman;Times;Serif"/>
          <w:b w:val="false"/>
          <w:i w:val="false"/>
          <w:caps w:val="false"/>
          <w:smallCaps w:val="false"/>
          <w:sz w:val="20"/>
        </w:rPr>
        <w:t>. Upon the closing of the Business Combination, in accordance with the terms of the Business Combination Agreement, the Exchange Securities shall be issued without any legends. Holdings shall no later than five (5) Trading Days following the closing of the Business Combination, either: (A) provided that the Transfer Agent is participating in the DTC Fast Automated Securities Transfer Program (“</w:t>
      </w:r>
      <w:r>
        <w:rPr>
          <w:rFonts w:ascii="Times New Roman;Times;Serif" w:hAnsi="Times New Roman;Times;Serif"/>
          <w:b w:val="false"/>
          <w:i w:val="false"/>
          <w:caps w:val="false"/>
          <w:smallCaps w:val="false"/>
          <w:sz w:val="20"/>
          <w:u w:val="single"/>
        </w:rPr>
        <w:t>FAST</w:t>
      </w:r>
      <w:r>
        <w:rPr>
          <w:rFonts w:ascii="Times New Roman;Times;Serif" w:hAnsi="Times New Roman;Times;Serif"/>
          <w:b w:val="false"/>
          <w:i w:val="false"/>
          <w:caps w:val="false"/>
          <w:smallCaps w:val="false"/>
          <w:sz w:val="20"/>
        </w:rPr>
        <w:t>”), credit the aggregate number of shares of Holdings Common Stock to which Subscriber shall be entitled as Exchange Securities to Subscriber’s or its designee’s balance account with DTC through its Deposit/Withdrawal at Custodian system or (B) if the Transfer Agent is not participating in FAST, issue and deliver (via reputable overnight courier) to Subscriber, a certificate representing such shares of Holdings Common Stock that is free from all restrictive and other legends, registered in the name of Subscriber or its designee (the date by which such credit is so required to be made to the balance account of Subscriber or Subscriber’s designee with DTC or such certificate is required to be delivered to Subscriber pursuant to the foregoing is referred to herein as the “</w:t>
      </w:r>
      <w:r>
        <w:rPr>
          <w:rFonts w:ascii="Times New Roman;Times;Serif" w:hAnsi="Times New Roman;Times;Serif"/>
          <w:b w:val="false"/>
          <w:i w:val="false"/>
          <w:caps w:val="false"/>
          <w:smallCaps w:val="false"/>
          <w:sz w:val="20"/>
          <w:u w:val="single"/>
        </w:rPr>
        <w:t>Required Delivery Date</w:t>
      </w:r>
      <w:r>
        <w:rPr>
          <w:rFonts w:ascii="Times New Roman;Times;Serif" w:hAnsi="Times New Roman;Times;Serif"/>
          <w:b w:val="false"/>
          <w:i w:val="false"/>
          <w:caps w:val="false"/>
          <w:smallCaps w:val="false"/>
          <w:sz w:val="20"/>
        </w:rPr>
        <w:t>”, and the date such shares of Holdings Common Stock are actually delivered without restrictive legend to Subscriber or Subscriber’s designee with DTC, as applicable, the “</w:t>
      </w:r>
      <w:r>
        <w:rPr>
          <w:rFonts w:ascii="Times New Roman;Times;Serif" w:hAnsi="Times New Roman;Times;Serif"/>
          <w:b w:val="false"/>
          <w:i w:val="false"/>
          <w:caps w:val="false"/>
          <w:smallCaps w:val="false"/>
          <w:sz w:val="20"/>
          <w:u w:val="single"/>
        </w:rPr>
        <w:t>Share Delivery Date</w:t>
      </w:r>
      <w:r>
        <w:rPr>
          <w:rFonts w:ascii="Times New Roman;Times;Serif" w:hAnsi="Times New Roman;Times;Serif"/>
          <w:b w:val="false"/>
          <w:i w:val="false"/>
          <w:caps w:val="false"/>
          <w:smallCaps w:val="false"/>
          <w:sz w:val="20"/>
        </w:rPr>
        <w:t>”). Holdings shall be responsible for any transfer agent fees or DTC fees with respect to any issuance of Exchange Securities or the removal of any legends with respect to any Exchange Securities in accordance 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720" w:right="0" w:hanging="0"/>
        <w:jc w:val="left"/>
        <w:rPr/>
      </w:pPr>
      <w:r>
        <w:rPr/>
        <w:t>(d)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Termination. This Subscription Agreement shall terminate and be void and of no further force and effect, and all rights and obligations of the parties hereunder shall terminate without any further liability on the part of any party in respect thereof, upon the earliest to occur of (a) such date and time as the Business Combination Agreement is terminated in accordance with its terms and (b) the mutual written agreement of the parties hereto to terminate this Subscription Agreement (c) after a period of 120 days past the date this agreement was entered into unless the Subscriber agrees to extend this Termination time period ; provided, that if any of the conditions to the obligations of Subscriber and the Company to consummate, or cause to be consummated, the transactions contemplated by this Subscription Agreement (including the Closing) set forth in Sections 2(d), (e) or (f) are not satisfied on the Closing Date, this Subscription Agreement shall be terminable by any of the Company or Subscriber upon written notice of termination delivered in accordance with Section 8(a); provided further, that nothing herein will relieve any party from liability for any willful breach hereof prior to the time of termination, and each party will be entitled to any remedies at law or in equity to recover losses, liabilities or damages arising from such breach. The Company shall notify Subscriber of the termination of the Business Combination Agreement promptly after the termination thereof. Upon the termination hereof in accordance with this Section 6, any monies paid by Subscriber to the Company in connection herewith shall promptly (and in any event no later than five (5) Business Days) be returned in full to Subscriber by wire transfer of U.S. dollars in immediately available funds to the account specified by Subscriber, without any deduction for or on account of any tax withholding, charges or set-off, whether or not the Business Combination shall have been consummated.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notices, requests, demands, claims, and other communications hereunder shall be in writing. Any notice, request, demand, claim, or other communication hereunder shall be deemed duly given (i) when delivered personally to the recipient, (ii) when sent by electronic mail, with no mail undeliverable or other rejection notice, on the date of transmission to such recipient, if sent on a Business Day prior to 5:00 p.m. New York City time, or on the Business Day following the date of transmission, if sent on a day that is not a Business Day or after 5:00 p.m. New York City time on a Business Day, (iii) one Business Day after being sent to the recipient via overnight mail by reputable overnight courier service (charges prepaid), or (iv) four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 xml:space="preserve">. A courtesy electronic copy of any notice sent by methods (i), (iii), or (iv) above shall also be sent to the recipient via electronic mail if an electronic mail address is provided in the applicable signature page hereof or to an electronic mail address as subsequently modified by written notice given in accordance with this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Subscriber acknowledges that the Company will rely on the acknowledgments, understandings, agreements, representations and warranties of Subscriber contained in this Subscription Agreement; provided, however, that the foregoing clause of this </w:t>
      </w:r>
      <w:r>
        <w:rPr>
          <w:rFonts w:ascii="Times New Roman;Times;Serif" w:hAnsi="Times New Roman;Times;Serif"/>
          <w:b w:val="false"/>
          <w:i w:val="false"/>
          <w:caps w:val="false"/>
          <w:smallCaps w:val="false"/>
          <w:sz w:val="20"/>
          <w:u w:val="single"/>
        </w:rPr>
        <w:t>Section 8(b)</w:t>
      </w:r>
      <w:r>
        <w:rPr>
          <w:rFonts w:ascii="Times New Roman;Times;Serif" w:hAnsi="Times New Roman;Times;Serif"/>
          <w:b w:val="false"/>
          <w:i w:val="false"/>
          <w:caps w:val="false"/>
          <w:smallCaps w:val="false"/>
          <w:sz w:val="20"/>
        </w:rPr>
        <w:t xml:space="preserve"> shall not give the Company any rights other than those expressly set forth herein. Prior to the Closing, Subscriber agrees to promptly notify the Company if it becomes aware that any of the acknowledgments, understandings, agreements, representations and warranties of Subscriber set forth herein are no longer accurate in all material respects. The Company acknowledges that Subscriber will rely on the acknowledgments, understandings, agreements, representations and warranties contained in this Subscription Agreement. Prior to the Closing, the Company agrees to promptly notify Subscriber if it becomes aware that any of the acknowledgments, understandings, agreements, representations and warranties of the Company set forth herein are no longer accurate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Company and Subscriber is irrevocably authorized to produce this Subscription Agreement or a copy hereof to any interested party in any administrative or legal proceeding or official inquiry with respect to the matters covered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party hereto shall pay all of its own expenses in connection with this Subscription Agreement and the transactions contemplated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Neither this Subscription Agreement nor any rights that may accrue to Subscriber hereunder (other than the Subscribed Shares acquired hereunder) may be transferred or assigned by Subscriber. Neither this Subscription Agreement nor any rights that may accrue to the Company hereunder may be transferred or assigned by the Company without the prior written consent of Subscriber, other than in connection with the Business Combination. Notwithstanding the foregoing, Subscriber may assign all or a portion of its rights and obligations under this Subscription Agreement to one or more of its affiliates (including other investment funds or accounts managed or advised by the investment manager who acts on behalf of Subscriber) with prior written consent from the Company, such consent not to be unreasonably withheld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any such assignment, the assignee(s) shall become a Subscriber hereunder and have the rights and obligations and be deemed to make the representations and warranties of Subscriber provided for herein to the extent of such assignment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no such assignment shall relieve the assigning Subscriber of its obligations hereunder if any such assignee fails to perform such obligations, unless the Company have given its prior written consent to such relief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such affiliates meet substantially similar financial and regulatory suitability standards as the original Subscriber.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the agreements, representations and warranties made by each party hereto in this Subscription Agreement shall survive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Company may request from Subscriber such additional information as the Company may reasonably deem necessary to evaluate the eligibility of Subscriber to acquire the Subscribed Shares, and Subscriber shall promptly provide such information as may be reasonably requested, to the extent readily available and to the extent consistent with its internal policies and procedures;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Company agrees to keep any such information provided by Subscriber confidential, except (A) as required by the federal securities laws, rules or regulations and (B) to the extent such disclosure is required by other laws, rules or regulations, at the request of the staff of the Commission or regulatory agency or under the regulations of the Stock Exchange. Subscriber acknowledges that the Company may file a form of this Subscription Agreement with the Commission as an exhibit to a current or periodic report of the Company, a proxy statement of the Company or a registration statement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This Subscription Agreement may not be amended, modified or waived except by an instrument in writing, signed by each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Subscription Agreement constitutes the entire agreement, and supersedes all other prior agreements, understandings, representations and warranties, both written and oral, among the parties, with respect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Except as otherwise provided herein, this Subscription Agreement is intended for the benefit of the parties hereto and their heirs, executors, administrators, successors, legal representatives, and permitted assigns and is not for the benefit of, nor may any provision hereof be enforced by, any other person. Except as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10(h)</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10(j)</w:t>
      </w:r>
      <w:r>
        <w:rPr>
          <w:rFonts w:ascii="Times New Roman;Times;Serif" w:hAnsi="Times New Roman;Times;Serif"/>
          <w:b w:val="false"/>
          <w:i w:val="false"/>
          <w:caps w:val="false"/>
          <w:smallCaps w:val="false"/>
          <w:sz w:val="20"/>
        </w:rPr>
        <w:t xml:space="preserve"> with respect to the persons specifically referenced therein, this Subscription Agreement shall not confer any rights or remedies upon any person other than the parties hereto, and their respective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The parties hereto acknowledge and agree that irreparable damage would occur in the event that any of the provisions of this Subscription Agreement were not performed in accordance with their specific terms or were otherwise breached and that money or other legal remedies would not be an adequate remedy for such damage. It is accordingly agreed that the parties shall be entitled to equitable relief, including in the form of an injunction or injunctions to prevent breaches or threatened breaches of this Subscription Agreement and to enforce specifically the terms and provisions of this Subscription Agreement, this being in addition to any other remedy to which such party is entitled at law, in equity, in contract, in tort or otherwise. The parties hereto acknowledge and agree that the Company shall be entitled to specifically enforce Subscriber’s obligations to fund the Subscription and the provisions of the Subscription Agreement, in each case, on the terms and subject to the conditions set forth herein. The parties hereto further acknowledge and agree: (x) to waive any requirement for the security or posting of any bond in connection with any such equitable remedy; (y) not to assert that a remedy of specific enforcement pursuant to this </w:t>
      </w:r>
      <w:r>
        <w:rPr>
          <w:rFonts w:ascii="Times New Roman;Times;Serif" w:hAnsi="Times New Roman;Times;Serif"/>
          <w:b w:val="false"/>
          <w:i w:val="false"/>
          <w:caps w:val="false"/>
          <w:smallCaps w:val="false"/>
          <w:sz w:val="20"/>
          <w:u w:val="single"/>
        </w:rPr>
        <w:t>Section 10(k)</w:t>
      </w:r>
      <w:r>
        <w:rPr>
          <w:rFonts w:ascii="Times New Roman;Times;Serif" w:hAnsi="Times New Roman;Times;Serif"/>
          <w:b w:val="false"/>
          <w:i w:val="false"/>
          <w:caps w:val="false"/>
          <w:smallCaps w:val="false"/>
          <w:sz w:val="20"/>
        </w:rPr>
        <w:t xml:space="preserve"> is unenforceable, invalid, contrary to applicable law or inequitable for any reason; and (z) to waive any defenses in any action for specific performance, including the defense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 failure or delay by a party hereto in exercising any right, power or remedy under this Subscription Agreement, and no course of dealing between the parties hereto, shall operate as a waiver of any such right, power or remedy of such party. No single or partial exercise of any right, power or remedy under this Subscription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This Subscription Agreement may be executed and delivered in one or more counterparts (including by electronic mail, in .pdf or other electronic submission)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This Subscription Agreement shall be governed by, and construed in accordance with, the laws of the State of Delaware, without regard to the principles of conflicts of laws that would otherwise require the application of the law of any other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 EACH PARTY HEREBY WAIVES ITS RESPECTIVE RIGHTS TO A TRIAL BY JURY OF ANY CLAIM OR CAUSE OF ACTION BASED UPON OR ARISING OUT OR RELATED TO THIS SUBSCRIPTION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SUBSCRIPTION AGREEMENT OR ANY PROVISION HEREOF. THIS WAIVER SHALL APPLY TO ANY SUBSEQUENT AMENDMENTS, RENEWALS, SUPPLEMENTS OR MODIFICATIONS TO THIS SUBSCRIPTION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parties agree that all disputes, legal actions, suits and proceedings arising out of or relating to this Subscription Agreement must be brought exclusively in the Court of Chancery of the State of Delaware and any state appellate court therefrom within the State of Delaware (or,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 (collectively the “</w:t>
      </w:r>
      <w:r>
        <w:rPr>
          <w:rFonts w:ascii="Times New Roman;Times;Serif" w:hAnsi="Times New Roman;Times;Serif"/>
          <w:b w:val="false"/>
          <w:i w:val="false"/>
          <w:caps w:val="false"/>
          <w:smallCaps w:val="false"/>
          <w:sz w:val="20"/>
          <w:u w:val="single"/>
        </w:rPr>
        <w:t>Designated Courts</w:t>
      </w:r>
      <w:r>
        <w:rPr>
          <w:rFonts w:ascii="Times New Roman;Times;Serif" w:hAnsi="Times New Roman;Times;Serif"/>
          <w:b w:val="false"/>
          <w:i w:val="false"/>
          <w:caps w:val="false"/>
          <w:smallCaps w:val="false"/>
          <w:sz w:val="20"/>
        </w:rPr>
        <w:t xml:space="preserve">”). Each party hereby consents and submits to the exclusive jurisdiction of the Designated Courts. No legal action, suit or proceeding with respect to this Subscription Agreement may be brought in any other forum. Notwithstanding the foregoing, a final judgement in any such action may be enforced in other jurisdictions by suit on the judgment or in any other manner provided by law.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 xml:space="preserve"> of this Subscription Agreement shall be effective service of process for any action, suit or proceeding in a Designated Court with respect to any matters to which the parties have submitted to jurisdiction as set forth above.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entities that are expressly named as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Company shall, within four (4) Business Days immediately following the date of this Subscription Agreement, file with the Commission a Current Report on Form 8-K (the “Disclosure Document”) disclosing all material terms of this Subscription Agreement and the transactions contemplated hereby, the Business Combination and any other material, nonpublic information that the Company has provided to Subscriber at any time prior to the filing of the Disclosure Document and including as exhibits to the Disclosure Document, the form of this Subscription Agreement (without redaction). Upon the issuance of the Disclosure Document, to the Company’s knowledge, Subscriber shall not be in possession of any material, non-public information received from the Company or any of its affiliates, officers, directors, or employees or agents, unless otherwise agreed by Subscriber. Notwithstanding anything in this Subscription Agreement to the contrary, the Company (i) shall not publicly disclose the name of Subscriber or any of its affiliates or advisers, or include the name of Subscriber or any of its affiliates or advisers in any press release, without the prior written consent of Subscriber and (ii) shall not publicly disclose the name of Subscriber or any of its affiliates or advisers, or include the name of Subscriber or any of its affiliates or advisers in any filing with the Commission or any regulatory agency or trading market, without the prior written consent of Subscriber, except (A) as required by the federal securities laws, rules or regulations and (B) to the extent such disclosure is required by other laws, rules or regulations, at the request of the staff of the Commission or regulatory agency or under the regulations of the Stock Exchange, in which case of clause (A) or (B), the Company, as applicable, shall provide Subscriber with prior written notice (including by e-mail) of such permitted disclosure, and shall reasonably consult with Subscriber regarding such disclosure. Subscriber will promptly provide any information reasonably requested by the Company for any regulatory application or filing made or approval sought in connection with the Business Combination (including filings with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If any change in the Common Stock shall occur between the date of this Subscription Agreement and the Closing by reason of any reclassification, recapitalization, stock split, reverse stock split, combination, exchange, or readjustment of shares, or any share dividend, the number of Subscribed Shares issued to Subscriber hereunder shall be appropriately adjusted to reflect such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The headings herein are for convenience only, do not constitute a part of this Subscription Agreement and shall not be deemed to limit or affect any of the provisions hereof. The language used in this Subscription Agreement will be deemed to be the language chosen by the parties hereto to express their mutual intent, and no rules of strict construction will be applied against any party. Unless the context otherwise requires, (i) all references to Sections, Schedules or Exhibits are to Sections, Schedules or Exhibits contained in or attached to this Subscription Agreement, (ii) each accounting term not otherwise defined in this Subscription Agreement has the meaning assigned to it in accordance with GAAP, (iii) words in the singular or plural include the singular and plural and pronouns stated in either the masculine, the feminine or neuter gender shall include the masculine, feminine and neuter, (iv) the use of the word “including” in this Subscription Agreement shall be by way of example rather than limitation, and (v) the word “or” shall not be exclusive.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Company has accepted this Subscription Agreement as of the date first set forth above.</w:t>
      </w:r>
    </w:p>
    <w:p>
      <w:pPr>
        <w:pStyle w:val="TextBody"/>
        <w:bidi w:val="0"/>
        <w:spacing w:before="0" w:after="0"/>
        <w:ind w:left="0" w:right="0" w:firstLine="720"/>
        <w:jc w:val="left"/>
        <w:rPr>
          <w:caps w:val="false"/>
          <w:smallCaps w:val="false"/>
        </w:rPr>
      </w:pPr>
      <w:r>
        <w:rPr>
          <w:caps w:val="false"/>
          <w:smallCaps w:val="false"/>
        </w:rPr>
        <w:t> </w:t>
      </w:r>
    </w:p>
    <w:tbl>
      <w:tblPr>
        <w:tblW w:w="3105" w:type="dxa"/>
        <w:jc w:val="left"/>
        <w:tblInd w:w="0" w:type="dxa"/>
        <w:tblLayout w:type="fixed"/>
        <w:tblCellMar>
          <w:top w:w="0" w:type="dxa"/>
          <w:left w:w="0" w:type="dxa"/>
          <w:bottom w:w="0" w:type="dxa"/>
          <w:right w:w="0" w:type="dxa"/>
        </w:tblCellMar>
      </w:tblPr>
      <w:tblGrid>
        <w:gridCol w:w="75"/>
        <w:gridCol w:w="365"/>
        <w:gridCol w:w="710"/>
        <w:gridCol w:w="1955"/>
      </w:tblGrid>
      <w:tr>
        <w:trPr/>
        <w:tc>
          <w:tcPr>
            <w:tcW w:w="75" w:type="dxa"/>
            <w:tcBorders/>
            <w:vAlign w:val="center"/>
          </w:tcPr>
          <w:p>
            <w:pPr>
              <w:pStyle w:val="TableContents"/>
              <w:bidi w:val="0"/>
              <w:spacing w:before="0" w:after="283"/>
              <w:jc w:val="left"/>
              <w:rPr/>
            </w:pPr>
            <w:r>
              <w:rPr/>
              <w:t> </w:t>
            </w:r>
          </w:p>
        </w:tc>
        <w:tc>
          <w:tcPr>
            <w:tcW w:w="303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CID HOLDCO, INC.</w:t>
            </w:r>
          </w:p>
        </w:tc>
      </w:tr>
      <w:tr>
        <w:trPr/>
        <w:tc>
          <w:tcPr>
            <w:tcW w:w="75" w:type="dxa"/>
            <w:tcBorders/>
            <w:vAlign w:val="center"/>
          </w:tcPr>
          <w:p>
            <w:pPr>
              <w:pStyle w:val="TableContents"/>
              <w:bidi w:val="0"/>
              <w:spacing w:before="0" w:after="283"/>
              <w:jc w:val="left"/>
              <w:rPr/>
            </w:pPr>
            <w:r>
              <w:rPr/>
              <w:t> </w:t>
            </w:r>
          </w:p>
        </w:tc>
        <w:tc>
          <w:tcPr>
            <w:tcW w:w="303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665"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w:t>
            </w:r>
          </w:p>
        </w:tc>
        <w:tc>
          <w:tcPr>
            <w:tcW w:w="19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Ed Nabrotzky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firstLine="720"/>
        <w:jc w:val="left"/>
        <w:rPr>
          <w:caps w:val="false"/>
          <w:smallCaps w:val="false"/>
        </w:rPr>
      </w:pPr>
      <w:r>
        <w:rPr>
          <w:caps w:val="false"/>
          <w:smallCaps w:val="false"/>
        </w:rPr>
        <w:t> </w:t>
      </w:r>
    </w:p>
    <w:tbl>
      <w:tblPr>
        <w:tblW w:w="7790" w:type="dxa"/>
        <w:jc w:val="left"/>
        <w:tblInd w:w="0" w:type="dxa"/>
        <w:tblLayout w:type="fixed"/>
        <w:tblCellMar>
          <w:top w:w="0" w:type="dxa"/>
          <w:left w:w="0" w:type="dxa"/>
          <w:bottom w:w="0" w:type="dxa"/>
          <w:right w:w="0" w:type="dxa"/>
        </w:tblCellMar>
      </w:tblPr>
      <w:tblGrid>
        <w:gridCol w:w="75"/>
        <w:gridCol w:w="7715"/>
      </w:tblGrid>
      <w:tr>
        <w:trPr/>
        <w:tc>
          <w:tcPr>
            <w:tcW w:w="75"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283"/>
              <w:jc w:val="both"/>
              <w:rPr/>
            </w:pPr>
            <w:r>
              <w:rPr/>
              <w:t>Address for Notices: 7500 Old Georgetown Rd, Suite 901, Bethesda, MD 20814</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Subscriber has executed or caused this Subscription Agreement to be executed by its duly authorized representative as of the date set forth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83"/>
        <w:jc w:val="left"/>
        <w:rPr/>
      </w:pPr>
      <w:r>
        <w:rPr/>
        <w:t>Name of Subscriber:</w:t>
      </w:r>
    </w:p>
    <w:p>
      <w:pPr>
        <w:pStyle w:val="TextBody"/>
        <w:bidi w:val="0"/>
        <w:spacing w:before="0" w:after="283"/>
        <w:jc w:val="left"/>
        <w:rPr/>
      </w:pPr>
      <w:r>
        <w:rPr/>
        <w:t> </w:t>
      </w:r>
    </w:p>
    <w:tbl>
      <w:tblPr>
        <w:tblW w:w="1640" w:type="dxa"/>
        <w:jc w:val="left"/>
        <w:tblInd w:w="0" w:type="dxa"/>
        <w:tblLayout w:type="fixed"/>
        <w:tblCellMar>
          <w:top w:w="0" w:type="dxa"/>
          <w:left w:w="0" w:type="dxa"/>
          <w:bottom w:w="0" w:type="dxa"/>
          <w:right w:w="0" w:type="dxa"/>
        </w:tblCellMar>
      </w:tblPr>
      <w:tblGrid>
        <w:gridCol w:w="725"/>
        <w:gridCol w:w="840"/>
        <w:gridCol w:w="75"/>
      </w:tblGrid>
      <w:tr>
        <w:trPr/>
        <w:tc>
          <w:tcPr>
            <w:tcW w:w="725" w:type="dxa"/>
            <w:tcBorders/>
            <w:vAlign w:val="center"/>
          </w:tcPr>
          <w:p>
            <w:pPr>
              <w:pStyle w:val="TableContents"/>
              <w:bidi w:val="0"/>
              <w:spacing w:before="0" w:after="283"/>
              <w:jc w:val="left"/>
              <w:rPr/>
            </w:pPr>
            <w:r>
              <w:rPr/>
              <w:t>By:</w:t>
            </w:r>
          </w:p>
        </w:tc>
        <w:tc>
          <w:tcPr>
            <w:tcW w:w="8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 </w:t>
            </w:r>
          </w:p>
        </w:tc>
        <w:tc>
          <w:tcPr>
            <w:tcW w:w="8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8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460" w:type="dxa"/>
        <w:jc w:val="left"/>
        <w:tblInd w:w="0" w:type="dxa"/>
        <w:tblLayout w:type="fixed"/>
        <w:tblCellMar>
          <w:top w:w="0" w:type="dxa"/>
          <w:left w:w="0" w:type="dxa"/>
          <w:bottom w:w="0" w:type="dxa"/>
          <w:right w:w="0" w:type="dxa"/>
        </w:tblCellMar>
      </w:tblPr>
      <w:tblGrid>
        <w:gridCol w:w="75"/>
        <w:gridCol w:w="1385"/>
      </w:tblGrid>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Date:    , 2025</w:t>
            </w:r>
          </w:p>
        </w:tc>
      </w:tr>
    </w:tbl>
    <w:p>
      <w:pPr>
        <w:pStyle w:val="TextBody"/>
        <w:bidi w:val="0"/>
        <w:spacing w:before="0" w:after="283"/>
        <w:jc w:val="left"/>
        <w:rPr/>
      </w:pPr>
      <w:r>
        <w:rPr/>
        <w:t> </w:t>
      </w:r>
    </w:p>
    <w:tbl>
      <w:tblPr>
        <w:tblW w:w="6530" w:type="dxa"/>
        <w:jc w:val="left"/>
        <w:tblInd w:w="0" w:type="dxa"/>
        <w:tblLayout w:type="fixed"/>
        <w:tblCellMar>
          <w:top w:w="0" w:type="dxa"/>
          <w:left w:w="0" w:type="dxa"/>
          <w:bottom w:w="0" w:type="dxa"/>
          <w:right w:w="0" w:type="dxa"/>
        </w:tblCellMar>
      </w:tblPr>
      <w:tblGrid>
        <w:gridCol w:w="6455"/>
        <w:gridCol w:w="75"/>
      </w:tblGrid>
      <w:tr>
        <w:trPr/>
        <w:tc>
          <w:tcPr>
            <w:tcW w:w="6455" w:type="dxa"/>
            <w:tcBorders/>
            <w:vAlign w:val="center"/>
          </w:tcPr>
          <w:p>
            <w:pPr>
              <w:pStyle w:val="TableContents"/>
              <w:bidi w:val="0"/>
              <w:spacing w:before="0" w:after="283"/>
              <w:jc w:val="left"/>
              <w:rPr/>
            </w:pPr>
            <w:r>
              <w:rPr/>
              <w:t xml:space="preserve">Name in which Subscribed Shares are to be registered (if different):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935" w:type="dxa"/>
        <w:jc w:val="left"/>
        <w:tblInd w:w="0" w:type="dxa"/>
        <w:tblLayout w:type="fixed"/>
        <w:tblCellMar>
          <w:top w:w="0" w:type="dxa"/>
          <w:left w:w="0" w:type="dxa"/>
          <w:bottom w:w="28" w:type="dxa"/>
          <w:right w:w="0" w:type="dxa"/>
        </w:tblCellMar>
      </w:tblPr>
      <w:tblGrid>
        <w:gridCol w:w="890"/>
        <w:gridCol w:w="60"/>
        <w:gridCol w:w="995"/>
        <w:gridCol w:w="60"/>
        <w:gridCol w:w="1520"/>
        <w:gridCol w:w="60"/>
        <w:gridCol w:w="350"/>
      </w:tblGrid>
      <w:tr>
        <w:trPr/>
        <w:tc>
          <w:tcPr>
            <w:tcW w:w="890" w:type="dxa"/>
            <w:tcBorders>
              <w:bottom w:val="single" w:sz="12" w:space="0" w:color="000000"/>
            </w:tcBorders>
            <w:vAlign w:val="center"/>
          </w:tcPr>
          <w:p>
            <w:pPr>
              <w:pStyle w:val="TableContents"/>
              <w:bidi w:val="0"/>
              <w:spacing w:before="0" w:after="283"/>
              <w:jc w:val="left"/>
              <w:rPr>
                <w:sz w:val="20"/>
              </w:rPr>
            </w:pPr>
            <w:r>
              <w:rPr>
                <w:sz w:val="20"/>
              </w:rPr>
              <w:t>Subscriber</w:t>
            </w:r>
          </w:p>
        </w:tc>
        <w:tc>
          <w:tcPr>
            <w:tcW w:w="60" w:type="dxa"/>
            <w:tcBorders/>
            <w:tcMar>
              <w:bottom w:w="0" w:type="dxa"/>
            </w:tcMar>
            <w:vAlign w:val="center"/>
          </w:tcPr>
          <w:p>
            <w:pPr>
              <w:pStyle w:val="TableContents"/>
              <w:bidi w:val="0"/>
              <w:spacing w:before="0" w:after="283"/>
              <w:jc w:val="center"/>
              <w:rPr/>
            </w:pPr>
            <w:r>
              <w:rPr/>
              <w:t> </w:t>
            </w:r>
          </w:p>
        </w:tc>
        <w:tc>
          <w:tcPr>
            <w:tcW w:w="995" w:type="dxa"/>
            <w:tcBorders>
              <w:bottom w:val="single" w:sz="12" w:space="0" w:color="000000"/>
            </w:tcBorders>
            <w:vAlign w:val="center"/>
          </w:tcPr>
          <w:p>
            <w:pPr>
              <w:pStyle w:val="TableContents"/>
              <w:bidi w:val="0"/>
              <w:spacing w:before="0" w:after="283"/>
              <w:jc w:val="center"/>
              <w:rPr>
                <w:sz w:val="20"/>
              </w:rPr>
            </w:pPr>
            <w:r>
              <w:rPr>
                <w:sz w:val="20"/>
              </w:rPr>
              <w:t>Entity Type</w:t>
            </w:r>
          </w:p>
        </w:tc>
        <w:tc>
          <w:tcPr>
            <w:tcW w:w="60" w:type="dxa"/>
            <w:tcBorders/>
            <w:tcMar>
              <w:bottom w:w="0" w:type="dxa"/>
            </w:tcMar>
            <w:vAlign w:val="center"/>
          </w:tcPr>
          <w:p>
            <w:pPr>
              <w:pStyle w:val="TableContents"/>
              <w:bidi w:val="0"/>
              <w:spacing w:before="0" w:after="283"/>
              <w:jc w:val="center"/>
              <w:rPr/>
            </w:pPr>
            <w:r>
              <w:rPr/>
              <w:t> </w:t>
            </w:r>
          </w:p>
        </w:tc>
        <w:tc>
          <w:tcPr>
            <w:tcW w:w="1520" w:type="dxa"/>
            <w:tcBorders>
              <w:bottom w:val="single" w:sz="12" w:space="0" w:color="000000"/>
            </w:tcBorders>
            <w:vAlign w:val="center"/>
          </w:tcPr>
          <w:p>
            <w:pPr>
              <w:pStyle w:val="TableContents"/>
              <w:bidi w:val="0"/>
              <w:spacing w:before="0" w:after="283"/>
              <w:jc w:val="center"/>
              <w:rPr>
                <w:sz w:val="20"/>
              </w:rPr>
            </w:pPr>
            <w:r>
              <w:rPr>
                <w:sz w:val="20"/>
              </w:rPr>
              <w:t>Address/ Domicile</w:t>
            </w:r>
          </w:p>
        </w:tc>
        <w:tc>
          <w:tcPr>
            <w:tcW w:w="60" w:type="dxa"/>
            <w:tcBorders/>
            <w:tcMar>
              <w:bottom w:w="0" w:type="dxa"/>
            </w:tcMar>
            <w:vAlign w:val="center"/>
          </w:tcPr>
          <w:p>
            <w:pPr>
              <w:pStyle w:val="TableContents"/>
              <w:bidi w:val="0"/>
              <w:spacing w:before="0" w:after="283"/>
              <w:jc w:val="center"/>
              <w:rPr/>
            </w:pPr>
            <w:r>
              <w:rPr/>
              <w:t> </w:t>
            </w:r>
          </w:p>
        </w:tc>
        <w:tc>
          <w:tcPr>
            <w:tcW w:w="350" w:type="dxa"/>
            <w:tcBorders>
              <w:bottom w:val="single" w:sz="12" w:space="0" w:color="000000"/>
            </w:tcBorders>
            <w:vAlign w:val="center"/>
          </w:tcPr>
          <w:p>
            <w:pPr>
              <w:pStyle w:val="TableContents"/>
              <w:bidi w:val="0"/>
              <w:spacing w:before="0" w:after="283"/>
              <w:jc w:val="center"/>
              <w:rPr>
                <w:sz w:val="20"/>
              </w:rPr>
            </w:pPr>
            <w:r>
              <w:rPr>
                <w:sz w:val="20"/>
              </w:rPr>
              <w:t>EIN</w:t>
            </w:r>
          </w:p>
        </w:tc>
      </w:tr>
      <w:tr>
        <w:trPr/>
        <w:tc>
          <w:tcPr>
            <w:tcW w:w="890"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283"/>
        <w:jc w:val="left"/>
        <w:rPr/>
      </w:pPr>
      <w:r>
        <w:rPr/>
        <w:t>Attention:</w:t>
      </w:r>
    </w:p>
    <w:p>
      <w:pPr>
        <w:pStyle w:val="TextBody"/>
        <w:bidi w:val="0"/>
        <w:spacing w:before="0" w:after="283"/>
        <w:jc w:val="left"/>
        <w:rPr/>
      </w:pPr>
      <w:r>
        <w:rPr/>
        <w:t> </w:t>
      </w:r>
    </w:p>
    <w:p>
      <w:pPr>
        <w:pStyle w:val="TextBody"/>
        <w:bidi w:val="0"/>
        <w:spacing w:before="0" w:after="283"/>
        <w:jc w:val="left"/>
        <w:rPr/>
      </w:pPr>
      <w:r>
        <w:rPr/>
        <w:t>Telephone No.:</w:t>
      </w:r>
    </w:p>
    <w:p>
      <w:pPr>
        <w:pStyle w:val="TextBody"/>
        <w:bidi w:val="0"/>
        <w:spacing w:before="0" w:after="283"/>
        <w:jc w:val="left"/>
        <w:rPr/>
      </w:pPr>
      <w:r>
        <w:rPr/>
        <w:t>Email for notices:</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Subscription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283"/>
        <w:jc w:val="left"/>
        <w:rPr/>
      </w:pPr>
      <w:r>
        <w:rPr/>
        <w:t xml:space="preserve">Number of Shares of DAIC Common Stock subscribed for: </w:t>
      </w:r>
    </w:p>
    <w:p>
      <w:pPr>
        <w:pStyle w:val="TextBody"/>
        <w:bidi w:val="0"/>
        <w:spacing w:before="0" w:after="283"/>
        <w:jc w:val="left"/>
        <w:rPr/>
      </w:pPr>
      <w:r>
        <w:rPr/>
        <w:t> </w:t>
      </w:r>
    </w:p>
    <w:p>
      <w:pPr>
        <w:pStyle w:val="TextBody"/>
        <w:bidi w:val="0"/>
        <w:spacing w:before="0" w:after="283"/>
        <w:jc w:val="left"/>
        <w:rPr/>
      </w:pPr>
      <w:r>
        <w:rPr/>
        <w:t xml:space="preserve">Aggregate Purchase Price: </w:t>
      </w:r>
      <w:r>
        <w:rPr>
          <w:rFonts w:ascii="Times New Roman;Times;Serif" w:hAnsi="Times New Roman;Times;Serif"/>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ELIGIBILITY REPRESENTATIONS OF SUBSCRIBER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Annex A should be completed and signed by Subscriber and constitutes a part of the Subscription Agreement.</w:t>
      </w:r>
    </w:p>
    <w:p>
      <w:pPr>
        <w:pStyle w:val="TextBody"/>
        <w:bidi w:val="0"/>
        <w:spacing w:before="0" w:after="0"/>
        <w:jc w:val="center"/>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215"/>
        <w:gridCol w:w="8615"/>
      </w:tblGrid>
      <w:tr>
        <w:trPr/>
        <w:tc>
          <w:tcPr>
            <w:tcW w:w="215" w:type="dxa"/>
            <w:tcBorders/>
            <w:vAlign w:val="center"/>
          </w:tcPr>
          <w:p>
            <w:pPr>
              <w:pStyle w:val="TableContents"/>
              <w:bidi w:val="0"/>
              <w:spacing w:before="0" w:after="283"/>
              <w:jc w:val="left"/>
              <w:rPr/>
            </w:pPr>
            <w:r>
              <w:rPr/>
              <w:t>1.</w:t>
            </w:r>
          </w:p>
        </w:tc>
        <w:tc>
          <w:tcPr>
            <w:tcW w:w="8615" w:type="dxa"/>
            <w:tcBorders/>
            <w:vAlign w:val="center"/>
          </w:tcPr>
          <w:p>
            <w:pPr>
              <w:pStyle w:val="TableContents"/>
              <w:bidi w:val="0"/>
              <w:spacing w:before="0" w:after="283"/>
              <w:jc w:val="left"/>
              <w:rPr/>
            </w:pPr>
            <w:r>
              <w:rPr/>
              <w:t>QUALIFIED INSTITUTIONAL BUYER STATUS (Please check the box, if applicable)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Subscriber is a “qualified institutional buyer” (as defined in Rule 144A under the Securities Act) (a “QIB”)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are subscribing for the Subscribed Shares as a fiduciary or agent for one or more investor accounts, and each owner of such account is a QIB.</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jc w:val="left"/>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215"/>
        <w:gridCol w:w="6050"/>
      </w:tblGrid>
      <w:tr>
        <w:trPr/>
        <w:tc>
          <w:tcPr>
            <w:tcW w:w="215" w:type="dxa"/>
            <w:tcBorders/>
            <w:vAlign w:val="center"/>
          </w:tcPr>
          <w:p>
            <w:pPr>
              <w:pStyle w:val="TableContents"/>
              <w:bidi w:val="0"/>
              <w:spacing w:before="0" w:after="283"/>
              <w:jc w:val="left"/>
              <w:rPr/>
            </w:pPr>
            <w:r>
              <w:rPr/>
              <w:t>2.</w:t>
            </w:r>
          </w:p>
        </w:tc>
        <w:tc>
          <w:tcPr>
            <w:tcW w:w="6050" w:type="dxa"/>
            <w:tcBorders/>
            <w:vAlign w:val="center"/>
          </w:tcPr>
          <w:p>
            <w:pPr>
              <w:pStyle w:val="TableContents"/>
              <w:bidi w:val="0"/>
              <w:spacing w:before="0" w:after="283"/>
              <w:jc w:val="left"/>
              <w:rPr/>
            </w:pPr>
            <w:r>
              <w:rPr/>
              <w:t>ACCREDITED INVESTOR STATUS (Please check the box)</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Subscriber is an “accredited investor” (within the meaning of Rule 501(a) under the Securities Act) or an entity in which all of the equity holders are accredited investors within the meaning of Rule 501(a) under the Securities Act, and has marked and initialed the appropriate box below indicating the provision under which it qualifies as an “accredited investor.”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215"/>
        <w:gridCol w:w="2255"/>
      </w:tblGrid>
      <w:tr>
        <w:trPr/>
        <w:tc>
          <w:tcPr>
            <w:tcW w:w="215" w:type="dxa"/>
            <w:tcBorders/>
            <w:vAlign w:val="center"/>
          </w:tcPr>
          <w:p>
            <w:pPr>
              <w:pStyle w:val="TableContents"/>
              <w:bidi w:val="0"/>
              <w:spacing w:before="0" w:after="283"/>
              <w:jc w:val="left"/>
              <w:rPr/>
            </w:pPr>
            <w:r>
              <w:rPr/>
              <w:t>3.</w:t>
            </w:r>
          </w:p>
        </w:tc>
        <w:tc>
          <w:tcPr>
            <w:tcW w:w="2255" w:type="dxa"/>
            <w:tcBorders/>
            <w:vAlign w:val="center"/>
          </w:tcPr>
          <w:p>
            <w:pPr>
              <w:pStyle w:val="TableContents"/>
              <w:bidi w:val="0"/>
              <w:spacing w:before="0" w:after="283"/>
              <w:jc w:val="left"/>
              <w:rPr/>
            </w:pPr>
            <w:r>
              <w:rPr/>
              <w:t>AFFILIATE STATUS</w:t>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check the applicable box) SUBSCRIBER: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is not: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“affiliate” (as defined in Rule 144 under the Securities Act) of the Company or acting on behalf of an affiliate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box(es) below, the provision(s) below which apply to Subscriber and under which Subscriber accordingly qualifies as an “accredited investor.”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Any bank, registered broker or dealer, insurance company, registered investment company, business development company, small business investment company, private business development company, or rural business investment company;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Any investment adviser registered pursuant to section 203 of the Investment Advisers Act or registered pursuant to the laws of a state;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Any investment adviser relying on the exemption from registering with the Commission under section 203(l) or (m) of the Investment Advisers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Any plan established and maintained by a state, its political subdivisions, or any agency or instrumentality of a state or its political subdivisions, for the benefit of its employees, if such plan has total assets in excess of $5,000,000;</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Any employee benefit plan within the meaning of Title I of the Employee Retirement Income Security Act of 1974 (“ERISA”), if (i) the investment decision is made by a plan fiduciary, as defined in section 3(21) of ERISA, which is either a bank, a savings and loan association, an insurance company, or a registered investment adviser, (ii) the employee benefit plan has total assets in excess of $5,000,000 or, (iii) such plan is a self-directed plan, with investment decisions made solely by persons that are “accredited investors”;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Any (i) corporation, limited liability company or partnership, (ii) Massachusetts or similar business trust, or (iii) organization described in section 501(c)(3) of the Internal Revenue Code, in each case that was not formed for the specific purpose of acquiring the securities offered and that has total assets in excess of $5,000,000;</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Any trust, with total assets in excess of $5,000,000, not formed for the specific purpose of acquiring the securities offered, whose purchase is directed by a sophisticated person as described in Section 230.506(b)(2)(ii) of Regulation D under the Securities Act;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Any entity, other than an entity described in the categories of “accredited investors” above, not formed for the specific purpose of acquiring the securities offered, owning investments in excess of $5,000,000;</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Any “family office,” as defined under the Investment Advisers Act that satisfies all of the following conditions: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Any “family client,” as defined under the Investment Advisers Act, of a family office meeting the requirements in the previous paragraph and whose prospective investment in the issuer is directed by such family office pursuant to the previous paragraph; or</w:t>
            </w:r>
          </w:p>
        </w:tc>
      </w:tr>
    </w:tbl>
    <w:p>
      <w:pPr>
        <w:pStyle w:val="TextBody"/>
        <w:bidi w:val="0"/>
        <w:spacing w:before="0" w:after="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230"/>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both"/>
              <w:rPr/>
            </w:pPr>
            <w:r>
              <w:rPr/>
              <w:t>Any entity in which all of the equity owners are “accredited investors”.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Specify which tests: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Any director, executive officer, or general partner of the issuer of the securities being offered or sold, or any director, executive officer, or general partner of a general partner of that issuer;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Any natural person whose individual net worth, or joint net worth with that person’s spouse or spousal equivalent, exceeds $1,000,000. For purposes of calculating a natural person’s net worth: (a) the person’s primary residence shall not be included as an asset; (b) indebtedness that is secured by the person’s primary residence, up to the estimated fair market value of the primary residence at the time of the sale of securities, shall not be included as a liability (except that if the amount of such indebtedness outstanding at the time of sale of securities exceeds the amount outstanding 60 days before such time, other than as a result of the acquisition of the primary residence, the amount of such excess shall be included as a liability); and (c) indebtedness that is secured by the person’s primary residence in excess of the estimated fair market value of the primary residence at the time of the sale of securities shall be included as a liability;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Any natural person who had an individual income in excess of $200,000 in each of the two most recent years or joint income with that person’s spouse or spousal equivalent in excess of $300,000 in each of those years and has a reasonable expectation of reaching the same income level in the current year;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Any natural person holding in good standing one or more professional certifications or designations or credentials from an accredited educational institution that the Commission has designated as qualifying an individual for accredited investor status; or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Any natural person who is a “knowledgeable employee,” as defined in the Investment Company Act, of the issuer of the securities being offered or sold where the issuer would be an investment company, as defined in section 3 of such act, but for the exclusion provided by either section 3(c)(1) or section 3(c)(7) of such act.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page should be completed by Subscriber and constitutes a part of the Subscription Agreement.</w:t>
      </w:r>
    </w:p>
    <w:p>
      <w:pPr>
        <w:pStyle w:val="TextBody"/>
        <w:bidi w:val="0"/>
        <w:spacing w:before="0" w:after="0"/>
        <w:ind w:left="0" w:right="0" w:hanging="0"/>
        <w:jc w:val="left"/>
        <w:rPr>
          <w:caps w:val="false"/>
          <w:smallCaps w:val="false"/>
        </w:rPr>
      </w:pPr>
      <w:r>
        <w:rPr>
          <w:caps w:val="false"/>
          <w:smallCaps w:val="false"/>
        </w:rPr>
        <w:t> </w:t>
      </w:r>
    </w:p>
    <w:tbl>
      <w:tblPr>
        <w:tblW w:w="1655" w:type="dxa"/>
        <w:jc w:val="left"/>
        <w:tblInd w:w="0" w:type="dxa"/>
        <w:tblLayout w:type="fixed"/>
        <w:tblCellMar>
          <w:top w:w="0" w:type="dxa"/>
          <w:left w:w="0" w:type="dxa"/>
          <w:bottom w:w="0" w:type="dxa"/>
          <w:right w:w="0" w:type="dxa"/>
        </w:tblCellMar>
      </w:tblPr>
      <w:tblGrid>
        <w:gridCol w:w="75"/>
        <w:gridCol w:w="545"/>
        <w:gridCol w:w="1035"/>
      </w:tblGrid>
      <w:tr>
        <w:trPr/>
        <w:tc>
          <w:tcPr>
            <w:tcW w:w="75"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left"/>
              <w:rPr>
                <w:sz w:val="20"/>
              </w:rPr>
            </w:pPr>
            <w:r>
              <w:rPr>
                <w:sz w:val="20"/>
              </w:rPr>
              <w:t>SUBSCRIBER:</w:t>
            </w:r>
          </w:p>
        </w:tc>
      </w:tr>
      <w:tr>
        <w:trPr/>
        <w:tc>
          <w:tcPr>
            <w:tcW w:w="75"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10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03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03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5" w:name="ea024660701ex10-9_cidhold.htm"/>
      <w:bookmarkStart w:id="36" w:name="ksea024660701ex109_cidhold"/>
      <w:bookmarkEnd w:id="35"/>
      <w:bookmarkEnd w:id="36"/>
      <w:r>
        <w:rPr>
          <w:rFonts w:ascii="Times New Roman;Times;Serif" w:hAnsi="Times New Roman;Times;Serif"/>
          <w:b/>
          <w:i w:val="false"/>
          <w:caps w:val="false"/>
          <w:smallCaps w:val="false"/>
          <w:sz w:val="20"/>
        </w:rPr>
        <w:t>Exhibit 10.9</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628" w:type="dxa"/>
        <w:jc w:val="left"/>
        <w:tblInd w:w="0" w:type="dxa"/>
        <w:tblLayout w:type="fixed"/>
        <w:tblCellMar>
          <w:top w:w="0" w:type="dxa"/>
          <w:left w:w="0" w:type="dxa"/>
          <w:bottom w:w="0" w:type="dxa"/>
          <w:right w:w="0" w:type="dxa"/>
        </w:tblCellMar>
      </w:tblPr>
      <w:tblGrid>
        <w:gridCol w:w="185"/>
        <w:gridCol w:w="60"/>
        <w:gridCol w:w="377"/>
        <w:gridCol w:w="81"/>
        <w:gridCol w:w="5080"/>
        <w:gridCol w:w="60"/>
        <w:gridCol w:w="785"/>
      </w:tblGrid>
      <w:tr>
        <w:trPr/>
        <w:tc>
          <w:tcPr>
            <w:tcW w:w="5783" w:type="dxa"/>
            <w:gridSpan w:val="5"/>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Annex I</w:t>
              <w:br/>
              <w:t>Page No.</w:t>
            </w:r>
          </w:p>
        </w:tc>
      </w:tr>
      <w:tr>
        <w:trPr/>
        <w:tc>
          <w:tcPr>
            <w:tcW w:w="18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60" w:type="dxa"/>
            <w:tcBorders/>
            <w:shd w:fill="CCEEFF" w:val="clear"/>
            <w:vAlign w:val="center"/>
          </w:tcPr>
          <w:p>
            <w:pPr>
              <w:pStyle w:val="TableContents"/>
              <w:bidi w:val="0"/>
              <w:spacing w:before="0" w:after="283"/>
              <w:jc w:val="left"/>
              <w:rPr/>
            </w:pPr>
            <w:r>
              <w:rPr/>
              <w:t> </w:t>
            </w:r>
          </w:p>
        </w:tc>
        <w:tc>
          <w:tcPr>
            <w:tcW w:w="5538" w:type="dxa"/>
            <w:gridSpan w:val="3"/>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ESTABLISHMENT, PURPOSE AND TERM OF PLAN</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r>
      <w:tr>
        <w:trPr/>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81" w:type="dxa"/>
            <w:tcBorders/>
            <w:shd w:fill="FFFFFF" w:val="clear"/>
            <w:vAlign w:val="center"/>
          </w:tcPr>
          <w:p>
            <w:pPr>
              <w:pStyle w:val="TableContents"/>
              <w:bidi w:val="0"/>
              <w:spacing w:before="0" w:after="283"/>
              <w:ind w:left="0" w:right="0" w:hanging="200"/>
              <w:jc w:val="left"/>
              <w:rPr/>
            </w:pPr>
            <w:r>
              <w:rPr/>
              <w:t> </w:t>
            </w:r>
          </w:p>
        </w:tc>
        <w:tc>
          <w:tcPr>
            <w:tcW w:w="5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Establishment</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81" w:type="dxa"/>
            <w:tcBorders/>
            <w:shd w:fill="CCEEFF" w:val="clear"/>
            <w:vAlign w:val="center"/>
          </w:tcPr>
          <w:p>
            <w:pPr>
              <w:pStyle w:val="TableContents"/>
              <w:bidi w:val="0"/>
              <w:spacing w:before="0" w:after="283"/>
              <w:ind w:left="0" w:right="0" w:hanging="200"/>
              <w:jc w:val="left"/>
              <w:rPr/>
            </w:pPr>
            <w:r>
              <w:rPr/>
              <w:t> </w:t>
            </w:r>
          </w:p>
        </w:tc>
        <w:tc>
          <w:tcPr>
            <w:tcW w:w="5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Purpose</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81" w:type="dxa"/>
            <w:tcBorders/>
            <w:shd w:fill="FFFFFF" w:val="clear"/>
            <w:vAlign w:val="center"/>
          </w:tcPr>
          <w:p>
            <w:pPr>
              <w:pStyle w:val="TableContents"/>
              <w:bidi w:val="0"/>
              <w:spacing w:before="0" w:after="283"/>
              <w:ind w:left="0" w:right="0" w:hanging="200"/>
              <w:jc w:val="left"/>
              <w:rPr/>
            </w:pPr>
            <w:r>
              <w:rPr/>
              <w:t> </w:t>
            </w:r>
          </w:p>
        </w:tc>
        <w:tc>
          <w:tcPr>
            <w:tcW w:w="5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 of Plan</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38" w:type="dxa"/>
            <w:gridSpan w:val="3"/>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r>
      <w:tr>
        <w:trPr/>
        <w:tc>
          <w:tcPr>
            <w:tcW w:w="18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60" w:type="dxa"/>
            <w:tcBorders/>
            <w:shd w:fill="FFFFFF" w:val="clear"/>
            <w:vAlign w:val="center"/>
          </w:tcPr>
          <w:p>
            <w:pPr>
              <w:pStyle w:val="TableContents"/>
              <w:bidi w:val="0"/>
              <w:spacing w:before="0" w:after="283"/>
              <w:jc w:val="left"/>
              <w:rPr/>
            </w:pPr>
            <w:r>
              <w:rPr/>
              <w:t> </w:t>
            </w:r>
          </w:p>
        </w:tc>
        <w:tc>
          <w:tcPr>
            <w:tcW w:w="5538" w:type="dxa"/>
            <w:gridSpan w:val="3"/>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DEFINITIONS AND CONSTRUCTION</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r>
      <w:tr>
        <w:trPr/>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81" w:type="dxa"/>
            <w:tcBorders/>
            <w:shd w:fill="CCEEFF" w:val="clear"/>
            <w:vAlign w:val="center"/>
          </w:tcPr>
          <w:p>
            <w:pPr>
              <w:pStyle w:val="TableContents"/>
              <w:bidi w:val="0"/>
              <w:spacing w:before="0" w:after="283"/>
              <w:ind w:left="0" w:right="0" w:hanging="200"/>
              <w:jc w:val="left"/>
              <w:rPr/>
            </w:pPr>
            <w:r>
              <w:rPr/>
              <w:t> </w:t>
            </w:r>
          </w:p>
        </w:tc>
        <w:tc>
          <w:tcPr>
            <w:tcW w:w="5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81" w:type="dxa"/>
            <w:tcBorders/>
            <w:shd w:fill="FFFFFF" w:val="clear"/>
            <w:vAlign w:val="center"/>
          </w:tcPr>
          <w:p>
            <w:pPr>
              <w:pStyle w:val="TableContents"/>
              <w:bidi w:val="0"/>
              <w:spacing w:before="0" w:after="283"/>
              <w:ind w:left="0" w:right="0" w:hanging="200"/>
              <w:jc w:val="left"/>
              <w:rPr/>
            </w:pPr>
            <w:r>
              <w:rPr/>
              <w:t> </w:t>
            </w:r>
          </w:p>
        </w:tc>
        <w:tc>
          <w:tcPr>
            <w:tcW w:w="5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Construction</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38" w:type="dxa"/>
            <w:gridSpan w:val="3"/>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r>
      <w:tr>
        <w:trPr/>
        <w:tc>
          <w:tcPr>
            <w:tcW w:w="18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60" w:type="dxa"/>
            <w:tcBorders/>
            <w:shd w:fill="FFFFFF" w:val="clear"/>
            <w:vAlign w:val="center"/>
          </w:tcPr>
          <w:p>
            <w:pPr>
              <w:pStyle w:val="TableContents"/>
              <w:bidi w:val="0"/>
              <w:spacing w:before="0" w:after="283"/>
              <w:jc w:val="left"/>
              <w:rPr/>
            </w:pPr>
            <w:r>
              <w:rPr/>
              <w:t> </w:t>
            </w:r>
          </w:p>
        </w:tc>
        <w:tc>
          <w:tcPr>
            <w:tcW w:w="5538" w:type="dxa"/>
            <w:gridSpan w:val="3"/>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ADMINISTRATION</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r>
      <w:tr>
        <w:trPr/>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81" w:type="dxa"/>
            <w:tcBorders/>
            <w:shd w:fill="CCEEFF" w:val="clear"/>
            <w:vAlign w:val="center"/>
          </w:tcPr>
          <w:p>
            <w:pPr>
              <w:pStyle w:val="TableContents"/>
              <w:bidi w:val="0"/>
              <w:spacing w:before="0" w:after="283"/>
              <w:ind w:left="0" w:right="0" w:hanging="200"/>
              <w:jc w:val="left"/>
              <w:rPr/>
            </w:pPr>
            <w:r>
              <w:rPr/>
              <w:t> </w:t>
            </w:r>
          </w:p>
        </w:tc>
        <w:tc>
          <w:tcPr>
            <w:tcW w:w="5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Administration by the Committee</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81" w:type="dxa"/>
            <w:tcBorders/>
            <w:shd w:fill="FFFFFF" w:val="clear"/>
            <w:vAlign w:val="center"/>
          </w:tcPr>
          <w:p>
            <w:pPr>
              <w:pStyle w:val="TableContents"/>
              <w:bidi w:val="0"/>
              <w:spacing w:before="0" w:after="283"/>
              <w:ind w:left="0" w:right="0" w:hanging="200"/>
              <w:jc w:val="left"/>
              <w:rPr/>
            </w:pPr>
            <w:r>
              <w:rPr/>
              <w:t> </w:t>
            </w:r>
          </w:p>
        </w:tc>
        <w:tc>
          <w:tcPr>
            <w:tcW w:w="5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of Officers</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81" w:type="dxa"/>
            <w:tcBorders/>
            <w:shd w:fill="CCEEFF" w:val="clear"/>
            <w:vAlign w:val="center"/>
          </w:tcPr>
          <w:p>
            <w:pPr>
              <w:pStyle w:val="TableContents"/>
              <w:bidi w:val="0"/>
              <w:spacing w:before="0" w:after="283"/>
              <w:ind w:left="0" w:right="0" w:hanging="200"/>
              <w:jc w:val="left"/>
              <w:rPr/>
            </w:pPr>
            <w:r>
              <w:rPr/>
              <w:t> </w:t>
            </w:r>
          </w:p>
        </w:tc>
        <w:tc>
          <w:tcPr>
            <w:tcW w:w="5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Administration with Respect to Insiders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81" w:type="dxa"/>
            <w:tcBorders/>
            <w:shd w:fill="FFFFFF" w:val="clear"/>
            <w:vAlign w:val="center"/>
          </w:tcPr>
          <w:p>
            <w:pPr>
              <w:pStyle w:val="TableContents"/>
              <w:bidi w:val="0"/>
              <w:spacing w:before="0" w:after="283"/>
              <w:ind w:left="0" w:right="0" w:hanging="200"/>
              <w:jc w:val="left"/>
              <w:rPr/>
            </w:pPr>
            <w:r>
              <w:rPr/>
              <w:t> </w:t>
            </w:r>
          </w:p>
        </w:tc>
        <w:tc>
          <w:tcPr>
            <w:tcW w:w="5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Powers of the Committee</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81" w:type="dxa"/>
            <w:tcBorders/>
            <w:shd w:fill="CCEEFF" w:val="clear"/>
            <w:vAlign w:val="center"/>
          </w:tcPr>
          <w:p>
            <w:pPr>
              <w:pStyle w:val="TableContents"/>
              <w:bidi w:val="0"/>
              <w:spacing w:before="0" w:after="283"/>
              <w:ind w:left="0" w:right="0" w:hanging="200"/>
              <w:jc w:val="left"/>
              <w:rPr/>
            </w:pPr>
            <w:r>
              <w:rPr/>
              <w:t> </w:t>
            </w:r>
          </w:p>
        </w:tc>
        <w:tc>
          <w:tcPr>
            <w:tcW w:w="5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 or SAR Repricing</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81" w:type="dxa"/>
            <w:tcBorders/>
            <w:shd w:fill="FFFFFF" w:val="clear"/>
            <w:vAlign w:val="center"/>
          </w:tcPr>
          <w:p>
            <w:pPr>
              <w:pStyle w:val="TableContents"/>
              <w:bidi w:val="0"/>
              <w:spacing w:before="0" w:after="283"/>
              <w:ind w:left="0" w:right="0" w:hanging="200"/>
              <w:jc w:val="left"/>
              <w:rPr/>
            </w:pPr>
            <w:r>
              <w:rPr/>
              <w:t> </w:t>
            </w:r>
          </w:p>
        </w:tc>
        <w:tc>
          <w:tcPr>
            <w:tcW w:w="5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38" w:type="dxa"/>
            <w:gridSpan w:val="3"/>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r>
      <w:tr>
        <w:trPr/>
        <w:tc>
          <w:tcPr>
            <w:tcW w:w="18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60" w:type="dxa"/>
            <w:tcBorders/>
            <w:shd w:fill="FFFFFF" w:val="clear"/>
            <w:vAlign w:val="center"/>
          </w:tcPr>
          <w:p>
            <w:pPr>
              <w:pStyle w:val="TableContents"/>
              <w:bidi w:val="0"/>
              <w:spacing w:before="0" w:after="283"/>
              <w:jc w:val="left"/>
              <w:rPr/>
            </w:pPr>
            <w:r>
              <w:rPr/>
              <w:t> </w:t>
            </w:r>
          </w:p>
        </w:tc>
        <w:tc>
          <w:tcPr>
            <w:tcW w:w="5538" w:type="dxa"/>
            <w:gridSpan w:val="3"/>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SHARES SUBJECT TO PLAN</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r>
      <w:tr>
        <w:trPr/>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81" w:type="dxa"/>
            <w:tcBorders/>
            <w:shd w:fill="CCEEFF" w:val="clear"/>
            <w:vAlign w:val="center"/>
          </w:tcPr>
          <w:p>
            <w:pPr>
              <w:pStyle w:val="TableContents"/>
              <w:bidi w:val="0"/>
              <w:spacing w:before="0" w:after="283"/>
              <w:ind w:left="0" w:right="0" w:hanging="200"/>
              <w:jc w:val="left"/>
              <w:rPr/>
            </w:pPr>
            <w:r>
              <w:rPr/>
              <w:t> </w:t>
            </w:r>
          </w:p>
        </w:tc>
        <w:tc>
          <w:tcPr>
            <w:tcW w:w="5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Maximum Number of Shares Issuable</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81" w:type="dxa"/>
            <w:tcBorders/>
            <w:shd w:fill="FFFFFF" w:val="clear"/>
            <w:vAlign w:val="center"/>
          </w:tcPr>
          <w:p>
            <w:pPr>
              <w:pStyle w:val="TableContents"/>
              <w:bidi w:val="0"/>
              <w:spacing w:before="0" w:after="283"/>
              <w:ind w:left="0" w:right="0" w:hanging="200"/>
              <w:jc w:val="left"/>
              <w:rPr/>
            </w:pPr>
            <w:r>
              <w:rPr/>
              <w:t> </w:t>
            </w:r>
          </w:p>
        </w:tc>
        <w:tc>
          <w:tcPr>
            <w:tcW w:w="5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Counting</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81" w:type="dxa"/>
            <w:tcBorders/>
            <w:shd w:fill="CCEEFF" w:val="clear"/>
            <w:vAlign w:val="center"/>
          </w:tcPr>
          <w:p>
            <w:pPr>
              <w:pStyle w:val="TableContents"/>
              <w:bidi w:val="0"/>
              <w:spacing w:before="0" w:after="283"/>
              <w:ind w:left="0" w:right="0" w:hanging="200"/>
              <w:jc w:val="left"/>
              <w:rPr/>
            </w:pPr>
            <w:r>
              <w:rPr/>
              <w:t> </w:t>
            </w:r>
          </w:p>
        </w:tc>
        <w:tc>
          <w:tcPr>
            <w:tcW w:w="5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for Changes in Capital Structure</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81" w:type="dxa"/>
            <w:tcBorders/>
            <w:shd w:fill="FFFFFF" w:val="clear"/>
            <w:vAlign w:val="center"/>
          </w:tcPr>
          <w:p>
            <w:pPr>
              <w:pStyle w:val="TableContents"/>
              <w:bidi w:val="0"/>
              <w:spacing w:before="0" w:after="283"/>
              <w:ind w:left="0" w:right="0" w:hanging="200"/>
              <w:jc w:val="left"/>
              <w:rPr/>
            </w:pPr>
            <w:r>
              <w:rPr/>
              <w:t> </w:t>
            </w:r>
          </w:p>
        </w:tc>
        <w:tc>
          <w:tcPr>
            <w:tcW w:w="5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Assumption or Substitution of Awards</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38" w:type="dxa"/>
            <w:gridSpan w:val="3"/>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r>
      <w:tr>
        <w:trPr/>
        <w:tc>
          <w:tcPr>
            <w:tcW w:w="18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60" w:type="dxa"/>
            <w:tcBorders/>
            <w:shd w:fill="FFFFFF" w:val="clear"/>
            <w:vAlign w:val="center"/>
          </w:tcPr>
          <w:p>
            <w:pPr>
              <w:pStyle w:val="TableContents"/>
              <w:bidi w:val="0"/>
              <w:spacing w:before="0" w:after="283"/>
              <w:jc w:val="left"/>
              <w:rPr/>
            </w:pPr>
            <w:r>
              <w:rPr/>
              <w:t> </w:t>
            </w:r>
          </w:p>
        </w:tc>
        <w:tc>
          <w:tcPr>
            <w:tcW w:w="5538" w:type="dxa"/>
            <w:gridSpan w:val="3"/>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ELIGIBILITY, PARTICIPATION AND AWARD LIMITATIONS</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r>
      <w:tr>
        <w:trPr/>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81" w:type="dxa"/>
            <w:tcBorders/>
            <w:shd w:fill="CCEEFF" w:val="clear"/>
            <w:vAlign w:val="center"/>
          </w:tcPr>
          <w:p>
            <w:pPr>
              <w:pStyle w:val="TableContents"/>
              <w:bidi w:val="0"/>
              <w:spacing w:before="0" w:after="283"/>
              <w:ind w:left="0" w:right="0" w:hanging="200"/>
              <w:jc w:val="left"/>
              <w:rPr/>
            </w:pPr>
            <w:r>
              <w:rPr/>
              <w:t> </w:t>
            </w:r>
          </w:p>
        </w:tc>
        <w:tc>
          <w:tcPr>
            <w:tcW w:w="5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Eligible for Awards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81" w:type="dxa"/>
            <w:tcBorders/>
            <w:shd w:fill="FFFFFF" w:val="clear"/>
            <w:vAlign w:val="center"/>
          </w:tcPr>
          <w:p>
            <w:pPr>
              <w:pStyle w:val="TableContents"/>
              <w:bidi w:val="0"/>
              <w:spacing w:before="0" w:after="283"/>
              <w:ind w:left="0" w:right="0" w:hanging="200"/>
              <w:jc w:val="left"/>
              <w:rPr/>
            </w:pPr>
            <w:r>
              <w:rPr/>
              <w:t> </w:t>
            </w:r>
          </w:p>
        </w:tc>
        <w:tc>
          <w:tcPr>
            <w:tcW w:w="5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Participation in the Plan</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81" w:type="dxa"/>
            <w:tcBorders/>
            <w:shd w:fill="CCEEFF" w:val="clear"/>
            <w:vAlign w:val="center"/>
          </w:tcPr>
          <w:p>
            <w:pPr>
              <w:pStyle w:val="TableContents"/>
              <w:bidi w:val="0"/>
              <w:spacing w:before="0" w:after="283"/>
              <w:ind w:left="0" w:right="0" w:hanging="200"/>
              <w:jc w:val="left"/>
              <w:rPr/>
            </w:pPr>
            <w:r>
              <w:rPr/>
              <w:t> </w:t>
            </w:r>
          </w:p>
        </w:tc>
        <w:tc>
          <w:tcPr>
            <w:tcW w:w="5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Incentive Stock Option Limitations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81" w:type="dxa"/>
            <w:tcBorders/>
            <w:shd w:fill="FFFFFF" w:val="clear"/>
            <w:vAlign w:val="center"/>
          </w:tcPr>
          <w:p>
            <w:pPr>
              <w:pStyle w:val="TableContents"/>
              <w:bidi w:val="0"/>
              <w:spacing w:before="0" w:after="283"/>
              <w:ind w:left="0" w:right="0" w:hanging="200"/>
              <w:jc w:val="left"/>
              <w:rPr/>
            </w:pPr>
            <w:r>
              <w:rPr/>
              <w:t> </w:t>
            </w:r>
          </w:p>
        </w:tc>
        <w:tc>
          <w:tcPr>
            <w:tcW w:w="5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Nonemployee Director Award Limit</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38" w:type="dxa"/>
            <w:gridSpan w:val="3"/>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r>
      <w:tr>
        <w:trPr/>
        <w:tc>
          <w:tcPr>
            <w:tcW w:w="18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60" w:type="dxa"/>
            <w:tcBorders/>
            <w:shd w:fill="FFFFFF" w:val="clear"/>
            <w:vAlign w:val="center"/>
          </w:tcPr>
          <w:p>
            <w:pPr>
              <w:pStyle w:val="TableContents"/>
              <w:bidi w:val="0"/>
              <w:spacing w:before="0" w:after="283"/>
              <w:jc w:val="left"/>
              <w:rPr/>
            </w:pPr>
            <w:r>
              <w:rPr/>
              <w:t> </w:t>
            </w:r>
          </w:p>
        </w:tc>
        <w:tc>
          <w:tcPr>
            <w:tcW w:w="5538" w:type="dxa"/>
            <w:gridSpan w:val="3"/>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STOCK OPTIONS</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r>
      <w:tr>
        <w:trPr/>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81" w:type="dxa"/>
            <w:tcBorders/>
            <w:shd w:fill="CCEEFF" w:val="clear"/>
            <w:vAlign w:val="center"/>
          </w:tcPr>
          <w:p>
            <w:pPr>
              <w:pStyle w:val="TableContents"/>
              <w:bidi w:val="0"/>
              <w:spacing w:before="0" w:after="283"/>
              <w:ind w:left="0" w:right="0" w:hanging="200"/>
              <w:jc w:val="left"/>
              <w:rPr/>
            </w:pPr>
            <w:r>
              <w:rPr/>
              <w:t> </w:t>
            </w:r>
          </w:p>
        </w:tc>
        <w:tc>
          <w:tcPr>
            <w:tcW w:w="5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Price</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81" w:type="dxa"/>
            <w:tcBorders/>
            <w:shd w:fill="FFFFFF" w:val="clear"/>
            <w:vAlign w:val="center"/>
          </w:tcPr>
          <w:p>
            <w:pPr>
              <w:pStyle w:val="TableContents"/>
              <w:bidi w:val="0"/>
              <w:spacing w:before="0" w:after="283"/>
              <w:ind w:left="0" w:right="0" w:hanging="200"/>
              <w:jc w:val="left"/>
              <w:rPr/>
            </w:pPr>
            <w:r>
              <w:rPr/>
              <w:t> </w:t>
            </w:r>
          </w:p>
        </w:tc>
        <w:tc>
          <w:tcPr>
            <w:tcW w:w="5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Exercisability and Term of Options</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81" w:type="dxa"/>
            <w:tcBorders/>
            <w:shd w:fill="CCEEFF" w:val="clear"/>
            <w:vAlign w:val="center"/>
          </w:tcPr>
          <w:p>
            <w:pPr>
              <w:pStyle w:val="TableContents"/>
              <w:bidi w:val="0"/>
              <w:spacing w:before="0" w:after="283"/>
              <w:ind w:left="0" w:right="0" w:hanging="200"/>
              <w:jc w:val="left"/>
              <w:rPr/>
            </w:pPr>
            <w:r>
              <w:rPr/>
              <w:t> </w:t>
            </w:r>
          </w:p>
        </w:tc>
        <w:tc>
          <w:tcPr>
            <w:tcW w:w="5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Exercise Price</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81" w:type="dxa"/>
            <w:tcBorders/>
            <w:shd w:fill="FFFFFF" w:val="clear"/>
            <w:vAlign w:val="center"/>
          </w:tcPr>
          <w:p>
            <w:pPr>
              <w:pStyle w:val="TableContents"/>
              <w:bidi w:val="0"/>
              <w:spacing w:before="0" w:after="283"/>
              <w:ind w:left="0" w:right="0" w:hanging="200"/>
              <w:jc w:val="left"/>
              <w:rPr/>
            </w:pPr>
            <w:r>
              <w:rPr/>
              <w:t> </w:t>
            </w:r>
          </w:p>
        </w:tc>
        <w:tc>
          <w:tcPr>
            <w:tcW w:w="5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 of Service</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c>
          <w:tcPr>
            <w:tcW w:w="81" w:type="dxa"/>
            <w:tcBorders/>
            <w:shd w:fill="CCEEFF" w:val="clear"/>
            <w:vAlign w:val="center"/>
          </w:tcPr>
          <w:p>
            <w:pPr>
              <w:pStyle w:val="TableContents"/>
              <w:bidi w:val="0"/>
              <w:spacing w:before="0" w:after="283"/>
              <w:ind w:left="0" w:right="0" w:hanging="200"/>
              <w:jc w:val="left"/>
              <w:rPr/>
            </w:pPr>
            <w:r>
              <w:rPr/>
              <w:t> </w:t>
            </w:r>
          </w:p>
        </w:tc>
        <w:tc>
          <w:tcPr>
            <w:tcW w:w="5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Transferability of Options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38" w:type="dxa"/>
            <w:gridSpan w:val="3"/>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pPr>
            <w:r>
              <w:rPr/>
              <w:t> </w:t>
            </w:r>
          </w:p>
        </w:tc>
      </w:tr>
      <w:tr>
        <w:trPr/>
        <w:tc>
          <w:tcPr>
            <w:tcW w:w="18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60" w:type="dxa"/>
            <w:tcBorders/>
            <w:shd w:fill="CCEEFF" w:val="clear"/>
            <w:vAlign w:val="center"/>
          </w:tcPr>
          <w:p>
            <w:pPr>
              <w:pStyle w:val="TableContents"/>
              <w:bidi w:val="0"/>
              <w:spacing w:before="0" w:after="283"/>
              <w:jc w:val="left"/>
              <w:rPr/>
            </w:pPr>
            <w:r>
              <w:rPr/>
              <w:t> </w:t>
            </w:r>
          </w:p>
        </w:tc>
        <w:tc>
          <w:tcPr>
            <w:tcW w:w="5538" w:type="dxa"/>
            <w:gridSpan w:val="3"/>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STOCK APPRECIATION RIGHTS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r>
      <w:tr>
        <w:trPr/>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81" w:type="dxa"/>
            <w:tcBorders/>
            <w:shd w:fill="FFFFFF" w:val="clear"/>
            <w:vAlign w:val="center"/>
          </w:tcPr>
          <w:p>
            <w:pPr>
              <w:pStyle w:val="TableContents"/>
              <w:bidi w:val="0"/>
              <w:spacing w:before="0" w:after="283"/>
              <w:ind w:left="0" w:right="0" w:hanging="200"/>
              <w:jc w:val="left"/>
              <w:rPr/>
            </w:pPr>
            <w:r>
              <w:rPr/>
              <w:t> </w:t>
            </w:r>
          </w:p>
        </w:tc>
        <w:tc>
          <w:tcPr>
            <w:tcW w:w="5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Types of SARs Authorized</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81" w:type="dxa"/>
            <w:tcBorders/>
            <w:shd w:fill="CCEEFF" w:val="clear"/>
            <w:vAlign w:val="center"/>
          </w:tcPr>
          <w:p>
            <w:pPr>
              <w:pStyle w:val="TableContents"/>
              <w:bidi w:val="0"/>
              <w:spacing w:before="0" w:after="283"/>
              <w:ind w:left="0" w:right="0" w:hanging="200"/>
              <w:jc w:val="left"/>
              <w:rPr/>
            </w:pPr>
            <w:r>
              <w:rPr/>
              <w:t> </w:t>
            </w:r>
          </w:p>
        </w:tc>
        <w:tc>
          <w:tcPr>
            <w:tcW w:w="5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Price</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w:t>
            </w:r>
          </w:p>
        </w:tc>
        <w:tc>
          <w:tcPr>
            <w:tcW w:w="81" w:type="dxa"/>
            <w:tcBorders/>
            <w:shd w:fill="FFFFFF" w:val="clear"/>
            <w:vAlign w:val="center"/>
          </w:tcPr>
          <w:p>
            <w:pPr>
              <w:pStyle w:val="TableContents"/>
              <w:bidi w:val="0"/>
              <w:spacing w:before="0" w:after="283"/>
              <w:ind w:left="0" w:right="0" w:hanging="200"/>
              <w:jc w:val="left"/>
              <w:rPr/>
            </w:pPr>
            <w:r>
              <w:rPr/>
              <w:t> </w:t>
            </w:r>
          </w:p>
        </w:tc>
        <w:tc>
          <w:tcPr>
            <w:tcW w:w="5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Exercisability and Term of SARs</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w:t>
            </w:r>
          </w:p>
        </w:tc>
        <w:tc>
          <w:tcPr>
            <w:tcW w:w="81" w:type="dxa"/>
            <w:tcBorders/>
            <w:shd w:fill="CCEEFF" w:val="clear"/>
            <w:vAlign w:val="center"/>
          </w:tcPr>
          <w:p>
            <w:pPr>
              <w:pStyle w:val="TableContents"/>
              <w:bidi w:val="0"/>
              <w:spacing w:before="0" w:after="283"/>
              <w:ind w:left="0" w:right="0" w:hanging="200"/>
              <w:jc w:val="left"/>
              <w:rPr/>
            </w:pPr>
            <w:r>
              <w:rPr/>
              <w:t> </w:t>
            </w:r>
          </w:p>
        </w:tc>
        <w:tc>
          <w:tcPr>
            <w:tcW w:w="5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SARs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w:t>
            </w:r>
          </w:p>
        </w:tc>
        <w:tc>
          <w:tcPr>
            <w:tcW w:w="81" w:type="dxa"/>
            <w:tcBorders/>
            <w:shd w:fill="FFFFFF" w:val="clear"/>
            <w:vAlign w:val="center"/>
          </w:tcPr>
          <w:p>
            <w:pPr>
              <w:pStyle w:val="TableContents"/>
              <w:bidi w:val="0"/>
              <w:spacing w:before="0" w:after="283"/>
              <w:ind w:left="0" w:right="0" w:hanging="200"/>
              <w:jc w:val="left"/>
              <w:rPr/>
            </w:pPr>
            <w:r>
              <w:rPr/>
              <w:t> </w:t>
            </w:r>
          </w:p>
        </w:tc>
        <w:tc>
          <w:tcPr>
            <w:tcW w:w="5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Deemed Exercise of SARs</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c>
          <w:tcPr>
            <w:tcW w:w="81" w:type="dxa"/>
            <w:tcBorders/>
            <w:shd w:fill="CCEEFF" w:val="clear"/>
            <w:vAlign w:val="center"/>
          </w:tcPr>
          <w:p>
            <w:pPr>
              <w:pStyle w:val="TableContents"/>
              <w:bidi w:val="0"/>
              <w:spacing w:before="0" w:after="283"/>
              <w:ind w:left="0" w:right="0" w:hanging="200"/>
              <w:jc w:val="left"/>
              <w:rPr/>
            </w:pPr>
            <w:r>
              <w:rPr/>
              <w:t> </w:t>
            </w:r>
          </w:p>
        </w:tc>
        <w:tc>
          <w:tcPr>
            <w:tcW w:w="5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 of Service</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7.7</w:t>
            </w:r>
          </w:p>
        </w:tc>
        <w:tc>
          <w:tcPr>
            <w:tcW w:w="81" w:type="dxa"/>
            <w:tcBorders/>
            <w:shd w:fill="FFFFFF" w:val="clear"/>
            <w:vAlign w:val="center"/>
          </w:tcPr>
          <w:p>
            <w:pPr>
              <w:pStyle w:val="TableContents"/>
              <w:bidi w:val="0"/>
              <w:spacing w:before="0" w:after="283"/>
              <w:ind w:left="0" w:right="0" w:hanging="200"/>
              <w:jc w:val="left"/>
              <w:rPr/>
            </w:pPr>
            <w:r>
              <w:rPr/>
              <w:t> </w:t>
            </w:r>
          </w:p>
        </w:tc>
        <w:tc>
          <w:tcPr>
            <w:tcW w:w="5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Transferability of SARs</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tbl>
      <w:tblPr>
        <w:tblW w:w="8930" w:type="dxa"/>
        <w:jc w:val="left"/>
        <w:tblInd w:w="0" w:type="dxa"/>
        <w:tblLayout w:type="fixed"/>
        <w:tblCellMar>
          <w:top w:w="0" w:type="dxa"/>
          <w:left w:w="0" w:type="dxa"/>
          <w:bottom w:w="0" w:type="dxa"/>
          <w:right w:w="0" w:type="dxa"/>
        </w:tblCellMar>
      </w:tblPr>
      <w:tblGrid>
        <w:gridCol w:w="290"/>
        <w:gridCol w:w="60"/>
        <w:gridCol w:w="380"/>
        <w:gridCol w:w="60"/>
        <w:gridCol w:w="7295"/>
        <w:gridCol w:w="60"/>
        <w:gridCol w:w="785"/>
      </w:tblGrid>
      <w:tr>
        <w:trPr/>
        <w:tc>
          <w:tcPr>
            <w:tcW w:w="8085" w:type="dxa"/>
            <w:gridSpan w:val="5"/>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Annex I</w:t>
              <w:br/>
              <w:t>Page No.</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60" w:type="dxa"/>
            <w:tcBorders/>
            <w:shd w:fill="CCEEFF" w:val="clear"/>
            <w:vAlign w:val="center"/>
          </w:tcPr>
          <w:p>
            <w:pPr>
              <w:pStyle w:val="TableContents"/>
              <w:bidi w:val="0"/>
              <w:spacing w:before="0" w:after="283"/>
              <w:jc w:val="left"/>
              <w:rPr/>
            </w:pPr>
            <w:r>
              <w:rPr/>
              <w:t> </w:t>
            </w:r>
          </w:p>
        </w:tc>
        <w:tc>
          <w:tcPr>
            <w:tcW w:w="7735" w:type="dxa"/>
            <w:gridSpan w:val="3"/>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RESTRICTED STOCK AWARDS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60" w:type="dxa"/>
            <w:tcBorders/>
            <w:shd w:fill="FFFFFF" w:val="clear"/>
            <w:vAlign w:val="center"/>
          </w:tcPr>
          <w:p>
            <w:pPr>
              <w:pStyle w:val="TableContents"/>
              <w:bidi w:val="0"/>
              <w:spacing w:before="0" w:after="283"/>
              <w:ind w:left="0" w:right="0" w:hanging="200"/>
              <w:jc w:val="left"/>
              <w:rPr/>
            </w:pPr>
            <w:r>
              <w:rPr/>
              <w:t> </w:t>
            </w:r>
          </w:p>
        </w:tc>
        <w:tc>
          <w:tcPr>
            <w:tcW w:w="7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Types of Restricted Stock Awards Authorized</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60" w:type="dxa"/>
            <w:tcBorders/>
            <w:shd w:fill="CCEEFF" w:val="clear"/>
            <w:vAlign w:val="center"/>
          </w:tcPr>
          <w:p>
            <w:pPr>
              <w:pStyle w:val="TableContents"/>
              <w:bidi w:val="0"/>
              <w:spacing w:before="0" w:after="283"/>
              <w:ind w:left="0" w:right="0" w:hanging="200"/>
              <w:jc w:val="left"/>
              <w:rPr/>
            </w:pPr>
            <w:r>
              <w:rPr/>
              <w:t> </w:t>
            </w:r>
          </w:p>
        </w:tc>
        <w:tc>
          <w:tcPr>
            <w:tcW w:w="7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Price</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w:t>
            </w:r>
          </w:p>
        </w:tc>
        <w:tc>
          <w:tcPr>
            <w:tcW w:w="60" w:type="dxa"/>
            <w:tcBorders/>
            <w:shd w:fill="FFFFFF" w:val="clear"/>
            <w:vAlign w:val="center"/>
          </w:tcPr>
          <w:p>
            <w:pPr>
              <w:pStyle w:val="TableContents"/>
              <w:bidi w:val="0"/>
              <w:spacing w:before="0" w:after="283"/>
              <w:ind w:left="0" w:right="0" w:hanging="200"/>
              <w:jc w:val="left"/>
              <w:rPr/>
            </w:pPr>
            <w:r>
              <w:rPr/>
              <w:t> </w:t>
            </w:r>
          </w:p>
        </w:tc>
        <w:tc>
          <w:tcPr>
            <w:tcW w:w="7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Period</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8.4</w:t>
            </w:r>
          </w:p>
        </w:tc>
        <w:tc>
          <w:tcPr>
            <w:tcW w:w="60" w:type="dxa"/>
            <w:tcBorders/>
            <w:shd w:fill="CCEEFF" w:val="clear"/>
            <w:vAlign w:val="center"/>
          </w:tcPr>
          <w:p>
            <w:pPr>
              <w:pStyle w:val="TableContents"/>
              <w:bidi w:val="0"/>
              <w:spacing w:before="0" w:after="283"/>
              <w:ind w:left="0" w:right="0" w:hanging="200"/>
              <w:jc w:val="left"/>
              <w:rPr/>
            </w:pPr>
            <w:r>
              <w:rPr/>
              <w:t> </w:t>
            </w:r>
          </w:p>
        </w:tc>
        <w:tc>
          <w:tcPr>
            <w:tcW w:w="7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Purchase Price</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8.5</w:t>
            </w:r>
          </w:p>
        </w:tc>
        <w:tc>
          <w:tcPr>
            <w:tcW w:w="60" w:type="dxa"/>
            <w:tcBorders/>
            <w:shd w:fill="FFFFFF" w:val="clear"/>
            <w:vAlign w:val="center"/>
          </w:tcPr>
          <w:p>
            <w:pPr>
              <w:pStyle w:val="TableContents"/>
              <w:bidi w:val="0"/>
              <w:spacing w:before="0" w:after="283"/>
              <w:ind w:left="0" w:right="0" w:hanging="200"/>
              <w:jc w:val="left"/>
              <w:rPr/>
            </w:pPr>
            <w:r>
              <w:rPr/>
              <w:t> </w:t>
            </w:r>
          </w:p>
        </w:tc>
        <w:tc>
          <w:tcPr>
            <w:tcW w:w="7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Vesting and Restrictions on Transfer</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8.6</w:t>
            </w:r>
          </w:p>
        </w:tc>
        <w:tc>
          <w:tcPr>
            <w:tcW w:w="60" w:type="dxa"/>
            <w:tcBorders/>
            <w:shd w:fill="CCEEFF" w:val="clear"/>
            <w:vAlign w:val="center"/>
          </w:tcPr>
          <w:p>
            <w:pPr>
              <w:pStyle w:val="TableContents"/>
              <w:bidi w:val="0"/>
              <w:spacing w:before="0" w:after="283"/>
              <w:ind w:left="0" w:right="0" w:hanging="200"/>
              <w:jc w:val="left"/>
              <w:rPr/>
            </w:pPr>
            <w:r>
              <w:rPr/>
              <w:t> </w:t>
            </w:r>
          </w:p>
        </w:tc>
        <w:tc>
          <w:tcPr>
            <w:tcW w:w="7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Rights; Dividends and Distributions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8.7</w:t>
            </w:r>
          </w:p>
        </w:tc>
        <w:tc>
          <w:tcPr>
            <w:tcW w:w="60" w:type="dxa"/>
            <w:tcBorders/>
            <w:shd w:fill="FFFFFF" w:val="clear"/>
            <w:vAlign w:val="center"/>
          </w:tcPr>
          <w:p>
            <w:pPr>
              <w:pStyle w:val="TableContents"/>
              <w:bidi w:val="0"/>
              <w:spacing w:before="0" w:after="283"/>
              <w:ind w:left="0" w:right="0" w:hanging="200"/>
              <w:jc w:val="left"/>
              <w:rPr/>
            </w:pPr>
            <w:r>
              <w:rPr/>
              <w:t> </w:t>
            </w:r>
          </w:p>
        </w:tc>
        <w:tc>
          <w:tcPr>
            <w:tcW w:w="7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 of Service</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8.8</w:t>
            </w:r>
          </w:p>
        </w:tc>
        <w:tc>
          <w:tcPr>
            <w:tcW w:w="60" w:type="dxa"/>
            <w:tcBorders/>
            <w:shd w:fill="CCEEFF" w:val="clear"/>
            <w:vAlign w:val="center"/>
          </w:tcPr>
          <w:p>
            <w:pPr>
              <w:pStyle w:val="TableContents"/>
              <w:bidi w:val="0"/>
              <w:spacing w:before="0" w:after="283"/>
              <w:ind w:left="0" w:right="0" w:hanging="200"/>
              <w:jc w:val="left"/>
              <w:rPr/>
            </w:pPr>
            <w:r>
              <w:rPr/>
              <w:t> </w:t>
            </w:r>
          </w:p>
        </w:tc>
        <w:tc>
          <w:tcPr>
            <w:tcW w:w="7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Nontransferability of Restricted Stock Award Rights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35" w:type="dxa"/>
            <w:gridSpan w:val="3"/>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60" w:type="dxa"/>
            <w:tcBorders/>
            <w:shd w:fill="CCEEFF" w:val="clear"/>
            <w:vAlign w:val="center"/>
          </w:tcPr>
          <w:p>
            <w:pPr>
              <w:pStyle w:val="TableContents"/>
              <w:bidi w:val="0"/>
              <w:spacing w:before="0" w:after="283"/>
              <w:jc w:val="left"/>
              <w:rPr/>
            </w:pPr>
            <w:r>
              <w:rPr/>
              <w:t> </w:t>
            </w:r>
          </w:p>
        </w:tc>
        <w:tc>
          <w:tcPr>
            <w:tcW w:w="7735" w:type="dxa"/>
            <w:gridSpan w:val="3"/>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RESTRICTED STOCK UNITS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14</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60" w:type="dxa"/>
            <w:tcBorders/>
            <w:shd w:fill="FFFFFF" w:val="clear"/>
            <w:vAlign w:val="center"/>
          </w:tcPr>
          <w:p>
            <w:pPr>
              <w:pStyle w:val="TableContents"/>
              <w:bidi w:val="0"/>
              <w:spacing w:before="0" w:after="283"/>
              <w:ind w:left="0" w:right="0" w:hanging="200"/>
              <w:jc w:val="left"/>
              <w:rPr/>
            </w:pPr>
            <w:r>
              <w:rPr/>
              <w:t> </w:t>
            </w:r>
          </w:p>
        </w:tc>
        <w:tc>
          <w:tcPr>
            <w:tcW w:w="7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 of Restricted Stock Unit Awards</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60" w:type="dxa"/>
            <w:tcBorders/>
            <w:shd w:fill="CCEEFF" w:val="clear"/>
            <w:vAlign w:val="center"/>
          </w:tcPr>
          <w:p>
            <w:pPr>
              <w:pStyle w:val="TableContents"/>
              <w:bidi w:val="0"/>
              <w:spacing w:before="0" w:after="283"/>
              <w:ind w:left="0" w:right="0" w:hanging="200"/>
              <w:jc w:val="left"/>
              <w:rPr/>
            </w:pPr>
            <w:r>
              <w:rPr/>
              <w:t> </w:t>
            </w:r>
          </w:p>
        </w:tc>
        <w:tc>
          <w:tcPr>
            <w:tcW w:w="7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Price</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c>
          <w:tcPr>
            <w:tcW w:w="60" w:type="dxa"/>
            <w:tcBorders/>
            <w:shd w:fill="FFFFFF" w:val="clear"/>
            <w:vAlign w:val="center"/>
          </w:tcPr>
          <w:p>
            <w:pPr>
              <w:pStyle w:val="TableContents"/>
              <w:bidi w:val="0"/>
              <w:spacing w:before="0" w:after="283"/>
              <w:ind w:left="0" w:right="0" w:hanging="200"/>
              <w:jc w:val="left"/>
              <w:rPr/>
            </w:pPr>
            <w:r>
              <w:rPr/>
              <w:t> </w:t>
            </w:r>
          </w:p>
        </w:tc>
        <w:tc>
          <w:tcPr>
            <w:tcW w:w="7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Vesting</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9.4</w:t>
            </w:r>
          </w:p>
        </w:tc>
        <w:tc>
          <w:tcPr>
            <w:tcW w:w="60" w:type="dxa"/>
            <w:tcBorders/>
            <w:shd w:fill="CCEEFF" w:val="clear"/>
            <w:vAlign w:val="center"/>
          </w:tcPr>
          <w:p>
            <w:pPr>
              <w:pStyle w:val="TableContents"/>
              <w:bidi w:val="0"/>
              <w:spacing w:before="0" w:after="283"/>
              <w:ind w:left="0" w:right="0" w:hanging="200"/>
              <w:jc w:val="left"/>
              <w:rPr/>
            </w:pPr>
            <w:r>
              <w:rPr/>
              <w:t> </w:t>
            </w:r>
          </w:p>
        </w:tc>
        <w:tc>
          <w:tcPr>
            <w:tcW w:w="7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Rights, Dividend Equivalent Rights and Distributions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9.5</w:t>
            </w:r>
          </w:p>
        </w:tc>
        <w:tc>
          <w:tcPr>
            <w:tcW w:w="60" w:type="dxa"/>
            <w:tcBorders/>
            <w:shd w:fill="FFFFFF" w:val="clear"/>
            <w:vAlign w:val="center"/>
          </w:tcPr>
          <w:p>
            <w:pPr>
              <w:pStyle w:val="TableContents"/>
              <w:bidi w:val="0"/>
              <w:spacing w:before="0" w:after="283"/>
              <w:ind w:left="0" w:right="0" w:hanging="200"/>
              <w:jc w:val="left"/>
              <w:rPr/>
            </w:pPr>
            <w:r>
              <w:rPr/>
              <w:t> </w:t>
            </w:r>
          </w:p>
        </w:tc>
        <w:tc>
          <w:tcPr>
            <w:tcW w:w="7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 of Service</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9.6</w:t>
            </w:r>
          </w:p>
        </w:tc>
        <w:tc>
          <w:tcPr>
            <w:tcW w:w="60" w:type="dxa"/>
            <w:tcBorders/>
            <w:shd w:fill="CCEEFF" w:val="clear"/>
            <w:vAlign w:val="center"/>
          </w:tcPr>
          <w:p>
            <w:pPr>
              <w:pStyle w:val="TableContents"/>
              <w:bidi w:val="0"/>
              <w:spacing w:before="0" w:after="283"/>
              <w:ind w:left="0" w:right="0" w:hanging="200"/>
              <w:jc w:val="left"/>
              <w:rPr/>
            </w:pPr>
            <w:r>
              <w:rPr/>
              <w:t> </w:t>
            </w:r>
          </w:p>
        </w:tc>
        <w:tc>
          <w:tcPr>
            <w:tcW w:w="7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of Restricted Stock Unit Awards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w:t>
            </w:r>
          </w:p>
        </w:tc>
        <w:tc>
          <w:tcPr>
            <w:tcW w:w="60" w:type="dxa"/>
            <w:tcBorders/>
            <w:shd w:fill="FFFFFF" w:val="clear"/>
            <w:vAlign w:val="center"/>
          </w:tcPr>
          <w:p>
            <w:pPr>
              <w:pStyle w:val="TableContents"/>
              <w:bidi w:val="0"/>
              <w:spacing w:before="0" w:after="283"/>
              <w:ind w:left="0" w:right="0" w:hanging="200"/>
              <w:jc w:val="left"/>
              <w:rPr/>
            </w:pPr>
            <w:r>
              <w:rPr/>
              <w:t> </w:t>
            </w:r>
          </w:p>
        </w:tc>
        <w:tc>
          <w:tcPr>
            <w:tcW w:w="7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Nontransferability of Restricted Stock Unit Awards</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35" w:type="dxa"/>
            <w:gridSpan w:val="3"/>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60" w:type="dxa"/>
            <w:tcBorders/>
            <w:shd w:fill="FFFFFF" w:val="clear"/>
            <w:vAlign w:val="center"/>
          </w:tcPr>
          <w:p>
            <w:pPr>
              <w:pStyle w:val="TableContents"/>
              <w:bidi w:val="0"/>
              <w:spacing w:before="0" w:after="283"/>
              <w:jc w:val="left"/>
              <w:rPr/>
            </w:pPr>
            <w:r>
              <w:rPr/>
              <w:t> </w:t>
            </w:r>
          </w:p>
        </w:tc>
        <w:tc>
          <w:tcPr>
            <w:tcW w:w="7735" w:type="dxa"/>
            <w:gridSpan w:val="3"/>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PERFORMANCE AWARDS</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16</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vAlign w:val="center"/>
          </w:tcPr>
          <w:p>
            <w:pPr>
              <w:pStyle w:val="TableContents"/>
              <w:bidi w:val="0"/>
              <w:spacing w:before="0" w:after="283"/>
              <w:ind w:left="0" w:right="0" w:hanging="200"/>
              <w:jc w:val="left"/>
              <w:rPr/>
            </w:pPr>
            <w:r>
              <w:rPr/>
              <w:t> </w:t>
            </w:r>
          </w:p>
        </w:tc>
        <w:tc>
          <w:tcPr>
            <w:tcW w:w="7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Types of Performance Awards Authorized</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0" w:type="dxa"/>
            <w:tcBorders/>
            <w:shd w:fill="FFFFFF" w:val="clear"/>
            <w:vAlign w:val="center"/>
          </w:tcPr>
          <w:p>
            <w:pPr>
              <w:pStyle w:val="TableContents"/>
              <w:bidi w:val="0"/>
              <w:spacing w:before="0" w:after="283"/>
              <w:ind w:left="0" w:right="0" w:hanging="200"/>
              <w:jc w:val="left"/>
              <w:rPr/>
            </w:pPr>
            <w:r>
              <w:rPr/>
              <w:t> </w:t>
            </w:r>
          </w:p>
        </w:tc>
        <w:tc>
          <w:tcPr>
            <w:tcW w:w="7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Value of Performance Shares and Performance Units</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0" w:type="dxa"/>
            <w:tcBorders/>
            <w:shd w:fill="CCEEFF" w:val="clear"/>
            <w:vAlign w:val="center"/>
          </w:tcPr>
          <w:p>
            <w:pPr>
              <w:pStyle w:val="TableContents"/>
              <w:bidi w:val="0"/>
              <w:spacing w:before="0" w:after="283"/>
              <w:ind w:left="0" w:right="0" w:hanging="200"/>
              <w:jc w:val="left"/>
              <w:rPr/>
            </w:pPr>
            <w:r>
              <w:rPr/>
              <w:t> </w:t>
            </w:r>
          </w:p>
        </w:tc>
        <w:tc>
          <w:tcPr>
            <w:tcW w:w="7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Establishment of Performance Period, Performance Goals and Performance Award Formula</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vAlign w:val="center"/>
          </w:tcPr>
          <w:p>
            <w:pPr>
              <w:pStyle w:val="TableContents"/>
              <w:bidi w:val="0"/>
              <w:spacing w:before="0" w:after="283"/>
              <w:ind w:left="0" w:right="0" w:hanging="200"/>
              <w:jc w:val="left"/>
              <w:rPr/>
            </w:pPr>
            <w:r>
              <w:rPr/>
              <w:t> </w:t>
            </w:r>
          </w:p>
        </w:tc>
        <w:tc>
          <w:tcPr>
            <w:tcW w:w="7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Measurement of Performance Goals</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60" w:type="dxa"/>
            <w:tcBorders/>
            <w:shd w:fill="CCEEFF" w:val="clear"/>
            <w:vAlign w:val="center"/>
          </w:tcPr>
          <w:p>
            <w:pPr>
              <w:pStyle w:val="TableContents"/>
              <w:bidi w:val="0"/>
              <w:spacing w:before="0" w:after="283"/>
              <w:ind w:left="0" w:right="0" w:hanging="200"/>
              <w:jc w:val="left"/>
              <w:rPr/>
            </w:pPr>
            <w:r>
              <w:rPr/>
              <w:t> </w:t>
            </w:r>
          </w:p>
        </w:tc>
        <w:tc>
          <w:tcPr>
            <w:tcW w:w="7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of Performance Awards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60" w:type="dxa"/>
            <w:tcBorders/>
            <w:shd w:fill="FFFFFF" w:val="clear"/>
            <w:vAlign w:val="center"/>
          </w:tcPr>
          <w:p>
            <w:pPr>
              <w:pStyle w:val="TableContents"/>
              <w:bidi w:val="0"/>
              <w:spacing w:before="0" w:after="283"/>
              <w:ind w:left="0" w:right="0" w:hanging="200"/>
              <w:jc w:val="left"/>
              <w:rPr/>
            </w:pPr>
            <w:r>
              <w:rPr/>
              <w:t> </w:t>
            </w:r>
          </w:p>
        </w:tc>
        <w:tc>
          <w:tcPr>
            <w:tcW w:w="7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Rights; Dividend Equivalent Rights and Distributions</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vAlign w:val="center"/>
          </w:tcPr>
          <w:p>
            <w:pPr>
              <w:pStyle w:val="TableContents"/>
              <w:bidi w:val="0"/>
              <w:spacing w:before="0" w:after="283"/>
              <w:ind w:left="0" w:right="0" w:hanging="200"/>
              <w:jc w:val="left"/>
              <w:rPr/>
            </w:pPr>
            <w:r>
              <w:rPr/>
              <w:t> </w:t>
            </w:r>
          </w:p>
        </w:tc>
        <w:tc>
          <w:tcPr>
            <w:tcW w:w="7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 of Service</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60" w:type="dxa"/>
            <w:tcBorders/>
            <w:shd w:fill="FFFFFF" w:val="clear"/>
            <w:vAlign w:val="center"/>
          </w:tcPr>
          <w:p>
            <w:pPr>
              <w:pStyle w:val="TableContents"/>
              <w:bidi w:val="0"/>
              <w:spacing w:before="0" w:after="283"/>
              <w:ind w:left="0" w:right="0" w:hanging="200"/>
              <w:jc w:val="left"/>
              <w:rPr/>
            </w:pPr>
            <w:r>
              <w:rPr/>
              <w:t> </w:t>
            </w:r>
          </w:p>
        </w:tc>
        <w:tc>
          <w:tcPr>
            <w:tcW w:w="7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Nontransferability of Performance Awards</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35" w:type="dxa"/>
            <w:gridSpan w:val="3"/>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60" w:type="dxa"/>
            <w:tcBorders/>
            <w:shd w:fill="FFFFFF" w:val="clear"/>
            <w:vAlign w:val="center"/>
          </w:tcPr>
          <w:p>
            <w:pPr>
              <w:pStyle w:val="TableContents"/>
              <w:bidi w:val="0"/>
              <w:spacing w:before="0" w:after="283"/>
              <w:jc w:val="left"/>
              <w:rPr/>
            </w:pPr>
            <w:r>
              <w:rPr/>
              <w:t> </w:t>
            </w:r>
          </w:p>
        </w:tc>
        <w:tc>
          <w:tcPr>
            <w:tcW w:w="7735" w:type="dxa"/>
            <w:gridSpan w:val="3"/>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CASH-BASED AWARDS AND OTHER STOCK-BASED AWARDS.</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19</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60" w:type="dxa"/>
            <w:tcBorders/>
            <w:shd w:fill="CCEEFF" w:val="clear"/>
            <w:vAlign w:val="center"/>
          </w:tcPr>
          <w:p>
            <w:pPr>
              <w:pStyle w:val="TableContents"/>
              <w:bidi w:val="0"/>
              <w:spacing w:before="0" w:after="283"/>
              <w:ind w:left="0" w:right="0" w:hanging="200"/>
              <w:jc w:val="left"/>
              <w:rPr/>
            </w:pPr>
            <w:r>
              <w:rPr/>
              <w:t> </w:t>
            </w:r>
          </w:p>
        </w:tc>
        <w:tc>
          <w:tcPr>
            <w:tcW w:w="7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 of Cash-Based Awards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60" w:type="dxa"/>
            <w:tcBorders/>
            <w:shd w:fill="FFFFFF" w:val="clear"/>
            <w:vAlign w:val="center"/>
          </w:tcPr>
          <w:p>
            <w:pPr>
              <w:pStyle w:val="TableContents"/>
              <w:bidi w:val="0"/>
              <w:spacing w:before="0" w:after="283"/>
              <w:ind w:left="0" w:right="0" w:hanging="200"/>
              <w:jc w:val="left"/>
              <w:rPr/>
            </w:pPr>
            <w:r>
              <w:rPr/>
              <w:t> </w:t>
            </w:r>
          </w:p>
        </w:tc>
        <w:tc>
          <w:tcPr>
            <w:tcW w:w="7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 of Other Stock-Based Awards</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11.3</w:t>
            </w:r>
          </w:p>
        </w:tc>
        <w:tc>
          <w:tcPr>
            <w:tcW w:w="60" w:type="dxa"/>
            <w:tcBorders/>
            <w:shd w:fill="CCEEFF" w:val="clear"/>
            <w:vAlign w:val="center"/>
          </w:tcPr>
          <w:p>
            <w:pPr>
              <w:pStyle w:val="TableContents"/>
              <w:bidi w:val="0"/>
              <w:spacing w:before="0" w:after="283"/>
              <w:ind w:left="0" w:right="0" w:hanging="200"/>
              <w:jc w:val="left"/>
              <w:rPr/>
            </w:pPr>
            <w:r>
              <w:rPr/>
              <w:t> </w:t>
            </w:r>
          </w:p>
        </w:tc>
        <w:tc>
          <w:tcPr>
            <w:tcW w:w="7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Value of Cash-Based and Other Stock-Based Awards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11.4</w:t>
            </w:r>
          </w:p>
        </w:tc>
        <w:tc>
          <w:tcPr>
            <w:tcW w:w="60" w:type="dxa"/>
            <w:tcBorders/>
            <w:shd w:fill="FFFFFF" w:val="clear"/>
            <w:vAlign w:val="center"/>
          </w:tcPr>
          <w:p>
            <w:pPr>
              <w:pStyle w:val="TableContents"/>
              <w:bidi w:val="0"/>
              <w:spacing w:before="0" w:after="283"/>
              <w:ind w:left="0" w:right="0" w:hanging="200"/>
              <w:jc w:val="left"/>
              <w:rPr/>
            </w:pPr>
            <w:r>
              <w:rPr/>
              <w:t> </w:t>
            </w:r>
          </w:p>
        </w:tc>
        <w:tc>
          <w:tcPr>
            <w:tcW w:w="7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or Settlement of Cash-Based Awards and Other Stock-Based Awards</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11.5</w:t>
            </w:r>
          </w:p>
        </w:tc>
        <w:tc>
          <w:tcPr>
            <w:tcW w:w="60" w:type="dxa"/>
            <w:tcBorders/>
            <w:shd w:fill="CCEEFF" w:val="clear"/>
            <w:vAlign w:val="center"/>
          </w:tcPr>
          <w:p>
            <w:pPr>
              <w:pStyle w:val="TableContents"/>
              <w:bidi w:val="0"/>
              <w:spacing w:before="0" w:after="283"/>
              <w:ind w:left="0" w:right="0" w:hanging="200"/>
              <w:jc w:val="left"/>
              <w:rPr/>
            </w:pPr>
            <w:r>
              <w:rPr/>
              <w:t> </w:t>
            </w:r>
          </w:p>
        </w:tc>
        <w:tc>
          <w:tcPr>
            <w:tcW w:w="7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Rights; Dividend Equivalent Rights and Distributions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11.6</w:t>
            </w:r>
          </w:p>
        </w:tc>
        <w:tc>
          <w:tcPr>
            <w:tcW w:w="60" w:type="dxa"/>
            <w:tcBorders/>
            <w:shd w:fill="FFFFFF" w:val="clear"/>
            <w:vAlign w:val="center"/>
          </w:tcPr>
          <w:p>
            <w:pPr>
              <w:pStyle w:val="TableContents"/>
              <w:bidi w:val="0"/>
              <w:spacing w:before="0" w:after="283"/>
              <w:ind w:left="0" w:right="0" w:hanging="200"/>
              <w:jc w:val="left"/>
              <w:rPr/>
            </w:pPr>
            <w:r>
              <w:rPr/>
              <w:t> </w:t>
            </w:r>
          </w:p>
        </w:tc>
        <w:tc>
          <w:tcPr>
            <w:tcW w:w="7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 of Service</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11.7</w:t>
            </w:r>
          </w:p>
        </w:tc>
        <w:tc>
          <w:tcPr>
            <w:tcW w:w="60" w:type="dxa"/>
            <w:tcBorders/>
            <w:shd w:fill="CCEEFF" w:val="clear"/>
            <w:vAlign w:val="center"/>
          </w:tcPr>
          <w:p>
            <w:pPr>
              <w:pStyle w:val="TableContents"/>
              <w:bidi w:val="0"/>
              <w:spacing w:before="0" w:after="283"/>
              <w:ind w:left="0" w:right="0" w:hanging="200"/>
              <w:jc w:val="left"/>
              <w:rPr/>
            </w:pPr>
            <w:r>
              <w:rPr/>
              <w:t> </w:t>
            </w:r>
          </w:p>
        </w:tc>
        <w:tc>
          <w:tcPr>
            <w:tcW w:w="7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Nontransferability of Cash-Based Awards and Other Stock-Based Awards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35" w:type="dxa"/>
            <w:gridSpan w:val="3"/>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60" w:type="dxa"/>
            <w:tcBorders/>
            <w:shd w:fill="CCEEFF" w:val="clear"/>
            <w:vAlign w:val="center"/>
          </w:tcPr>
          <w:p>
            <w:pPr>
              <w:pStyle w:val="TableContents"/>
              <w:bidi w:val="0"/>
              <w:spacing w:before="0" w:after="283"/>
              <w:jc w:val="left"/>
              <w:rPr/>
            </w:pPr>
            <w:r>
              <w:rPr/>
              <w:t> </w:t>
            </w:r>
          </w:p>
        </w:tc>
        <w:tc>
          <w:tcPr>
            <w:tcW w:w="7735" w:type="dxa"/>
            <w:gridSpan w:val="3"/>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STANDARD FORMS OF AWARD AGREEMENT</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60" w:type="dxa"/>
            <w:tcBorders/>
            <w:shd w:fill="FFFFFF" w:val="clear"/>
            <w:vAlign w:val="center"/>
          </w:tcPr>
          <w:p>
            <w:pPr>
              <w:pStyle w:val="TableContents"/>
              <w:bidi w:val="0"/>
              <w:spacing w:before="0" w:after="283"/>
              <w:ind w:left="0" w:right="0" w:hanging="200"/>
              <w:jc w:val="left"/>
              <w:rPr/>
            </w:pPr>
            <w:r>
              <w:rPr/>
              <w:t> </w:t>
            </w:r>
          </w:p>
        </w:tc>
        <w:tc>
          <w:tcPr>
            <w:tcW w:w="7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Award Agreements</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w:t>
            </w:r>
          </w:p>
        </w:tc>
        <w:tc>
          <w:tcPr>
            <w:tcW w:w="60" w:type="dxa"/>
            <w:tcBorders/>
            <w:shd w:fill="CCEEFF" w:val="clear"/>
            <w:vAlign w:val="center"/>
          </w:tcPr>
          <w:p>
            <w:pPr>
              <w:pStyle w:val="TableContents"/>
              <w:bidi w:val="0"/>
              <w:spacing w:before="0" w:after="283"/>
              <w:ind w:left="0" w:right="0" w:hanging="200"/>
              <w:jc w:val="left"/>
              <w:rPr/>
            </w:pPr>
            <w:r>
              <w:rPr/>
              <w:t> </w:t>
            </w:r>
          </w:p>
        </w:tc>
        <w:tc>
          <w:tcPr>
            <w:tcW w:w="7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to Vary Terms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35" w:type="dxa"/>
            <w:gridSpan w:val="3"/>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60" w:type="dxa"/>
            <w:tcBorders/>
            <w:shd w:fill="CCEEFF" w:val="clear"/>
            <w:vAlign w:val="center"/>
          </w:tcPr>
          <w:p>
            <w:pPr>
              <w:pStyle w:val="TableContents"/>
              <w:bidi w:val="0"/>
              <w:spacing w:before="0" w:after="283"/>
              <w:ind w:left="0" w:right="0" w:hanging="200"/>
              <w:jc w:val="left"/>
              <w:rPr/>
            </w:pPr>
            <w:r>
              <w:rPr/>
              <w:t> </w:t>
            </w:r>
          </w:p>
        </w:tc>
        <w:tc>
          <w:tcPr>
            <w:tcW w:w="7735" w:type="dxa"/>
            <w:gridSpan w:val="3"/>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 IN CONTROL</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60" w:type="dxa"/>
            <w:tcBorders/>
            <w:shd w:fill="FFFFFF" w:val="clear"/>
            <w:vAlign w:val="center"/>
          </w:tcPr>
          <w:p>
            <w:pPr>
              <w:pStyle w:val="TableContents"/>
              <w:bidi w:val="0"/>
              <w:spacing w:before="0" w:after="283"/>
              <w:ind w:left="0" w:right="0" w:hanging="200"/>
              <w:jc w:val="left"/>
              <w:rPr/>
            </w:pPr>
            <w:r>
              <w:rPr/>
              <w:t> </w:t>
            </w:r>
          </w:p>
        </w:tc>
        <w:tc>
          <w:tcPr>
            <w:tcW w:w="7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Change in Control on Awards</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13.2</w:t>
            </w:r>
          </w:p>
        </w:tc>
        <w:tc>
          <w:tcPr>
            <w:tcW w:w="60" w:type="dxa"/>
            <w:tcBorders/>
            <w:shd w:fill="CCEEFF" w:val="clear"/>
            <w:vAlign w:val="center"/>
          </w:tcPr>
          <w:p>
            <w:pPr>
              <w:pStyle w:val="TableContents"/>
              <w:bidi w:val="0"/>
              <w:spacing w:before="0" w:after="283"/>
              <w:ind w:left="0" w:right="0" w:hanging="200"/>
              <w:jc w:val="left"/>
              <w:rPr/>
            </w:pPr>
            <w:r>
              <w:rPr/>
              <w:t> </w:t>
            </w:r>
          </w:p>
        </w:tc>
        <w:tc>
          <w:tcPr>
            <w:tcW w:w="7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Change in Control on Nonemployee Director Awards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13.3</w:t>
            </w:r>
          </w:p>
        </w:tc>
        <w:tc>
          <w:tcPr>
            <w:tcW w:w="60" w:type="dxa"/>
            <w:tcBorders/>
            <w:shd w:fill="FFFFFF" w:val="clear"/>
            <w:vAlign w:val="center"/>
          </w:tcPr>
          <w:p>
            <w:pPr>
              <w:pStyle w:val="TableContents"/>
              <w:bidi w:val="0"/>
              <w:spacing w:before="0" w:after="283"/>
              <w:ind w:left="0" w:right="0" w:hanging="200"/>
              <w:jc w:val="left"/>
              <w:rPr/>
            </w:pPr>
            <w:r>
              <w:rPr/>
              <w:t> </w:t>
            </w:r>
          </w:p>
        </w:tc>
        <w:tc>
          <w:tcPr>
            <w:tcW w:w="7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Federal Excise Tax Under Section 4999 of the Code</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tbl>
      <w:tblPr>
        <w:tblW w:w="6494" w:type="dxa"/>
        <w:jc w:val="left"/>
        <w:tblInd w:w="0" w:type="dxa"/>
        <w:tblLayout w:type="fixed"/>
        <w:tblCellMar>
          <w:top w:w="0" w:type="dxa"/>
          <w:left w:w="0" w:type="dxa"/>
          <w:bottom w:w="0" w:type="dxa"/>
          <w:right w:w="0" w:type="dxa"/>
        </w:tblCellMar>
      </w:tblPr>
      <w:tblGrid>
        <w:gridCol w:w="290"/>
        <w:gridCol w:w="60"/>
        <w:gridCol w:w="558"/>
        <w:gridCol w:w="69"/>
        <w:gridCol w:w="4672"/>
        <w:gridCol w:w="60"/>
        <w:gridCol w:w="785"/>
      </w:tblGrid>
      <w:tr>
        <w:trPr/>
        <w:tc>
          <w:tcPr>
            <w:tcW w:w="5649" w:type="dxa"/>
            <w:gridSpan w:val="5"/>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Annex I</w:t>
              <w:br/>
              <w:t>Page No.</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60" w:type="dxa"/>
            <w:tcBorders/>
            <w:shd w:fill="CCEEFF" w:val="clear"/>
            <w:vAlign w:val="center"/>
          </w:tcPr>
          <w:p>
            <w:pPr>
              <w:pStyle w:val="TableContents"/>
              <w:bidi w:val="0"/>
              <w:spacing w:before="0" w:after="283"/>
              <w:jc w:val="left"/>
              <w:rPr/>
            </w:pPr>
            <w:r>
              <w:rPr/>
              <w:t> </w:t>
            </w:r>
          </w:p>
        </w:tc>
        <w:tc>
          <w:tcPr>
            <w:tcW w:w="5299" w:type="dxa"/>
            <w:gridSpan w:val="3"/>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COMPLIANCE WITH SECURITIES LAW.</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22</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99" w:type="dxa"/>
            <w:gridSpan w:val="3"/>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60" w:type="dxa"/>
            <w:tcBorders/>
            <w:shd w:fill="CCEEFF" w:val="clear"/>
            <w:vAlign w:val="center"/>
          </w:tcPr>
          <w:p>
            <w:pPr>
              <w:pStyle w:val="TableContents"/>
              <w:bidi w:val="0"/>
              <w:spacing w:before="0" w:after="283"/>
              <w:jc w:val="left"/>
              <w:rPr/>
            </w:pPr>
            <w:r>
              <w:rPr/>
              <w:t> </w:t>
            </w:r>
          </w:p>
        </w:tc>
        <w:tc>
          <w:tcPr>
            <w:tcW w:w="5299" w:type="dxa"/>
            <w:gridSpan w:val="3"/>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COMPLIANCE WITH SECTION 409A</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22</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w:t>
            </w:r>
          </w:p>
        </w:tc>
        <w:tc>
          <w:tcPr>
            <w:tcW w:w="69" w:type="dxa"/>
            <w:tcBorders/>
            <w:shd w:fill="FFFFFF" w:val="clear"/>
            <w:vAlign w:val="center"/>
          </w:tcPr>
          <w:p>
            <w:pPr>
              <w:pStyle w:val="TableContents"/>
              <w:bidi w:val="0"/>
              <w:spacing w:before="0" w:after="283"/>
              <w:ind w:left="0" w:right="0" w:hanging="200"/>
              <w:jc w:val="left"/>
              <w:rPr/>
            </w:pPr>
            <w:r>
              <w:rPr/>
              <w:t> </w:t>
            </w:r>
          </w:p>
        </w:tc>
        <w:tc>
          <w:tcPr>
            <w:tcW w:w="46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Awards Subject to Section 409A</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15.2</w:t>
            </w:r>
          </w:p>
        </w:tc>
        <w:tc>
          <w:tcPr>
            <w:tcW w:w="69" w:type="dxa"/>
            <w:tcBorders/>
            <w:shd w:fill="CCEEFF" w:val="clear"/>
            <w:vAlign w:val="center"/>
          </w:tcPr>
          <w:p>
            <w:pPr>
              <w:pStyle w:val="TableContents"/>
              <w:bidi w:val="0"/>
              <w:spacing w:before="0" w:after="283"/>
              <w:ind w:left="0" w:right="0" w:hanging="200"/>
              <w:jc w:val="left"/>
              <w:rPr/>
            </w:pPr>
            <w:r>
              <w:rPr/>
              <w:t> </w:t>
            </w:r>
          </w:p>
        </w:tc>
        <w:tc>
          <w:tcPr>
            <w:tcW w:w="46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Deferral and/or Distribution Elections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15.3</w:t>
            </w:r>
          </w:p>
        </w:tc>
        <w:tc>
          <w:tcPr>
            <w:tcW w:w="69" w:type="dxa"/>
            <w:tcBorders/>
            <w:shd w:fill="FFFFFF" w:val="clear"/>
            <w:vAlign w:val="center"/>
          </w:tcPr>
          <w:p>
            <w:pPr>
              <w:pStyle w:val="TableContents"/>
              <w:bidi w:val="0"/>
              <w:spacing w:before="0" w:after="283"/>
              <w:ind w:left="0" w:right="0" w:hanging="200"/>
              <w:jc w:val="left"/>
              <w:rPr/>
            </w:pPr>
            <w:r>
              <w:rPr/>
              <w:t> </w:t>
            </w:r>
          </w:p>
        </w:tc>
        <w:tc>
          <w:tcPr>
            <w:tcW w:w="46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Subsequent Elections</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15.4</w:t>
            </w:r>
          </w:p>
        </w:tc>
        <w:tc>
          <w:tcPr>
            <w:tcW w:w="69" w:type="dxa"/>
            <w:tcBorders/>
            <w:shd w:fill="CCEEFF" w:val="clear"/>
            <w:vAlign w:val="center"/>
          </w:tcPr>
          <w:p>
            <w:pPr>
              <w:pStyle w:val="TableContents"/>
              <w:bidi w:val="0"/>
              <w:spacing w:before="0" w:after="283"/>
              <w:ind w:left="0" w:right="0" w:hanging="200"/>
              <w:jc w:val="left"/>
              <w:rPr/>
            </w:pPr>
            <w:r>
              <w:rPr/>
              <w:t> </w:t>
            </w:r>
          </w:p>
        </w:tc>
        <w:tc>
          <w:tcPr>
            <w:tcW w:w="46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Section 409A Deferred Compensation</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99" w:type="dxa"/>
            <w:gridSpan w:val="3"/>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60" w:type="dxa"/>
            <w:tcBorders/>
            <w:shd w:fill="CCEEFF" w:val="clear"/>
            <w:vAlign w:val="center"/>
          </w:tcPr>
          <w:p>
            <w:pPr>
              <w:pStyle w:val="TableContents"/>
              <w:bidi w:val="0"/>
              <w:spacing w:before="0" w:after="283"/>
              <w:jc w:val="left"/>
              <w:rPr/>
            </w:pPr>
            <w:r>
              <w:rPr/>
              <w:t> </w:t>
            </w:r>
          </w:p>
        </w:tc>
        <w:tc>
          <w:tcPr>
            <w:tcW w:w="5299" w:type="dxa"/>
            <w:gridSpan w:val="3"/>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TAX WITHHOLDING.</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24</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w:t>
            </w:r>
          </w:p>
        </w:tc>
        <w:tc>
          <w:tcPr>
            <w:tcW w:w="69" w:type="dxa"/>
            <w:tcBorders/>
            <w:shd w:fill="FFFFFF" w:val="clear"/>
            <w:vAlign w:val="center"/>
          </w:tcPr>
          <w:p>
            <w:pPr>
              <w:pStyle w:val="TableContents"/>
              <w:bidi w:val="0"/>
              <w:spacing w:before="0" w:after="283"/>
              <w:ind w:left="0" w:right="0" w:hanging="200"/>
              <w:jc w:val="left"/>
              <w:rPr/>
            </w:pPr>
            <w:r>
              <w:rPr/>
              <w:t> </w:t>
            </w:r>
          </w:p>
        </w:tc>
        <w:tc>
          <w:tcPr>
            <w:tcW w:w="46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Withholding in General</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16.2</w:t>
            </w:r>
          </w:p>
        </w:tc>
        <w:tc>
          <w:tcPr>
            <w:tcW w:w="69" w:type="dxa"/>
            <w:tcBorders/>
            <w:shd w:fill="CCEEFF" w:val="clear"/>
            <w:vAlign w:val="center"/>
          </w:tcPr>
          <w:p>
            <w:pPr>
              <w:pStyle w:val="TableContents"/>
              <w:bidi w:val="0"/>
              <w:spacing w:before="0" w:after="283"/>
              <w:ind w:left="0" w:right="0" w:hanging="200"/>
              <w:jc w:val="left"/>
              <w:rPr/>
            </w:pPr>
            <w:r>
              <w:rPr/>
              <w:t> </w:t>
            </w:r>
          </w:p>
        </w:tc>
        <w:tc>
          <w:tcPr>
            <w:tcW w:w="46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Withholding in or Directed Sale of Shares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200"/>
              <w:jc w:val="left"/>
              <w:rPr/>
            </w:pPr>
            <w:r>
              <w:rPr/>
              <w:t> </w:t>
            </w:r>
          </w:p>
        </w:tc>
        <w:tc>
          <w:tcPr>
            <w:tcW w:w="46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60" w:type="dxa"/>
            <w:tcBorders/>
            <w:shd w:fill="CCEEFF" w:val="clear"/>
            <w:vAlign w:val="center"/>
          </w:tcPr>
          <w:p>
            <w:pPr>
              <w:pStyle w:val="TableContents"/>
              <w:bidi w:val="0"/>
              <w:spacing w:before="0" w:after="283"/>
              <w:jc w:val="left"/>
              <w:rPr/>
            </w:pPr>
            <w:r>
              <w:rPr/>
              <w:t> </w:t>
            </w:r>
          </w:p>
        </w:tc>
        <w:tc>
          <w:tcPr>
            <w:tcW w:w="5299" w:type="dxa"/>
            <w:gridSpan w:val="3"/>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AMENDMENT, SUSPENSION OR TERMINATION OF PLAN</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25</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99" w:type="dxa"/>
            <w:gridSpan w:val="3"/>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60" w:type="dxa"/>
            <w:tcBorders/>
            <w:shd w:fill="CCEEFF" w:val="clear"/>
            <w:vAlign w:val="center"/>
          </w:tcPr>
          <w:p>
            <w:pPr>
              <w:pStyle w:val="TableContents"/>
              <w:bidi w:val="0"/>
              <w:spacing w:before="0" w:after="283"/>
              <w:jc w:val="left"/>
              <w:rPr/>
            </w:pPr>
            <w:r>
              <w:rPr/>
              <w:t> </w:t>
            </w:r>
          </w:p>
        </w:tc>
        <w:tc>
          <w:tcPr>
            <w:tcW w:w="5299" w:type="dxa"/>
            <w:gridSpan w:val="3"/>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MISCELLANEOUS PROVISIONS.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25</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w:t>
            </w:r>
          </w:p>
        </w:tc>
        <w:tc>
          <w:tcPr>
            <w:tcW w:w="69" w:type="dxa"/>
            <w:tcBorders/>
            <w:shd w:fill="FFFFFF" w:val="clear"/>
            <w:vAlign w:val="center"/>
          </w:tcPr>
          <w:p>
            <w:pPr>
              <w:pStyle w:val="TableContents"/>
              <w:bidi w:val="0"/>
              <w:spacing w:before="0" w:after="283"/>
              <w:ind w:left="0" w:right="0" w:hanging="200"/>
              <w:jc w:val="left"/>
              <w:rPr/>
            </w:pPr>
            <w:r>
              <w:rPr/>
              <w:t> </w:t>
            </w:r>
          </w:p>
        </w:tc>
        <w:tc>
          <w:tcPr>
            <w:tcW w:w="46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Repurchase Rights</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18.2</w:t>
            </w:r>
          </w:p>
        </w:tc>
        <w:tc>
          <w:tcPr>
            <w:tcW w:w="69" w:type="dxa"/>
            <w:tcBorders/>
            <w:shd w:fill="CCEEFF" w:val="clear"/>
            <w:vAlign w:val="center"/>
          </w:tcPr>
          <w:p>
            <w:pPr>
              <w:pStyle w:val="TableContents"/>
              <w:bidi w:val="0"/>
              <w:spacing w:before="0" w:after="283"/>
              <w:ind w:left="0" w:right="0" w:hanging="200"/>
              <w:jc w:val="left"/>
              <w:rPr/>
            </w:pPr>
            <w:r>
              <w:rPr/>
              <w:t> </w:t>
            </w:r>
          </w:p>
        </w:tc>
        <w:tc>
          <w:tcPr>
            <w:tcW w:w="46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Forfeiture Events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18.3</w:t>
            </w:r>
          </w:p>
        </w:tc>
        <w:tc>
          <w:tcPr>
            <w:tcW w:w="69" w:type="dxa"/>
            <w:tcBorders/>
            <w:shd w:fill="FFFFFF" w:val="clear"/>
            <w:vAlign w:val="center"/>
          </w:tcPr>
          <w:p>
            <w:pPr>
              <w:pStyle w:val="TableContents"/>
              <w:bidi w:val="0"/>
              <w:spacing w:before="0" w:after="283"/>
              <w:ind w:left="0" w:right="0" w:hanging="200"/>
              <w:jc w:val="left"/>
              <w:rPr/>
            </w:pPr>
            <w:r>
              <w:rPr/>
              <w:t> </w:t>
            </w:r>
          </w:p>
        </w:tc>
        <w:tc>
          <w:tcPr>
            <w:tcW w:w="46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of Information</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18.4</w:t>
            </w:r>
          </w:p>
        </w:tc>
        <w:tc>
          <w:tcPr>
            <w:tcW w:w="69" w:type="dxa"/>
            <w:tcBorders/>
            <w:shd w:fill="CCEEFF" w:val="clear"/>
            <w:vAlign w:val="center"/>
          </w:tcPr>
          <w:p>
            <w:pPr>
              <w:pStyle w:val="TableContents"/>
              <w:bidi w:val="0"/>
              <w:spacing w:before="0" w:after="283"/>
              <w:ind w:left="0" w:right="0" w:hanging="200"/>
              <w:jc w:val="left"/>
              <w:rPr/>
            </w:pPr>
            <w:r>
              <w:rPr/>
              <w:t> </w:t>
            </w:r>
          </w:p>
        </w:tc>
        <w:tc>
          <w:tcPr>
            <w:tcW w:w="46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as Employee, Consultant or Director</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18.5</w:t>
            </w:r>
          </w:p>
        </w:tc>
        <w:tc>
          <w:tcPr>
            <w:tcW w:w="69" w:type="dxa"/>
            <w:tcBorders/>
            <w:shd w:fill="FFFFFF" w:val="clear"/>
            <w:vAlign w:val="center"/>
          </w:tcPr>
          <w:p>
            <w:pPr>
              <w:pStyle w:val="TableContents"/>
              <w:bidi w:val="0"/>
              <w:spacing w:before="0" w:after="283"/>
              <w:ind w:left="0" w:right="0" w:hanging="200"/>
              <w:jc w:val="left"/>
              <w:rPr/>
            </w:pPr>
            <w:r>
              <w:rPr/>
              <w:t> </w:t>
            </w:r>
          </w:p>
        </w:tc>
        <w:tc>
          <w:tcPr>
            <w:tcW w:w="46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as a Stockholder</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18.6</w:t>
            </w:r>
          </w:p>
        </w:tc>
        <w:tc>
          <w:tcPr>
            <w:tcW w:w="69" w:type="dxa"/>
            <w:tcBorders/>
            <w:shd w:fill="CCEEFF" w:val="clear"/>
            <w:vAlign w:val="center"/>
          </w:tcPr>
          <w:p>
            <w:pPr>
              <w:pStyle w:val="TableContents"/>
              <w:bidi w:val="0"/>
              <w:spacing w:before="0" w:after="283"/>
              <w:ind w:left="0" w:right="0" w:hanging="200"/>
              <w:jc w:val="left"/>
              <w:rPr/>
            </w:pPr>
            <w:r>
              <w:rPr/>
              <w:t> </w:t>
            </w:r>
          </w:p>
        </w:tc>
        <w:tc>
          <w:tcPr>
            <w:tcW w:w="46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Delivery of Title to Shares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18.7</w:t>
            </w:r>
          </w:p>
        </w:tc>
        <w:tc>
          <w:tcPr>
            <w:tcW w:w="69" w:type="dxa"/>
            <w:tcBorders/>
            <w:shd w:fill="FFFFFF" w:val="clear"/>
            <w:vAlign w:val="center"/>
          </w:tcPr>
          <w:p>
            <w:pPr>
              <w:pStyle w:val="TableContents"/>
              <w:bidi w:val="0"/>
              <w:spacing w:before="0" w:after="283"/>
              <w:ind w:left="0" w:right="0" w:hanging="200"/>
              <w:jc w:val="left"/>
              <w:rPr/>
            </w:pPr>
            <w:r>
              <w:rPr/>
              <w:t> </w:t>
            </w:r>
          </w:p>
        </w:tc>
        <w:tc>
          <w:tcPr>
            <w:tcW w:w="46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Fractional Shares</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18.8</w:t>
            </w:r>
          </w:p>
        </w:tc>
        <w:tc>
          <w:tcPr>
            <w:tcW w:w="69" w:type="dxa"/>
            <w:tcBorders/>
            <w:shd w:fill="CCEEFF" w:val="clear"/>
            <w:vAlign w:val="center"/>
          </w:tcPr>
          <w:p>
            <w:pPr>
              <w:pStyle w:val="TableContents"/>
              <w:bidi w:val="0"/>
              <w:spacing w:before="0" w:after="283"/>
              <w:ind w:left="0" w:right="0" w:hanging="200"/>
              <w:jc w:val="left"/>
              <w:rPr/>
            </w:pPr>
            <w:r>
              <w:rPr/>
              <w:t> </w:t>
            </w:r>
          </w:p>
        </w:tc>
        <w:tc>
          <w:tcPr>
            <w:tcW w:w="46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Retirement and Welfare Plans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18.9</w:t>
            </w:r>
          </w:p>
        </w:tc>
        <w:tc>
          <w:tcPr>
            <w:tcW w:w="69" w:type="dxa"/>
            <w:tcBorders/>
            <w:shd w:fill="FFFFFF" w:val="clear"/>
            <w:vAlign w:val="center"/>
          </w:tcPr>
          <w:p>
            <w:pPr>
              <w:pStyle w:val="TableContents"/>
              <w:bidi w:val="0"/>
              <w:spacing w:before="0" w:after="283"/>
              <w:ind w:left="0" w:right="0" w:hanging="200"/>
              <w:jc w:val="left"/>
              <w:rPr/>
            </w:pPr>
            <w:r>
              <w:rPr/>
              <w:t> </w:t>
            </w:r>
          </w:p>
        </w:tc>
        <w:tc>
          <w:tcPr>
            <w:tcW w:w="46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Beneficiary Designation</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18.10</w:t>
            </w:r>
          </w:p>
        </w:tc>
        <w:tc>
          <w:tcPr>
            <w:tcW w:w="69" w:type="dxa"/>
            <w:tcBorders/>
            <w:shd w:fill="CCEEFF" w:val="clear"/>
            <w:vAlign w:val="center"/>
          </w:tcPr>
          <w:p>
            <w:pPr>
              <w:pStyle w:val="TableContents"/>
              <w:bidi w:val="0"/>
              <w:spacing w:before="0" w:after="283"/>
              <w:ind w:left="0" w:right="0" w:hanging="200"/>
              <w:jc w:val="left"/>
              <w:rPr/>
            </w:pPr>
            <w:r>
              <w:rPr/>
              <w:t> </w:t>
            </w:r>
          </w:p>
        </w:tc>
        <w:tc>
          <w:tcPr>
            <w:tcW w:w="46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18.11</w:t>
            </w:r>
          </w:p>
        </w:tc>
        <w:tc>
          <w:tcPr>
            <w:tcW w:w="69" w:type="dxa"/>
            <w:tcBorders/>
            <w:shd w:fill="FFFFFF" w:val="clear"/>
            <w:vAlign w:val="center"/>
          </w:tcPr>
          <w:p>
            <w:pPr>
              <w:pStyle w:val="TableContents"/>
              <w:bidi w:val="0"/>
              <w:spacing w:before="0" w:after="283"/>
              <w:ind w:left="0" w:right="0" w:hanging="200"/>
              <w:jc w:val="left"/>
              <w:rPr/>
            </w:pPr>
            <w:r>
              <w:rPr/>
              <w:t> </w:t>
            </w:r>
          </w:p>
        </w:tc>
        <w:tc>
          <w:tcPr>
            <w:tcW w:w="46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Constraint on Corporate Action</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18.12</w:t>
            </w:r>
          </w:p>
        </w:tc>
        <w:tc>
          <w:tcPr>
            <w:tcW w:w="69" w:type="dxa"/>
            <w:tcBorders/>
            <w:shd w:fill="CCEEFF" w:val="clear"/>
            <w:vAlign w:val="center"/>
          </w:tcPr>
          <w:p>
            <w:pPr>
              <w:pStyle w:val="TableContents"/>
              <w:bidi w:val="0"/>
              <w:spacing w:before="0" w:after="283"/>
              <w:ind w:left="0" w:right="0" w:hanging="200"/>
              <w:jc w:val="left"/>
              <w:rPr/>
            </w:pPr>
            <w:r>
              <w:rPr/>
              <w:t> </w:t>
            </w:r>
          </w:p>
        </w:tc>
        <w:tc>
          <w:tcPr>
            <w:tcW w:w="46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Unfunded Obligation</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18.13</w:t>
            </w:r>
          </w:p>
        </w:tc>
        <w:tc>
          <w:tcPr>
            <w:tcW w:w="69" w:type="dxa"/>
            <w:tcBorders/>
            <w:shd w:fill="FFFFFF" w:val="clear"/>
            <w:vAlign w:val="center"/>
          </w:tcPr>
          <w:p>
            <w:pPr>
              <w:pStyle w:val="TableContents"/>
              <w:bidi w:val="0"/>
              <w:spacing w:before="0" w:after="283"/>
              <w:ind w:left="0" w:right="0" w:hanging="200"/>
              <w:jc w:val="left"/>
              <w:rPr/>
            </w:pPr>
            <w:r>
              <w:rPr/>
              <w:t> </w:t>
            </w:r>
          </w:p>
        </w:tc>
        <w:tc>
          <w:tcPr>
            <w:tcW w:w="46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Choice of Law</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br/>
        <w:t>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ESTABLISHMENT, PURPOSE AND TERM OF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rPr>
        <w:t>Establishment</w:t>
      </w:r>
      <w:r>
        <w:rPr>
          <w:rFonts w:ascii="Times New Roman;Times;Serif" w:hAnsi="Times New Roman;Times;Serif"/>
          <w:b w:val="false"/>
          <w:i w:val="false"/>
          <w:caps w:val="false"/>
          <w:smallCaps w:val="false"/>
          <w:sz w:val="20"/>
        </w:rPr>
        <w:t>. The CID Holdco, Inc. 2025 Equity Incentive Plan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is hereby established effective as of June 18, 2025, the date of the closing of the transactions contemplated by that certain business combination agreement dated as of March 18, 2024, entered into by and between ShoulderUp Technology Acquisition Corp., SEE ID, Inc., the Company, and certain other parties, following the Plan’s approval by the stockholders of the Company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Awards, Restricted Stock Units, Performance Shares, Performance Units, Cash-Based Awards and Other Stock-Based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rPr>
        <w:t>Term of Plan</w:t>
      </w:r>
      <w:r>
        <w:rPr>
          <w:rFonts w:ascii="Times New Roman;Times;Serif" w:hAnsi="Times New Roman;Times;Serif"/>
          <w:b w:val="false"/>
          <w:i w:val="false"/>
          <w:caps w:val="false"/>
          <w:smallCaps w:val="false"/>
          <w:sz w:val="20"/>
        </w:rPr>
        <w:t xml:space="preserve">. The Plan shall continue in effect until its termination by the Committee;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all Awards shall be granted, if at all, within ten (10) years from the earlier of the date that the Plan was approved by the Board or the stockholders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DEFINITIONS AND CONSTRUCTION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Whenever used herein, the following terms shall have their respective meanings set forth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(i) a parent entity, other than a Parent Corporation, that directly, or indirectly through one or more intermediary 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to such terms for the purposes of registration of securities on Form S-8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Award</w:t>
      </w:r>
      <w:r>
        <w:rPr>
          <w:rFonts w:ascii="Times New Roman;Times;Serif" w:hAnsi="Times New Roman;Times;Serif"/>
          <w:b w:val="false"/>
          <w:i w:val="false"/>
          <w:caps w:val="false"/>
          <w:smallCaps w:val="false"/>
          <w:sz w:val="20"/>
        </w:rPr>
        <w:t>” means any Option, Stock Appreciation Right, Restricted Stock Purchase Right, Restricted Stock Bonus, Restricted Stock Unit, Performance Share, Performance Unit, Cash-Based Award or Other Stock-Based Award granted under the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Award Agreement</w:t>
      </w:r>
      <w:r>
        <w:rPr>
          <w:rFonts w:ascii="Times New Roman;Times;Serif" w:hAnsi="Times New Roman;Times;Serif"/>
          <w:b w:val="false"/>
          <w:i w:val="false"/>
          <w:caps w:val="false"/>
          <w:smallCaps w:val="false"/>
          <w:sz w:val="20"/>
        </w:rPr>
        <w:t>” means a written or electronic agreement between the Company and a Participant setting forth the terms, conditions and restrictions applicable to an Award.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Cash-Based Award</w:t>
      </w:r>
      <w:r>
        <w:rPr>
          <w:rFonts w:ascii="Times New Roman;Times;Serif" w:hAnsi="Times New Roman;Times;Serif"/>
          <w:b w:val="false"/>
          <w:i w:val="false"/>
          <w:caps w:val="false"/>
          <w:smallCaps w:val="false"/>
          <w:sz w:val="20"/>
        </w:rPr>
        <w:t xml:space="preserve">” means an Award denominated in cash and granted pursuant to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Cashless Exercise</w:t>
      </w:r>
      <w:r>
        <w:rPr>
          <w:rFonts w:ascii="Times New Roman;Times;Serif" w:hAnsi="Times New Roman;Times;Serif"/>
          <w:b w:val="false"/>
          <w:i w:val="false"/>
          <w:caps w:val="false"/>
          <w:smallCaps w:val="false"/>
          <w:sz w:val="20"/>
        </w:rPr>
        <w:t xml:space="preserve">” means a Cashless Exercise as defined in </w:t>
      </w:r>
      <w:r>
        <w:rPr>
          <w:rFonts w:ascii="Times New Roman;Times;Serif" w:hAnsi="Times New Roman;Times;Serif"/>
          <w:b w:val="false"/>
          <w:i w:val="false"/>
          <w:caps w:val="false"/>
          <w:smallCaps w:val="false"/>
          <w:sz w:val="20"/>
          <w:u w:val="single"/>
        </w:rPr>
        <w:t>Section 6.3(b)(i)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Cause</w:t>
      </w:r>
      <w:r>
        <w:rPr>
          <w:rFonts w:ascii="Times New Roman;Times;Serif" w:hAnsi="Times New Roman;Times;Serif"/>
          <w:b w:val="false"/>
          <w:i w:val="false"/>
          <w:caps w:val="false"/>
          <w:smallCaps w:val="false"/>
          <w:sz w:val="20"/>
        </w:rPr>
        <w:t>” means, unless such term or an equivalent term is otherwise defined by the applicable Award Agreement or other written agreement between a Participant and a Participating Company applicable to an Award, any of the 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(except with respect to a disclosure protected by applicable law); or (vii) the Participant’s conviction (including any plea of guilty or nolo contendere) of any criminal act involving fraud, dishonesty, misappropriation or moral turpitude, or which impairs the Participant’s ability to perform his or her duties with a Participating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means the occurrence of any one or a combination of the following: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“person” (as such term is used in Sections 13(d) and 14(d) of the Exchange Act) becomes the “beneficial owner” (as such term is defined in Rule 13d-3 under the Exchange Act), directly or indirectly, of securities of the Company representing more than fifty percent (50%) of the total Fair Market Value or total combined voting power of the Company’s then-outstanding securities entitled to vote generally in the election of Directors;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Ownership Change Event or series of related Ownership Change Events (collectively, a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xml:space="preserve">”)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w:t>
      </w:r>
      <w:r>
        <w:rPr>
          <w:rFonts w:ascii="Times New Roman;Times;Serif" w:hAnsi="Times New Roman;Times;Serif"/>
          <w:b w:val="false"/>
          <w:i w:val="false"/>
          <w:caps w:val="false"/>
          <w:smallCaps w:val="false"/>
          <w:sz w:val="20"/>
          <w:u w:val="single"/>
        </w:rPr>
        <w:t>Section 2.1(dd)(iii)</w:t>
      </w:r>
      <w:r>
        <w:rPr>
          <w:rFonts w:ascii="Times New Roman;Times;Serif" w:hAnsi="Times New Roman;Times;Serif"/>
          <w:b w:val="false"/>
          <w:i w:val="false"/>
          <w:caps w:val="false"/>
          <w:smallCaps w:val="false"/>
          <w:sz w:val="20"/>
        </w:rPr>
        <w:t>, the entity to which the assets of the Company were transferred (the “</w:t>
      </w:r>
      <w:r>
        <w:rPr>
          <w:rFonts w:ascii="Times New Roman;Times;Serif" w:hAnsi="Times New Roman;Times;Serif"/>
          <w:b/>
          <w:i w:val="false"/>
          <w:caps w:val="false"/>
          <w:smallCaps w:val="false"/>
          <w:sz w:val="20"/>
        </w:rPr>
        <w:t>Transferee</w:t>
      </w:r>
      <w:r>
        <w:rPr>
          <w:rFonts w:ascii="Times New Roman;Times;Serif" w:hAnsi="Times New Roman;Times;Serif"/>
          <w:b w:val="false"/>
          <w:i w:val="false"/>
          <w:caps w:val="false"/>
          <w:smallCaps w:val="false"/>
          <w:sz w:val="20"/>
        </w:rPr>
        <w:t>”), as the case may be;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date specified by the Committee following approval by the stockholders of a plan of complete liquidation or dissolution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Change in Control shall be deemed not to include a transaction described in subsections (i) or (ii) of this </w:t>
      </w:r>
      <w:r>
        <w:rPr>
          <w:rFonts w:ascii="Times New Roman;Times;Serif" w:hAnsi="Times New Roman;Times;Serif"/>
          <w:b w:val="false"/>
          <w:i w:val="false"/>
          <w:caps w:val="false"/>
          <w:smallCaps w:val="false"/>
          <w:sz w:val="20"/>
          <w:u w:val="single"/>
        </w:rPr>
        <w:t>Section 2.1(h)</w:t>
      </w:r>
      <w:r>
        <w:rPr>
          <w:rFonts w:ascii="Times New Roman;Times;Serif" w:hAnsi="Times New Roman;Times;Serif"/>
          <w:b w:val="false"/>
          <w:i w:val="false"/>
          <w:caps w:val="false"/>
          <w:smallCaps w:val="false"/>
          <w:sz w:val="20"/>
        </w:rPr>
        <w:t xml:space="preserve"> in which a majority of the members of the board of directors of the continuing, surviving or successor entity, or parent thereof, immediately after such transaction is comprised of Incumbent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events described in subsections (i), (ii) and (iii) of this </w:t>
      </w:r>
      <w:r>
        <w:rPr>
          <w:rFonts w:ascii="Times New Roman;Times;Serif" w:hAnsi="Times New Roman;Times;Serif"/>
          <w:b w:val="false"/>
          <w:i w:val="false"/>
          <w:caps w:val="false"/>
          <w:smallCaps w:val="false"/>
          <w:sz w:val="20"/>
          <w:u w:val="single"/>
        </w:rPr>
        <w:t>Section 2.1(h)</w:t>
      </w:r>
      <w:r>
        <w:rPr>
          <w:rFonts w:ascii="Times New Roman;Times;Serif" w:hAnsi="Times New Roman;Times;Serif"/>
          <w:b w:val="false"/>
          <w:i w:val="false"/>
          <w:caps w:val="false"/>
          <w:smallCaps w:val="false"/>
          <w:sz w:val="20"/>
        </w:rPr>
        <w:t xml:space="preserve"> are related and to be treated in the aggregate as a single Change in Control, and its determination shall be final, binding and conclusive.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 and any applicable regulations and administrative guidelines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Committee</w:t>
      </w:r>
      <w:r>
        <w:rPr>
          <w:rFonts w:ascii="Times New Roman;Times;Serif" w:hAnsi="Times New Roman;Times;Serif"/>
          <w:b w:val="false"/>
          <w:i w:val="false"/>
          <w:caps w:val="false"/>
          <w:smallCaps w:val="false"/>
          <w:sz w:val="20"/>
        </w:rPr>
        <w:t>” means the Compensation Committee and such other committee or subcommittee of the 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 and, in such instances, references herein to the Committee shall mean the Board. Unless the Board specifically determines otherwise, each member of the Committee shall, at the time it takes any action with respect to an Award under the Plan, be a “non-employee director” within the meaning of Rule 16b-3 and an “independent director” under the rules of any stock exchange on which the Stock is listed. However, the fact that a Committee member shall fail to qualify as “non-employee director” or an “independent director” shall not invalidate any Award granted by the Committee which Award is otherwise validly granted under the Plan.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CID Holdco, Inc., a Delaware corporation, and any successor corporation thereto.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Consultant</w:t>
      </w:r>
      <w:r>
        <w:rPr>
          <w:rFonts w:ascii="Times New Roman;Times;Serif" w:hAnsi="Times New Roman;Times;Serif"/>
          <w:b w:val="false"/>
          <w:i w:val="false"/>
          <w:caps w:val="false"/>
          <w:smallCaps w:val="false"/>
          <w:sz w:val="20"/>
        </w:rPr>
        <w:t xml:space="preserve">” means a person engaged to provide consulting or advisory services (other than as an Employee or a Director) to a Participating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identity of such person, the nature of such services or the entity to which such services are provided would not preclude the Company from offering or selling securities to such person pursuant to the Plan in reliance on registration on Form S-8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Director</w:t>
      </w:r>
      <w:r>
        <w:rPr>
          <w:rFonts w:ascii="Times New Roman;Times;Serif" w:hAnsi="Times New Roman;Times;Serif"/>
          <w:b w:val="false"/>
          <w:i w:val="false"/>
          <w:caps w:val="false"/>
          <w:smallCaps w:val="false"/>
          <w:sz w:val="20"/>
        </w:rPr>
        <w:t>” means a member of the Board.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Disability</w:t>
      </w:r>
      <w:r>
        <w:rPr>
          <w:rFonts w:ascii="Times New Roman;Times;Serif" w:hAnsi="Times New Roman;Times;Serif"/>
          <w:b w:val="false"/>
          <w:i w:val="false"/>
          <w:caps w:val="false"/>
          <w:smallCaps w:val="false"/>
          <w:sz w:val="20"/>
        </w:rPr>
        <w:t>” means the permanent and total disability of the Participant, within the meaning of Section 22(e)(3)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Dividend Equivalent Right</w:t>
      </w:r>
      <w:r>
        <w:rPr>
          <w:rFonts w:ascii="Times New Roman;Times;Serif" w:hAnsi="Times New Roman;Times;Serif"/>
          <w:b w:val="false"/>
          <w:i w:val="false"/>
          <w:caps w:val="false"/>
          <w:smallCaps w:val="false"/>
          <w:sz w:val="20"/>
        </w:rPr>
        <w:t>” means the right of a Participant, granted at the discretion of the Committee or as otherwise provided by the Plan, to receive a credit for the account of such Participant in an amount equal to the cash dividends paid on one share of Stock for each share of Stock represented by an Award held by such Participant.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Employee</w:t>
      </w:r>
      <w:r>
        <w:rPr>
          <w:rFonts w:ascii="Times New Roman;Times;Serif" w:hAnsi="Times New Roman;Times;Serif"/>
          <w:b w:val="false"/>
          <w:i w:val="false"/>
          <w:caps w:val="false"/>
          <w:smallCaps w:val="false"/>
          <w:sz w:val="20"/>
        </w:rPr>
        <w:t xml:space="preserve">” 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means, as of any date, the value of a share of Stock or other property as determined by the Committee, in its discretion, or by the Company, in its discretion, if such determination is expressly allocated to the Company herein, subject to the following: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The Wall Street Journal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on such date, the Stock is not listed or quoted on a national or regional securities 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 or Section 422 of the Code to the extent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Full Value Award</w:t>
      </w:r>
      <w:r>
        <w:rPr>
          <w:rFonts w:ascii="Times New Roman;Times;Serif" w:hAnsi="Times New Roman;Times;Serif"/>
          <w:b w:val="false"/>
          <w:i w:val="false"/>
          <w:caps w:val="false"/>
          <w:smallCaps w:val="false"/>
          <w:sz w:val="20"/>
        </w:rPr>
        <w:t>” means any Award settled in Stock, other than (i) an Option, (ii) a Stock Appreciation Right, or (iii) a Restricted Stock Purchase Right or an Other Stock-Based Award under which the Company will receive monetary consideration equal to the Fair Market Value (determined on the effective date of grant) of the shares subject to such Award.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Incentive Stock Option</w:t>
      </w:r>
      <w:r>
        <w:rPr>
          <w:rFonts w:ascii="Times New Roman;Times;Serif" w:hAnsi="Times New Roman;Times;Serif"/>
          <w:b w:val="false"/>
          <w:i w:val="false"/>
          <w:caps w:val="false"/>
          <w:smallCaps w:val="false"/>
          <w:sz w:val="20"/>
        </w:rPr>
        <w:t>” means an Option intended to be (as set forth in the Award Agreement) and which qualifies as an incentive stock option within the meaning of Section 422(b)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Incumbent Director</w:t>
      </w:r>
      <w:r>
        <w:rPr>
          <w:rFonts w:ascii="Times New Roman;Times;Serif" w:hAnsi="Times New Roman;Times;Serif"/>
          <w:b w:val="false"/>
          <w:i w:val="false"/>
          <w:caps w:val="false"/>
          <w:smallCaps w:val="false"/>
          <w:sz w:val="20"/>
        </w:rPr>
        <w:t>” means a director who either (i) is a member of the Board as of the 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Insider</w:t>
      </w:r>
      <w:r>
        <w:rPr>
          <w:rFonts w:ascii="Times New Roman;Times;Serif" w:hAnsi="Times New Roman;Times;Serif"/>
          <w:b w:val="false"/>
          <w:i w:val="false"/>
          <w:caps w:val="false"/>
          <w:smallCaps w:val="false"/>
          <w:sz w:val="20"/>
        </w:rPr>
        <w:t>” means an Officer, a Director or other person whose transactions in Stock are subject to Section 16 of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Net Exercise</w:t>
      </w:r>
      <w:r>
        <w:rPr>
          <w:rFonts w:ascii="Times New Roman;Times;Serif" w:hAnsi="Times New Roman;Times;Serif"/>
          <w:b w:val="false"/>
          <w:i w:val="false"/>
          <w:caps w:val="false"/>
          <w:smallCaps w:val="false"/>
          <w:sz w:val="20"/>
        </w:rPr>
        <w:t xml:space="preserve">” means a Net Exercise as defined in </w:t>
      </w:r>
      <w:r>
        <w:rPr>
          <w:rFonts w:ascii="Times New Roman;Times;Serif" w:hAnsi="Times New Roman;Times;Serif"/>
          <w:b w:val="false"/>
          <w:i w:val="false"/>
          <w:caps w:val="false"/>
          <w:smallCaps w:val="false"/>
          <w:sz w:val="20"/>
          <w:u w:val="single"/>
        </w:rPr>
        <w:t>Section 6.3(b)(iii)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Nonemployee Director</w:t>
      </w:r>
      <w:r>
        <w:rPr>
          <w:rFonts w:ascii="Times New Roman;Times;Serif" w:hAnsi="Times New Roman;Times;Serif"/>
          <w:b w:val="false"/>
          <w:i w:val="false"/>
          <w:caps w:val="false"/>
          <w:smallCaps w:val="false"/>
          <w:sz w:val="20"/>
        </w:rPr>
        <w:t>” means a Director who is not an Employee.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Nonemployee Director Award</w:t>
      </w:r>
      <w:r>
        <w:rPr>
          <w:rFonts w:ascii="Times New Roman;Times;Serif" w:hAnsi="Times New Roman;Times;Serif"/>
          <w:b w:val="false"/>
          <w:i w:val="false"/>
          <w:caps w:val="false"/>
          <w:smallCaps w:val="false"/>
          <w:sz w:val="20"/>
        </w:rPr>
        <w:t>” means any Award granted to a Nonemployee Director.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Nonstatutory Stock Option</w:t>
      </w:r>
      <w:r>
        <w:rPr>
          <w:rFonts w:ascii="Times New Roman;Times;Serif" w:hAnsi="Times New Roman;Times;Serif"/>
          <w:b w:val="false"/>
          <w:i w:val="false"/>
          <w:caps w:val="false"/>
          <w:smallCaps w:val="false"/>
          <w:sz w:val="20"/>
        </w:rPr>
        <w:t>” means an Option not intended to be (as set forth in the Award Agreement) or which does not qualify as an incentive stock option within the meaning of Section 422(b)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any person designated by the Board as an officer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means an Incentive Stock Option or a Nonstatutory Stock Option granted pursuant to the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Other Stock-Based Award</w:t>
      </w:r>
      <w:r>
        <w:rPr>
          <w:rFonts w:ascii="Times New Roman;Times;Serif" w:hAnsi="Times New Roman;Times;Serif"/>
          <w:b w:val="false"/>
          <w:i w:val="false"/>
          <w:caps w:val="false"/>
          <w:smallCaps w:val="false"/>
          <w:sz w:val="20"/>
        </w:rPr>
        <w:t xml:space="preserve">” means an Award denominated in shares of Stock and granted pursuant to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val="false"/>
          <w:caps w:val="false"/>
          <w:smallCaps w:val="false"/>
          <w:sz w:val="20"/>
        </w:rPr>
        <w:t>Ownership Change Event</w:t>
      </w:r>
      <w:r>
        <w:rPr>
          <w:rFonts w:ascii="Times New Roman;Times;Serif" w:hAnsi="Times New Roman;Times;Serif"/>
          <w:b w:val="false"/>
          <w:i w:val="false"/>
          <w:caps w:val="false"/>
          <w:smallCaps w:val="false"/>
          <w:sz w:val="20"/>
        </w:rPr>
        <w:t>” means the occurrence of any of the following with respect to the Company: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i w:val="false"/>
          <w:caps w:val="false"/>
          <w:smallCaps w:val="false"/>
          <w:sz w:val="20"/>
        </w:rPr>
        <w:t>Parent Corporation</w:t>
      </w:r>
      <w:r>
        <w:rPr>
          <w:rFonts w:ascii="Times New Roman;Times;Serif" w:hAnsi="Times New Roman;Times;Serif"/>
          <w:b w:val="false"/>
          <w:i w:val="false"/>
          <w:caps w:val="false"/>
          <w:smallCaps w:val="false"/>
          <w:sz w:val="20"/>
        </w:rPr>
        <w:t>” means any present or future “parent corporation” of the Company, as defined in Section 424(e)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means any eligible person who has been granted one or more Awards.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i w:val="false"/>
          <w:caps w:val="false"/>
          <w:smallCaps w:val="false"/>
          <w:sz w:val="20"/>
        </w:rPr>
        <w:t>Participating Company</w:t>
      </w:r>
      <w:r>
        <w:rPr>
          <w:rFonts w:ascii="Times New Roman;Times;Serif" w:hAnsi="Times New Roman;Times;Serif"/>
          <w:b w:val="false"/>
          <w:i w:val="false"/>
          <w:caps w:val="false"/>
          <w:smallCaps w:val="false"/>
          <w:sz w:val="20"/>
        </w:rPr>
        <w:t>” means the Company or any Parent Corporation, Subsidiary Corporation or Affiliate.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i w:val="false"/>
          <w:caps w:val="false"/>
          <w:smallCaps w:val="false"/>
          <w:sz w:val="20"/>
        </w:rPr>
        <w:t>Participating Company Group</w:t>
      </w:r>
      <w:r>
        <w:rPr>
          <w:rFonts w:ascii="Times New Roman;Times;Serif" w:hAnsi="Times New Roman;Times;Serif"/>
          <w:b w:val="false"/>
          <w:i w:val="false"/>
          <w:caps w:val="false"/>
          <w:smallCaps w:val="false"/>
          <w:sz w:val="20"/>
        </w:rPr>
        <w:t>” means, at any point in time, the Company and all other entities collectively which are then Participating Companies.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Performance Award</w:t>
      </w:r>
      <w:r>
        <w:rPr>
          <w:rFonts w:ascii="Times New Roman;Times;Serif" w:hAnsi="Times New Roman;Times;Serif"/>
          <w:b w:val="false"/>
          <w:i w:val="false"/>
          <w:caps w:val="false"/>
          <w:smallCaps w:val="false"/>
          <w:sz w:val="20"/>
        </w:rPr>
        <w:t>” means an Award of Performance Shares or Performance Units.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i w:val="false"/>
          <w:caps w:val="false"/>
          <w:smallCaps w:val="false"/>
          <w:sz w:val="20"/>
        </w:rPr>
        <w:t>Performance Award Formula</w:t>
      </w:r>
      <w:r>
        <w:rPr>
          <w:rFonts w:ascii="Times New Roman;Times;Serif" w:hAnsi="Times New Roman;Times;Serif"/>
          <w:b w:val="false"/>
          <w:i w:val="false"/>
          <w:caps w:val="false"/>
          <w:smallCaps w:val="false"/>
          <w:sz w:val="20"/>
        </w:rPr>
        <w:t xml:space="preserve">” means, for any Performance Award, a formula or table established by the Committee pursuant to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which provides the basis for computing the value of a Performance Award at one or more levels of attainment of the applicable Performance Goal(s) measured as of the end of the applicable Performance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i w:val="false"/>
          <w:caps w:val="false"/>
          <w:smallCaps w:val="false"/>
          <w:sz w:val="20"/>
        </w:rPr>
        <w:t>Performance Goal</w:t>
      </w:r>
      <w:r>
        <w:rPr>
          <w:rFonts w:ascii="Times New Roman;Times;Serif" w:hAnsi="Times New Roman;Times;Serif"/>
          <w:b w:val="false"/>
          <w:i w:val="false"/>
          <w:caps w:val="false"/>
          <w:smallCaps w:val="false"/>
          <w:sz w:val="20"/>
        </w:rPr>
        <w:t xml:space="preserve">” means a performance goal established by the Committee pursuant to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i w:val="false"/>
          <w:caps w:val="false"/>
          <w:smallCaps w:val="false"/>
          <w:sz w:val="20"/>
        </w:rPr>
        <w:t>Performance Period</w:t>
      </w:r>
      <w:r>
        <w:rPr>
          <w:rFonts w:ascii="Times New Roman;Times;Serif" w:hAnsi="Times New Roman;Times;Serif"/>
          <w:b w:val="false"/>
          <w:i w:val="false"/>
          <w:caps w:val="false"/>
          <w:smallCaps w:val="false"/>
          <w:sz w:val="20"/>
        </w:rPr>
        <w:t xml:space="preserve">” means a period established by the Committee pursuant to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at the end of which one or more Performance Goals are to be measured.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i w:val="false"/>
          <w:caps w:val="false"/>
          <w:smallCaps w:val="false"/>
          <w:sz w:val="20"/>
        </w:rPr>
        <w:t>Performance Share</w:t>
      </w:r>
      <w:r>
        <w:rPr>
          <w:rFonts w:ascii="Times New Roman;Times;Serif" w:hAnsi="Times New Roman;Times;Serif"/>
          <w:b w:val="false"/>
          <w:i w:val="false"/>
          <w:caps w:val="false"/>
          <w:smallCaps w:val="false"/>
          <w:sz w:val="20"/>
        </w:rPr>
        <w:t xml:space="preserve">” means a right granted to a Participant pursuant to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to receive a payment equal to the value of a Performance Share, as determined by the Committee, based upon attainment of applicable Performance Goal(s).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i w:val="false"/>
          <w:caps w:val="false"/>
          <w:smallCaps w:val="false"/>
          <w:sz w:val="20"/>
        </w:rPr>
        <w:t>Performance Unit</w:t>
      </w:r>
      <w:r>
        <w:rPr>
          <w:rFonts w:ascii="Times New Roman;Times;Serif" w:hAnsi="Times New Roman;Times;Serif"/>
          <w:b w:val="false"/>
          <w:i w:val="false"/>
          <w:caps w:val="false"/>
          <w:smallCaps w:val="false"/>
          <w:sz w:val="20"/>
        </w:rPr>
        <w:t xml:space="preserve">” means a right granted to a Participant pursuant to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to receive a payment equal to the value of a Performance Unit, as determined by the Committee, based upon attainment of applicable Performance Goal(s).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i w:val="false"/>
          <w:caps w:val="false"/>
          <w:smallCaps w:val="false"/>
          <w:sz w:val="20"/>
        </w:rPr>
        <w:t>Restricted Stock Award</w:t>
      </w:r>
      <w:r>
        <w:rPr>
          <w:rFonts w:ascii="Times New Roman;Times;Serif" w:hAnsi="Times New Roman;Times;Serif"/>
          <w:b w:val="false"/>
          <w:i w:val="false"/>
          <w:caps w:val="false"/>
          <w:smallCaps w:val="false"/>
          <w:sz w:val="20"/>
        </w:rPr>
        <w:t>” means an Award of a Restricted Stock Bonus or a Restricted Stock Purchase Right.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i w:val="false"/>
          <w:caps w:val="false"/>
          <w:smallCaps w:val="false"/>
          <w:sz w:val="20"/>
        </w:rPr>
        <w:t>Restricted Stock Bonus</w:t>
      </w:r>
      <w:r>
        <w:rPr>
          <w:rFonts w:ascii="Times New Roman;Times;Serif" w:hAnsi="Times New Roman;Times;Serif"/>
          <w:b w:val="false"/>
          <w:i w:val="false"/>
          <w:caps w:val="false"/>
          <w:smallCaps w:val="false"/>
          <w:sz w:val="20"/>
        </w:rPr>
        <w:t xml:space="preserve">” means Stock granted to a Participant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i w:val="false"/>
          <w:caps w:val="false"/>
          <w:smallCaps w:val="false"/>
          <w:sz w:val="20"/>
        </w:rPr>
        <w:t>Restricted Stock Purchase Right</w:t>
      </w:r>
      <w:r>
        <w:rPr>
          <w:rFonts w:ascii="Times New Roman;Times;Serif" w:hAnsi="Times New Roman;Times;Serif"/>
          <w:b w:val="false"/>
          <w:i w:val="false"/>
          <w:caps w:val="false"/>
          <w:smallCaps w:val="false"/>
          <w:sz w:val="20"/>
        </w:rPr>
        <w:t xml:space="preserve">” means a right to purchase Stock granted to a Participant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i w:val="false"/>
          <w:caps w:val="false"/>
          <w:smallCaps w:val="false"/>
          <w:sz w:val="20"/>
        </w:rPr>
        <w:t>Restricted Stock Unit</w:t>
      </w:r>
      <w:r>
        <w:rPr>
          <w:rFonts w:ascii="Times New Roman;Times;Serif" w:hAnsi="Times New Roman;Times;Serif"/>
          <w:b w:val="false"/>
          <w:i w:val="false"/>
          <w:caps w:val="false"/>
          <w:smallCaps w:val="false"/>
          <w:sz w:val="20"/>
        </w:rPr>
        <w:t xml:space="preserve">” means a right granted to a Participant pursuant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to receive on a future date or occurrence of a future event a share of Stock or cash in lieu thereof, as determined by the Committee.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i w:val="false"/>
          <w:caps w:val="false"/>
          <w:smallCaps w:val="false"/>
          <w:sz w:val="20"/>
        </w:rPr>
        <w:t>Rule 16b-3</w:t>
      </w:r>
      <w:r>
        <w:rPr>
          <w:rFonts w:ascii="Times New Roman;Times;Serif" w:hAnsi="Times New Roman;Times;Serif"/>
          <w:b w:val="false"/>
          <w:i w:val="false"/>
          <w:caps w:val="false"/>
          <w:smallCaps w:val="false"/>
          <w:sz w:val="20"/>
        </w:rPr>
        <w:t>” means Rule 16b-3 under the Exchange Act, as amended from time to time, or any successor rule or regulation.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i w:val="false"/>
          <w:caps w:val="false"/>
          <w:smallCaps w:val="false"/>
          <w:sz w:val="20"/>
        </w:rPr>
        <w:t>SAR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Stock Appreciation Right</w:t>
      </w:r>
      <w:r>
        <w:rPr>
          <w:rFonts w:ascii="Times New Roman;Times;Serif" w:hAnsi="Times New Roman;Times;Serif"/>
          <w:b w:val="false"/>
          <w:i w:val="false"/>
          <w:caps w:val="false"/>
          <w:smallCaps w:val="false"/>
          <w:sz w:val="20"/>
        </w:rPr>
        <w:t xml:space="preserve">” means a right granted to a Participant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to receive payment, for each share of Stock subject to such Award, of an amount equal to the excess, if any, of the Fair Market Value of a share of Stock on the date of exercise of the Award over the exercise price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i w:val="false"/>
          <w:caps w:val="false"/>
          <w:smallCaps w:val="false"/>
          <w:sz w:val="20"/>
        </w:rPr>
        <w:t>Section 409A</w:t>
      </w:r>
      <w:r>
        <w:rPr>
          <w:rFonts w:ascii="Times New Roman;Times;Serif" w:hAnsi="Times New Roman;Times;Serif"/>
          <w:b w:val="false"/>
          <w:i w:val="false"/>
          <w:caps w:val="false"/>
          <w:smallCaps w:val="false"/>
          <w:sz w:val="20"/>
        </w:rPr>
        <w:t>” means Section 409A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i w:val="false"/>
          <w:caps w:val="false"/>
          <w:smallCaps w:val="false"/>
          <w:sz w:val="20"/>
        </w:rPr>
        <w:t>Section 409A Deferred Compensation</w:t>
      </w:r>
      <w:r>
        <w:rPr>
          <w:rFonts w:ascii="Times New Roman;Times;Serif" w:hAnsi="Times New Roman;Times;Serif"/>
          <w:b w:val="false"/>
          <w:i w:val="false"/>
          <w:caps w:val="false"/>
          <w:smallCaps w:val="false"/>
          <w:sz w:val="20"/>
        </w:rPr>
        <w:t>” means compensation provided pursuant to an Award that constitutes nonqualified deferred compensation within the meaning of Section 409A.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i w:val="false"/>
          <w:caps w:val="false"/>
          <w:smallCaps w:val="false"/>
          <w:sz w:val="20"/>
        </w:rPr>
        <w:t>Service</w:t>
      </w:r>
      <w:r>
        <w:rPr>
          <w:rFonts w:ascii="Times New Roman;Times;Serif" w:hAnsi="Times New Roman;Times;Serif"/>
          <w:b w:val="false"/>
          <w:i w:val="false"/>
          <w:caps w:val="false"/>
          <w:smallCaps w:val="false"/>
          <w:sz w:val="20"/>
        </w:rPr>
        <w:t xml:space="preserve">” means a Participant’s employment or service with the Participating Company Group, whether as an Employee, a Director or a Consultant. Unless otherwise provided by the Committee, a Participant’s Service shall not be deemed to have terminated merely because of a change in the capacity in which the Participant renders Service or a change in the Participating Company for which the Participant renders Service,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there is no interruption or termination of the Participant’s Service. Furthermore, a Participant’s Service shall not be deemed to have been interrupted or terminated if the Participant takes any military leave, sick leave, or other bona fide leave of absence approved by the Company. However, unless otherwise provided by the Committee, if any such leave taken by a Participant exceeds ninety (90) days, then on the ninety-first (91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w:t>
      </w:r>
      <w:r>
        <w:rPr>
          <w:rFonts w:ascii="Times New Roman;Times;Serif" w:hAnsi="Times New Roman;Times;Serif"/>
          <w:b/>
          <w:i w:val="false"/>
          <w:caps w:val="false"/>
          <w:smallCaps w:val="false"/>
          <w:sz w:val="20"/>
        </w:rPr>
        <w:t>Stock</w:t>
      </w:r>
      <w:r>
        <w:rPr>
          <w:rFonts w:ascii="Times New Roman;Times;Serif" w:hAnsi="Times New Roman;Times;Serif"/>
          <w:b w:val="false"/>
          <w:i w:val="false"/>
          <w:caps w:val="false"/>
          <w:smallCaps w:val="false"/>
          <w:sz w:val="20"/>
        </w:rPr>
        <w:t xml:space="preserve">” means the common stock of the Company, as adjusted from time to time in accordance with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w:t>
      </w:r>
      <w:r>
        <w:rPr>
          <w:rFonts w:ascii="Times New Roman;Times;Serif" w:hAnsi="Times New Roman;Times;Serif"/>
          <w:b/>
          <w:i w:val="false"/>
          <w:caps w:val="false"/>
          <w:smallCaps w:val="false"/>
          <w:sz w:val="20"/>
        </w:rPr>
        <w:t>Stock Tender Exercise</w:t>
      </w:r>
      <w:r>
        <w:rPr>
          <w:rFonts w:ascii="Times New Roman;Times;Serif" w:hAnsi="Times New Roman;Times;Serif"/>
          <w:b w:val="false"/>
          <w:i w:val="false"/>
          <w:caps w:val="false"/>
          <w:smallCaps w:val="false"/>
          <w:sz w:val="20"/>
        </w:rPr>
        <w:t xml:space="preserve">” means a Stock Tender Exercise as defined in </w:t>
      </w:r>
      <w:r>
        <w:rPr>
          <w:rFonts w:ascii="Times New Roman;Times;Serif" w:hAnsi="Times New Roman;Times;Serif"/>
          <w:b w:val="false"/>
          <w:i w:val="false"/>
          <w:caps w:val="false"/>
          <w:smallCaps w:val="false"/>
          <w:sz w:val="20"/>
          <w:u w:val="single"/>
        </w:rPr>
        <w:t>Section 6.3(b)(ii)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 “</w:t>
      </w:r>
      <w:r>
        <w:rPr>
          <w:rFonts w:ascii="Times New Roman;Times;Serif" w:hAnsi="Times New Roman;Times;Serif"/>
          <w:b/>
          <w:i w:val="false"/>
          <w:caps w:val="false"/>
          <w:smallCaps w:val="false"/>
          <w:sz w:val="20"/>
        </w:rPr>
        <w:t>Subsidiary Corporation</w:t>
      </w:r>
      <w:r>
        <w:rPr>
          <w:rFonts w:ascii="Times New Roman;Times;Serif" w:hAnsi="Times New Roman;Times;Serif"/>
          <w:b w:val="false"/>
          <w:i w:val="false"/>
          <w:caps w:val="false"/>
          <w:smallCaps w:val="false"/>
          <w:sz w:val="20"/>
        </w:rPr>
        <w:t>” means any present or future “subsidiary corporation” of the Company, as defined in Section 424(f)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 “</w:t>
      </w:r>
      <w:r>
        <w:rPr>
          <w:rFonts w:ascii="Times New Roman;Times;Serif" w:hAnsi="Times New Roman;Times;Serif"/>
          <w:b/>
          <w:i w:val="false"/>
          <w:caps w:val="false"/>
          <w:smallCaps w:val="false"/>
          <w:sz w:val="20"/>
        </w:rPr>
        <w:t>Ten Percent Owner</w:t>
      </w:r>
      <w:r>
        <w:rPr>
          <w:rFonts w:ascii="Times New Roman;Times;Serif" w:hAnsi="Times New Roman;Times;Serif"/>
          <w:b w:val="false"/>
          <w:i w:val="false"/>
          <w:caps w:val="false"/>
          <w:smallCaps w:val="false"/>
          <w:sz w:val="20"/>
        </w:rPr>
        <w:t>” means a Participant who, at the time an Option is granted to the Participant, owns stock possessing more than ten percent (10%) of the total combined voting power of all classes of stock of a Participating Company (other than an Affiliate) within the meaning of Section 422(b)(6)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 “</w:t>
      </w:r>
      <w:r>
        <w:rPr>
          <w:rFonts w:ascii="Times New Roman;Times;Serif" w:hAnsi="Times New Roman;Times;Serif"/>
          <w:b/>
          <w:i w:val="false"/>
          <w:caps w:val="false"/>
          <w:smallCaps w:val="false"/>
          <w:sz w:val="20"/>
        </w:rPr>
        <w:t>Trading Compliance Policy</w:t>
      </w:r>
      <w:r>
        <w:rPr>
          <w:rFonts w:ascii="Times New Roman;Times;Serif" w:hAnsi="Times New Roman;Times;Serif"/>
          <w:b w:val="false"/>
          <w:i w:val="false"/>
          <w:caps w:val="false"/>
          <w:smallCaps w:val="false"/>
          <w:sz w:val="20"/>
        </w:rPr>
        <w:t>” 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(ddd) “</w:t>
      </w:r>
      <w:r>
        <w:rPr>
          <w:rFonts w:ascii="Times New Roman;Times;Serif" w:hAnsi="Times New Roman;Times;Serif"/>
          <w:b/>
          <w:i w:val="false"/>
          <w:caps w:val="false"/>
          <w:smallCaps w:val="false"/>
          <w:sz w:val="20"/>
        </w:rPr>
        <w:t>Vesting Conditions</w:t>
      </w:r>
      <w:r>
        <w:rPr>
          <w:rFonts w:ascii="Times New Roman;Times;Serif" w:hAnsi="Times New Roman;Times;Serif"/>
          <w:b w:val="false"/>
          <w:i w:val="false"/>
          <w:caps w:val="false"/>
          <w:smallCaps w:val="false"/>
          <w:sz w:val="20"/>
        </w:rPr>
        <w:t>” mean those conditions established in accordance with the Plan prior to the satisfaction of which an Award or shares subject to an Award remain subject to forfeiture or a repurchase option in favor of the Company exercisable for the Participant’s monetary purchase price, if any, for such shares upon the Participant’s termination of Service or failure of a performance condition to be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rPr>
        <w:t>Construction</w:t>
      </w:r>
      <w:r>
        <w:rPr>
          <w:rFonts w:ascii="Times New Roman;Times;Serif" w:hAnsi="Times New Roman;Times;Serif"/>
          <w:b w:val="false"/>
          <w:i w:val="false"/>
          <w:caps w:val="false"/>
          <w:smallCaps w:val="false"/>
          <w:sz w:val="20"/>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ADMINISTRATION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i w:val="false"/>
          <w:caps w:val="false"/>
          <w:smallCaps w:val="false"/>
          <w:sz w:val="20"/>
        </w:rPr>
        <w:t>Administration by the Committee</w:t>
      </w:r>
      <w:r>
        <w:rPr>
          <w:rFonts w:ascii="Times New Roman;Times;Serif" w:hAnsi="Times New Roman;Times;Serif"/>
          <w:b w:val="false"/>
          <w:i w:val="false"/>
          <w:caps w:val="false"/>
          <w:smallCaps w:val="false"/>
          <w:sz w:val="20"/>
        </w:rPr>
        <w:t>.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i w:val="false"/>
          <w:caps w:val="false"/>
          <w:smallCaps w:val="false"/>
          <w:sz w:val="20"/>
        </w:rPr>
        <w:t>Authority of Officers</w:t>
      </w:r>
      <w:r>
        <w:rPr>
          <w:rFonts w:ascii="Times New Roman;Times;Serif" w:hAnsi="Times New Roman;Times;Serif"/>
          <w:b w:val="false"/>
          <w:i w:val="false"/>
          <w:caps w:val="false"/>
          <w:smallCaps w:val="false"/>
          <w:sz w:val="20"/>
        </w:rPr>
        <w:t xml:space="preserve">. Any Officer shall have the authority to act on behalf of the Company with respect to any matter, right, obligation, determination or election that is the responsibility of or that is allocated to the Company 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Officer has apparent authority with respect to such matter, right, obligation, determination or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i w:val="false"/>
          <w:caps w:val="false"/>
          <w:smallCaps w:val="false"/>
          <w:sz w:val="20"/>
        </w:rPr>
        <w:t>Administration with Respect to Insiders</w:t>
      </w:r>
      <w:r>
        <w:rPr>
          <w:rFonts w:ascii="Times New Roman;Times;Serif" w:hAnsi="Times New Roman;Times;Serif"/>
          <w:b w:val="false"/>
          <w:i w:val="false"/>
          <w:caps w:val="false"/>
          <w:smallCaps w:val="false"/>
          <w:sz w:val="20"/>
        </w:rPr>
        <w:t>. With respect to participation by Insiders in the Plan, at any time that any class of equity security of the Company is registered pursuant to Section 12 of the Exchange Act, the Plan shall be administered in compliance with the requirements, if any, of Rule 16b-3.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i w:val="false"/>
          <w:caps w:val="false"/>
          <w:smallCaps w:val="false"/>
          <w:sz w:val="20"/>
        </w:rPr>
        <w:t>Powers of the Committee</w:t>
      </w:r>
      <w:r>
        <w:rPr>
          <w:rFonts w:ascii="Times New Roman;Times;Serif" w:hAnsi="Times New Roman;Times;Serif"/>
          <w:b w:val="false"/>
          <w:i w:val="false"/>
          <w:caps w:val="false"/>
          <w:smallCaps w:val="false"/>
          <w:sz w:val="20"/>
        </w:rPr>
        <w:t>. In addition to any other powers set forth in the Plan and subject to the provisions of the Plan, the Committee shall have the full and final power and authority, in its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determine the persons to whom, and the time or times at which, Awards shall be granted and the number of shares of Stock, units or monetary value to be subject to each Award;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determine the type of Award granted;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determine the Fair Market Value of shares of Stock or other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Performance Measures, Performance Period, Performance Award Formula and Performance Goals applicable to any Award and the extent to which such Performance Goals have been attained, (vi) the time of expiration of any Award, (vii) the effect of any Participant’s termination of Service on any of the foregoing, and (viii) all other terms, conditions and restrictions applicable to any Award or shares acquired pursuant thereto not inconsistent with the terms of the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determine whether an Award will be settled in shares of Stock, cash, other property or in any combination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approve one or more forms of Award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amend, modify, extend, cancel or renew any Award or to waive any restrictions or conditions applicable to any Award or any shares acquired pursuant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accelerate, continue, extend or defer the exercisability or vesting of any Award or any shares acquired pursuant thereto, including with respect to the period following a Participant’s termination of Service;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prescribe, amend or rescind rules, guidelines and policies relating to the Plan, or to adopt sub-plans or supplements to, or alternative versions of, the Plan, including, without limitation, as the Committee deems necessary or desirable to comply with the laws of, or to accommodate the tax policy, accounting principles or custom of, foreign jurisdictions whose residents may be granted Awards;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i w:val="false"/>
          <w:caps w:val="false"/>
          <w:smallCaps w:val="false"/>
          <w:sz w:val="20"/>
        </w:rPr>
        <w:t>Option or SAR Repricing</w:t>
      </w:r>
      <w:r>
        <w:rPr>
          <w:rFonts w:ascii="Times New Roman;Times;Serif" w:hAnsi="Times New Roman;Times;Serif"/>
          <w:b w:val="false"/>
          <w:i w:val="false"/>
          <w:caps w:val="false"/>
          <w:smallCaps w:val="false"/>
          <w:sz w:val="20"/>
        </w:rPr>
        <w:t>. Without the affirmative vote of holders of a majority of the shares of Stock cast in person or by proxy at a meeting of the stockholders of the Company at which a quorum representing a majority of all outstanding shares of Stock is present or represented by proxy, the Committee shall not approve a program providing for either (a) the cancellation of outstanding Options or SARs having exercise prices per share greater than the then Fair Market Value of a share of Stock (“</w:t>
      </w:r>
      <w:r>
        <w:rPr>
          <w:rFonts w:ascii="Times New Roman;Times;Serif" w:hAnsi="Times New Roman;Times;Serif"/>
          <w:b/>
          <w:i w:val="false"/>
          <w:caps w:val="false"/>
          <w:smallCaps w:val="false"/>
          <w:sz w:val="20"/>
        </w:rPr>
        <w:t>Underwater Awards</w:t>
      </w:r>
      <w:r>
        <w:rPr>
          <w:rFonts w:ascii="Times New Roman;Times;Serif" w:hAnsi="Times New Roman;Times;Serif"/>
          <w:b w:val="false"/>
          <w:i w:val="false"/>
          <w:caps w:val="false"/>
          <w:smallCaps w:val="false"/>
          <w:sz w:val="20"/>
        </w:rPr>
        <w:t xml:space="preserve">”) and the grant in substitution therefor of new Options or SARs having a lower exercise price, Full Value Awards or payments in cash, or (b) the amendment of outstanding Underwater Awards to reduce the exercise price thereof. This Section shall not be construed to apply to (i) “issuing or assuming a stock option in a transaction to which Section 424(a) applies,” within the meaning of Section 424 of the Code, (ii) adjustments pursuant to the assumption of or substitution for an Option or SAR in a manner that would comply with Section 409A, or (iii) an adjustment pursuant to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xml:space="preserve">.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within sixty (60) days after the institution of such action, suit or proceeding, such person shall offer to the Company, in writing, the opportunity at its own expense to handle and defend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SHARES SUBJECT TO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i w:val="false"/>
          <w:caps w:val="false"/>
          <w:smallCaps w:val="false"/>
          <w:sz w:val="20"/>
        </w:rPr>
        <w:t>Maximum Number of Shares Issuable</w:t>
      </w:r>
      <w:r>
        <w:rPr>
          <w:rFonts w:ascii="Times New Roman;Times;Serif" w:hAnsi="Times New Roman;Times;Serif"/>
          <w:b w:val="false"/>
          <w:i w:val="false"/>
          <w:caps w:val="false"/>
          <w:smallCaps w:val="false"/>
          <w:sz w:val="20"/>
        </w:rPr>
        <w:t xml:space="preserve">. Subject to adjustment as provided in </w:t>
      </w:r>
      <w:r>
        <w:rPr>
          <w:rFonts w:ascii="Times New Roman;Times;Serif" w:hAnsi="Times New Roman;Times;Serif"/>
          <w:b w:val="false"/>
          <w:i w:val="false"/>
          <w:caps w:val="false"/>
          <w:smallCaps w:val="false"/>
          <w:sz w:val="20"/>
          <w:u w:val="single"/>
        </w:rPr>
        <w:t>Sections 4.2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4.3</w:t>
      </w:r>
      <w:r>
        <w:rPr>
          <w:rFonts w:ascii="Times New Roman;Times;Serif" w:hAnsi="Times New Roman;Times;Serif"/>
          <w:b w:val="false"/>
          <w:i w:val="false"/>
          <w:caps w:val="false"/>
          <w:smallCaps w:val="false"/>
          <w:sz w:val="20"/>
        </w:rPr>
        <w:t>, the maximum aggregate number of shares of Stock that may be issued under the Plan shall be equal to ____________ shares (the “</w:t>
      </w:r>
      <w:r>
        <w:rPr>
          <w:rFonts w:ascii="Times New Roman;Times;Serif" w:hAnsi="Times New Roman;Times;Serif"/>
          <w:b/>
          <w:i w:val="false"/>
          <w:caps w:val="false"/>
          <w:smallCaps w:val="false"/>
          <w:sz w:val="20"/>
        </w:rPr>
        <w:t>Base Reserve</w:t>
      </w:r>
      <w:r>
        <w:rPr>
          <w:rFonts w:ascii="Times New Roman;Times;Serif" w:hAnsi="Times New Roman;Times;Serif"/>
          <w:b w:val="false"/>
          <w:i w:val="false"/>
          <w:caps w:val="false"/>
          <w:smallCaps w:val="false"/>
          <w:sz w:val="20"/>
        </w:rPr>
        <w:t>”) plus an annual increase, effective as of the first day of the Company’s fiscal year beginning in the year following the fiscal year in which the Company’s stockholders approved the Plan and the first day of each subsequent fiscal year through and including the first day of the Company’s fiscal year beginning on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commencement of such annual increase, equal to the lesser of (i) ten percent (10%) of the number of shares of Stock outstanding as of the conclusion of the Company’s immediately preceding fiscal year, or (ii) such amount, if any, as the Board may determine, and such shares shall consist of authorized but unissued or reacquired shares of Stock or any combination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i w:val="false"/>
          <w:caps w:val="false"/>
          <w:smallCaps w:val="false"/>
          <w:sz w:val="20"/>
        </w:rPr>
        <w:t>Share Counting</w:t>
      </w:r>
      <w:r>
        <w:rPr>
          <w:rFonts w:ascii="Times New Roman;Times;Serif" w:hAnsi="Times New Roman;Times;Serif"/>
          <w:b w:val="false"/>
          <w:i w:val="false"/>
          <w:caps w:val="false"/>
          <w:smallCaps w:val="false"/>
          <w:sz w:val="20"/>
        </w:rPr>
        <w:t xml:space="preserve">.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with respect to any portion of an Award that is settled in cash. Upon payment in shares of Stock pursuant to the exercise of an SAR, the number of shares available for issuance under the Plan shall be reduced by the net number of shares for which the SAR is exercised. If the exercise price of an Option is paid by tender to the Company, or attestation to the ownership, of shares of Stock owned by the Participant, or by means of a Net Exercise, the number of shares available for issuance under the Plan shall be reduced only by the net number of shares for which the Option is exercised. Shares withheld or reacquired by the Company in satisfaction of tax withholding obligations pursuant to the exercise or settlement of Options or SARs pursuant to </w:t>
      </w:r>
      <w:r>
        <w:rPr>
          <w:rFonts w:ascii="Times New Roman;Times;Serif" w:hAnsi="Times New Roman;Times;Serif"/>
          <w:b w:val="false"/>
          <w:i w:val="false"/>
          <w:caps w:val="false"/>
          <w:smallCaps w:val="false"/>
          <w:sz w:val="20"/>
          <w:u w:val="single"/>
        </w:rPr>
        <w:t>Section 16.2</w:t>
      </w:r>
      <w:r>
        <w:rPr>
          <w:rFonts w:ascii="Times New Roman;Times;Serif" w:hAnsi="Times New Roman;Times;Serif"/>
          <w:b w:val="false"/>
          <w:i w:val="false"/>
          <w:caps w:val="false"/>
          <w:smallCaps w:val="false"/>
          <w:sz w:val="20"/>
        </w:rPr>
        <w:t xml:space="preserve"> and Shares withheld or reacquired by the Company in satisfaction of tax withholding obligations pursuant to the vesting or settlement of Full Value Awards pursuant to </w:t>
      </w:r>
      <w:r>
        <w:rPr>
          <w:rFonts w:ascii="Times New Roman;Times;Serif" w:hAnsi="Times New Roman;Times;Serif"/>
          <w:b w:val="false"/>
          <w:i w:val="false"/>
          <w:caps w:val="false"/>
          <w:smallCaps w:val="false"/>
          <w:sz w:val="20"/>
          <w:u w:val="single"/>
        </w:rPr>
        <w:t>Section 16.2</w:t>
      </w:r>
      <w:r>
        <w:rPr>
          <w:rFonts w:ascii="Times New Roman;Times;Serif" w:hAnsi="Times New Roman;Times;Serif"/>
          <w:b w:val="false"/>
          <w:i w:val="false"/>
          <w:caps w:val="false"/>
          <w:smallCaps w:val="false"/>
          <w:sz w:val="20"/>
        </w:rPr>
        <w:t xml:space="preserve"> shall again become available for issuance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i w:val="false"/>
          <w:caps w:val="false"/>
          <w:smallCaps w:val="false"/>
          <w:sz w:val="20"/>
        </w:rPr>
        <w:t>Adjustments for Changes in Capital Structure</w:t>
      </w:r>
      <w:r>
        <w:rPr>
          <w:rFonts w:ascii="Times New Roman;Times;Serif" w:hAnsi="Times New Roman;Times;Serif"/>
          <w:b w:val="false"/>
          <w:i w:val="false"/>
          <w:caps w:val="false"/>
          <w:smallCaps w:val="false"/>
          <w:sz w:val="20"/>
        </w:rPr>
        <w:t xml:space="preserve">. Subject to any required action by the stockholders of the Company and the requirements of Section 409A and Section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annual increase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the Award limits set forth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Times New Roman;Times;Serif" w:hAnsi="Times New Roman;Times;Serif"/>
          <w:b/>
          <w:i w:val="false"/>
          <w:caps w:val="false"/>
          <w:smallCaps w:val="false"/>
          <w:sz w:val="20"/>
        </w:rPr>
        <w:t>New Shares</w:t>
      </w:r>
      <w:r>
        <w:rPr>
          <w:rFonts w:ascii="Times New Roman;Times;Serif" w:hAnsi="Times New Roman;Times;Serif"/>
          <w:b w:val="false"/>
          <w:i w:val="false"/>
          <w:caps w:val="false"/>
          <w:smallCaps w:val="false"/>
          <w:sz w:val="20"/>
        </w:rPr>
        <w:t>”),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and in accordance with Section 409A and Section 424 of the Code to the extent applicable. Any fractional share resulting from an adjustment pursuant to this Section shall be rounded down to the nearest whole number and the exercise or purchase price per share shall be rounded up to the nearest whole cent. In no event may the exercise or purchase price, if any,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i w:val="false"/>
          <w:caps w:val="false"/>
          <w:smallCaps w:val="false"/>
          <w:sz w:val="20"/>
        </w:rPr>
        <w:t>Assumption or Substitution of Awards</w:t>
      </w:r>
      <w:r>
        <w:rPr>
          <w:rFonts w:ascii="Times New Roman;Times;Serif" w:hAnsi="Times New Roman;Times;Serif"/>
          <w:b w:val="false"/>
          <w:i w:val="false"/>
          <w:caps w:val="false"/>
          <w:smallCaps w:val="false"/>
          <w:sz w:val="20"/>
        </w:rPr>
        <w:t>. The Committee may, without affecting the number of shares of Stock reserved or available hereunder, authorize the issuance or assumption of equity awards under this Plan in connection with any merger, consolidation, acquisition of property or stock, or reorganization upon such terms and conditions as it may deem appropriate, subject to compliance with Section 409A and any other applicable provisions of the Code, without reducing the number of shares otherwise available for issuance under the Plan. In addition, subject to compliance with applicable laws, and listing requirements, shares available for grant under a stockholder approved plan of an acquired company (as appropriately adjusted to reflect the transaction) may be used for awards under the Plan to individuals who were not Employees or Directors of the Participating Company Group prior to the transaction and shall not reduce the number of shares otherwise available for issuance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ELIGIBILITY, PARTICIPATION AND AWARD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i w:val="false"/>
          <w:caps w:val="false"/>
          <w:smallCaps w:val="false"/>
          <w:sz w:val="20"/>
        </w:rPr>
        <w:t>Persons Eligible for Awards</w:t>
      </w:r>
      <w:r>
        <w:rPr>
          <w:rFonts w:ascii="Times New Roman;Times;Serif" w:hAnsi="Times New Roman;Times;Serif"/>
          <w:b w:val="false"/>
          <w:i w:val="false"/>
          <w:caps w:val="false"/>
          <w:smallCaps w:val="false"/>
          <w:sz w:val="20"/>
        </w:rPr>
        <w:t>. Awards may be granted only to Employees, Consultants and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i w:val="false"/>
          <w:caps w:val="false"/>
          <w:smallCaps w:val="false"/>
          <w:sz w:val="20"/>
        </w:rPr>
        <w:t>Participation in the Plan</w:t>
      </w:r>
      <w:r>
        <w:rPr>
          <w:rFonts w:ascii="Times New Roman;Times;Serif" w:hAnsi="Times New Roman;Times;Serif"/>
          <w:b w:val="false"/>
          <w:i w:val="false"/>
          <w:caps w:val="false"/>
          <w:smallCaps w:val="false"/>
          <w:sz w:val="20"/>
        </w:rPr>
        <w:t>.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i w:val="false"/>
          <w:caps w:val="false"/>
          <w:smallCaps w:val="false"/>
          <w:sz w:val="20"/>
        </w:rPr>
        <w:t>Incentive Stock Option Limitations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Maximum Number of Shares Issuable Pursuant to Incentive Stock Options</w:t>
      </w:r>
      <w:r>
        <w:rPr>
          <w:rFonts w:ascii="Times New Roman;Times;Serif" w:hAnsi="Times New Roman;Times;Serif"/>
          <w:b w:val="false"/>
          <w:i w:val="false"/>
          <w:caps w:val="false"/>
          <w:smallCaps w:val="false"/>
          <w:sz w:val="20"/>
        </w:rPr>
        <w:t xml:space="preserve">. Subject to adjustment as provided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the maximum aggregate number of shares of Stock that may be issued under the Plan pursuant to the exercise of Incentive Stock Options shall not exceed a number of shares equal to three times the Base Reserve. The maximum aggregate number of shares of Stock that may be issued under the Plan pursuant to all Awards other than Incentive Stock Options shall be the number of shares determined in accordance with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subject to adjustment as provided in </w:t>
      </w:r>
      <w:r>
        <w:rPr>
          <w:rFonts w:ascii="Times New Roman;Times;Serif" w:hAnsi="Times New Roman;Times;Serif"/>
          <w:b w:val="false"/>
          <w:i w:val="false"/>
          <w:caps w:val="false"/>
          <w:smallCaps w:val="false"/>
          <w:sz w:val="20"/>
          <w:u w:val="single"/>
        </w:rPr>
        <w:t>Sections 4.2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Persons Eligible</w:t>
      </w:r>
      <w:r>
        <w:rPr>
          <w:rFonts w:ascii="Times New Roman;Times;Serif" w:hAnsi="Times New Roman;Times;Serif"/>
          <w:b w:val="false"/>
          <w:i w:val="false"/>
          <w:caps w:val="false"/>
          <w:smallCaps w:val="false"/>
          <w:sz w:val="20"/>
        </w:rPr>
        <w:t>. An Incentive Stock Option may be granted only to a person who, on the effective date of grant, is an Employee of the Company, a Parent Corporation or a Subsidiary Corporation (each being an “</w:t>
      </w:r>
      <w:r>
        <w:rPr>
          <w:rFonts w:ascii="Times New Roman;Times;Serif" w:hAnsi="Times New Roman;Times;Serif"/>
          <w:b/>
          <w:i w:val="false"/>
          <w:caps w:val="false"/>
          <w:smallCaps w:val="false"/>
          <w:sz w:val="20"/>
        </w:rPr>
        <w:t>ISO-Qualifying Corporation</w:t>
      </w:r>
      <w:r>
        <w:rPr>
          <w:rFonts w:ascii="Times New Roman;Times;Serif" w:hAnsi="Times New Roman;Times;Serif"/>
          <w:b w:val="false"/>
          <w:i w:val="false"/>
          <w:caps w:val="false"/>
          <w:smallCaps w:val="false"/>
          <w:sz w:val="20"/>
        </w:rPr>
        <w:t>”). Any person who is not an Employee of an ISO-Qualifying Corporation on the effective date of the grant of an Option to such person may be granted only a Nonstatutory Stock Option.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Fair Market Value Limitation</w:t>
      </w:r>
      <w:r>
        <w:rPr>
          <w:rFonts w:ascii="Times New Roman;Times;Serif" w:hAnsi="Times New Roman;Times;Serif"/>
          <w:b w:val="false"/>
          <w:i w:val="false"/>
          <w:caps w:val="false"/>
          <w:smallCaps w:val="false"/>
          <w:sz w:val="20"/>
        </w:rPr>
        <w:t>. To the extent that options designated as Incentive Stock Options (granted under all stock plans of the 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i w:val="false"/>
          <w:caps w:val="false"/>
          <w:smallCaps w:val="false"/>
          <w:sz w:val="20"/>
        </w:rPr>
        <w:t>Nonemployee Director Award Limit</w:t>
      </w:r>
      <w:r>
        <w:rPr>
          <w:rFonts w:ascii="Times New Roman;Times;Serif" w:hAnsi="Times New Roman;Times;Serif"/>
          <w:b w:val="false"/>
          <w:i w:val="false"/>
          <w:caps w:val="false"/>
          <w:smallCaps w:val="false"/>
          <w:sz w:val="20"/>
        </w:rPr>
        <w:t>. Annual compensation awarded to any Nonemployee Director during each calendar year, including both shares of Stock subject to Awards and any cash fees paid to such Nonemployee Director (but excluding any cash retainer fees, including cash retainer fees converted into equity awards at the election of the Nonemployee Director, expense reimbursements or distributions from any deferred compensation program applicable to the Nonemployee Director), may not exceed $1,000,000 in total value, or $2,000,000 in the calendar year in which any Nonemployee Director is initially elected to the Board (calculating the value of any such Awards based on the grant date fair value of such Awards for financial reporting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STOCK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shall be evidenced by Award Agreements specifying the number of shares of Stock covered thereby, in such form as the Committee shall establish. Such Award Agreements may incorporate all or any of the terms of the Plan by reference and shall comply with and be subject to the following terms and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xml:space="preserve">. The exercise price for each Option shall be established in the discretion of the Committee;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i w:val="false"/>
          <w:caps w:val="false"/>
          <w:smallCaps w:val="false"/>
          <w:sz w:val="20"/>
        </w:rPr>
        <w:t>Exercisability and Term of Options</w:t>
      </w:r>
      <w:r>
        <w:rPr>
          <w:rFonts w:ascii="Times New Roman;Times;Serif" w:hAnsi="Times New Roman;Times;Serif"/>
          <w:b w:val="false"/>
          <w:i w:val="false"/>
          <w:caps w:val="false"/>
          <w:smallCaps w:val="false"/>
          <w:sz w:val="20"/>
        </w:rPr>
        <w:t xml:space="preserve">. Options shall be exercisable at such time or times, or upon such event or events, and subject to such terms, conditions, performance criteria and restrictions as shall be determined by the Committee and set forth in the Award Agreement evidencing such Option;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no Option shall be exercisable after the expiration of ten (10) years after the effective date of grant of such Option, (b) no Incentive Stock Option granted to a Ten Percent Owner shall be exercisable after the expiration of five (5) years 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i w:val="false"/>
          <w:caps w:val="false"/>
          <w:smallCaps w:val="false"/>
          <w:sz w:val="20"/>
        </w:rPr>
        <w:t>Payment of Exercise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Forms of Consideration Authorized</w:t>
      </w:r>
      <w:r>
        <w:rPr>
          <w:rFonts w:ascii="Times New Roman;Times;Serif" w:hAnsi="Times New Roman;Times;Serif"/>
          <w:b w:val="false"/>
          <w:i w:val="false"/>
          <w:caps w:val="false"/>
          <w:smallCaps w:val="false"/>
          <w:sz w:val="20"/>
        </w:rPr>
        <w:t xml:space="preserve">. Except as otherwise provided below, payment of the exercise price for the number of shares of Stock being purchased pursuant to any Option shall be made (i) in cash, by check or in cash equivalent; (ii) if permitted by the Committee and subject to the limitations contained in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by means of (1) a Cashless Exercise, (2) a Stock Tender Exercise or (3) a Net Exercise; (iii) by such other consideration as may be approved by the Committee from time to time to the extent permitted by applicable law, or (iv) if permitted by the Committee, by any combination thereof. The Committee may at any time or from time to time grant Options which do not permit all of the foregoing forms of consideration to be used in payment of the exercise price or which otherwise restrict one or more forms of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Limitations on Forms of Consideration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Cashless Exercise</w:t>
      </w:r>
      <w:r>
        <w:rPr>
          <w:rFonts w:ascii="Times New Roman;Times;Serif" w:hAnsi="Times New Roman;Times;Serif"/>
          <w:b w:val="false"/>
          <w:i w:val="false"/>
          <w:caps w:val="false"/>
          <w:smallCaps w:val="false"/>
          <w:sz w:val="20"/>
        </w:rPr>
        <w:t>” means the delivery of a properly executed notice of exercise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Stock Tender Exercise</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Stock Tender Exercise</w:t>
      </w:r>
      <w:r>
        <w:rPr>
          <w:rFonts w:ascii="Times New Roman;Times;Serif" w:hAnsi="Times New Roman;Times;Serif"/>
          <w:b w:val="false"/>
          <w:i w:val="false"/>
          <w:caps w:val="false"/>
          <w:smallCaps w:val="false"/>
          <w:sz w:val="20"/>
        </w:rPr>
        <w:t>” means the delivery of a properly executed exercise notice accompanied by a 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Net Exercise</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Net Exercise</w:t>
      </w:r>
      <w:r>
        <w:rPr>
          <w:rFonts w:ascii="Times New Roman;Times;Serif" w:hAnsi="Times New Roman;Times;Serif"/>
          <w:b w:val="false"/>
          <w:i w:val="false"/>
          <w:caps w:val="false"/>
          <w:smallCaps w:val="false"/>
          <w:sz w:val="20"/>
        </w:rPr>
        <w:t>” means the delivery of a properly executed exercise notice followed by a procedure pursuant 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i w:val="false"/>
          <w:caps w:val="false"/>
          <w:smallCaps w:val="false"/>
          <w:sz w:val="20"/>
        </w:rPr>
        <w:t>Effect of Termination of Service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Option Exercisability</w:t>
      </w:r>
      <w:r>
        <w:rPr>
          <w:rFonts w:ascii="Times New Roman;Times;Serif" w:hAnsi="Times New Roman;Times;Serif"/>
          <w:b w:val="false"/>
          <w:i w:val="false"/>
          <w:caps w:val="false"/>
          <w:smallCaps w:val="false"/>
          <w:sz w:val="20"/>
        </w:rPr>
        <w:t>. Subject to earlier termination of the Option as otherwise provided by this Plan and unless otherwise provided by the Committee or in an Award Agreement, an Option shall terminate immediately upon the Participant’s termination of Service to the extent that it is then unvested and shall be exercisable after the Participant’s termination of Service to the extent it is then vested only during the applicable time period determined in accordance with this Section and thereafter shall terminate.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If the Participant’s Service terminates because of the Disability of the 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(or such longer or shorter period provided by the Award Agreement) after the date on which the Participant’s Service terminated, but in any event no later than the date of expiration of the Option’s term as set forth in the Award Agreement evidencing such Option (the “</w:t>
      </w:r>
      <w:r>
        <w:rPr>
          <w:rFonts w:ascii="Times New Roman;Times;Serif" w:hAnsi="Times New Roman;Times;Serif"/>
          <w:b/>
          <w:i w:val="false"/>
          <w:caps w:val="false"/>
          <w:smallCaps w:val="false"/>
          <w:sz w:val="20"/>
        </w:rPr>
        <w:t>Option Expiration Date</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Death</w:t>
      </w:r>
      <w:r>
        <w:rPr>
          <w:rFonts w:ascii="Times New Roman;Times;Serif" w:hAnsi="Times New Roman;Times;Serif"/>
          <w:b w:val="false"/>
          <w:i w:val="false"/>
          <w:caps w:val="false"/>
          <w:smallCaps w:val="false"/>
          <w:sz w:val="20"/>
        </w:rPr>
        <w:t>. If the Participant’s Service terminates because of the death of the Participant, the 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(or such longer or shorter period provided by the Award Agreement) after the date on which the Participant’s Service terminated, but in any event no later than the Option Expiration Date. The Participant’s Service shall be deemed to have terminated on account of death if the Participant dies within three (3) months (or such longer or shorter period provided by the Award Agreement) after the Participant’s termination of Service for any reason other than Cause.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Termination for Cause</w:t>
      </w:r>
      <w:r>
        <w:rPr>
          <w:rFonts w:ascii="Times New Roman;Times;Serif" w:hAnsi="Times New Roman;Times;Serif"/>
          <w:b w:val="false"/>
          <w:i w:val="false"/>
          <w:caps w:val="false"/>
          <w:smallCaps w:val="false"/>
          <w:sz w:val="20"/>
        </w:rPr>
        <w:t>. Notwithstanding any other provision of the Plan to the contrary, if the Participant’s Service is 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Other Termination of Service</w:t>
      </w:r>
      <w:r>
        <w:rPr>
          <w:rFonts w:ascii="Times New Roman;Times;Serif" w:hAnsi="Times New Roman;Times;Serif"/>
          <w:b w:val="false"/>
          <w:i w:val="false"/>
          <w:caps w:val="false"/>
          <w:smallCaps w:val="false"/>
          <w:sz w:val="20"/>
        </w:rPr>
        <w:t>. If the Participant’s Service terminates for any reason, except Disability, death or Cause, the Option, to the extent unexercised and exercisable for vested shares on the date on which the Participant’s Service terminated, may be exercised by the Participant at any time prior to the expiration of three (3) months (or such longer or shorter period provided by the Award Agreement) after the date on which the Participant’s Service terminated, but in any event no later than the Option Expiration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Extension if Exercise Prevented by Law</w:t>
      </w:r>
      <w:r>
        <w:rPr>
          <w:rFonts w:ascii="Times New Roman;Times;Serif" w:hAnsi="Times New Roman;Times;Serif"/>
          <w:b w:val="false"/>
          <w:i w:val="false"/>
          <w:caps w:val="false"/>
          <w:smallCaps w:val="false"/>
          <w:sz w:val="20"/>
        </w:rPr>
        <w:t xml:space="preserve">. Notwithstanding the foregoing, other than termination of Service for Cause, if the exercise of an Option within the applicable time periods set forth in </w:t>
      </w:r>
      <w:r>
        <w:rPr>
          <w:rFonts w:ascii="Times New Roman;Times;Serif" w:hAnsi="Times New Roman;Times;Serif"/>
          <w:b w:val="false"/>
          <w:i w:val="false"/>
          <w:caps w:val="false"/>
          <w:smallCaps w:val="false"/>
          <w:sz w:val="20"/>
          <w:u w:val="single"/>
        </w:rPr>
        <w:t>Section 6.4(a)</w:t>
      </w:r>
      <w:r>
        <w:rPr>
          <w:rFonts w:ascii="Times New Roman;Times;Serif" w:hAnsi="Times New Roman;Times;Serif"/>
          <w:b w:val="false"/>
          <w:i w:val="false"/>
          <w:caps w:val="false"/>
          <w:smallCaps w:val="false"/>
          <w:sz w:val="20"/>
        </w:rPr>
        <w:t xml:space="preserve"> or an Award Agreement is prevented by the provisions of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below, the Option shall remain exercisable until the later of (i) thirty (30) days after the date such exercise first would no longer be prevented by such provisions or (ii) the end of the applicable time period under </w:t>
      </w:r>
      <w:r>
        <w:rPr>
          <w:rFonts w:ascii="Times New Roman;Times;Serif" w:hAnsi="Times New Roman;Times;Serif"/>
          <w:b w:val="false"/>
          <w:i w:val="false"/>
          <w:caps w:val="false"/>
          <w:smallCaps w:val="false"/>
          <w:sz w:val="20"/>
          <w:u w:val="single"/>
        </w:rPr>
        <w:t>Section 6.4(a)</w:t>
      </w:r>
      <w:r>
        <w:rPr>
          <w:rFonts w:ascii="Times New Roman;Times;Serif" w:hAnsi="Times New Roman;Times;Serif"/>
          <w:b w:val="false"/>
          <w:i w:val="false"/>
          <w:caps w:val="false"/>
          <w:smallCaps w:val="false"/>
          <w:sz w:val="20"/>
        </w:rPr>
        <w:t>, but in any event no later than the Option Expiration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i w:val="false"/>
          <w:caps w:val="false"/>
          <w:smallCaps w:val="false"/>
          <w:sz w:val="20"/>
        </w:rPr>
        <w:t>Transferability of Options</w:t>
      </w:r>
      <w:r>
        <w:rPr>
          <w:rFonts w:ascii="Times New Roman;Times;Serif" w:hAnsi="Times New Roman;Times;Serif"/>
          <w:b w:val="false"/>
          <w:i w:val="false"/>
          <w:caps w:val="false"/>
          <w:smallCaps w:val="false"/>
          <w:sz w:val="20"/>
        </w:rPr>
        <w:t>.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 Option, only as permitted by applicable regulations under Section 421 of the Code in a manner that does not disqualify such Option as an Incentive 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STOCK APPRECIATION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Appreciation Rights shall be evidenced by Award Agreements specifying the number of shares of Stock subject to the Award, in such form as the Committee shall establish. Such Award Agreements may incorporate all or any of the terms of the Plan by reference and shall comply with and be subject to the following terms and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i w:val="false"/>
          <w:caps w:val="false"/>
          <w:smallCaps w:val="false"/>
          <w:sz w:val="20"/>
        </w:rPr>
        <w:t>Types of SARs Authorized</w:t>
      </w:r>
      <w:r>
        <w:rPr>
          <w:rFonts w:ascii="Times New Roman;Times;Serif" w:hAnsi="Times New Roman;Times;Serif"/>
          <w:b w:val="false"/>
          <w:i w:val="false"/>
          <w:caps w:val="false"/>
          <w:smallCaps w:val="false"/>
          <w:sz w:val="20"/>
        </w:rPr>
        <w:t>. SARs may be granted in tandem with all or any portion of a related Option (a “</w:t>
      </w:r>
      <w:r>
        <w:rPr>
          <w:rFonts w:ascii="Times New Roman;Times;Serif" w:hAnsi="Times New Roman;Times;Serif"/>
          <w:b/>
          <w:i w:val="false"/>
          <w:caps w:val="false"/>
          <w:smallCaps w:val="false"/>
          <w:sz w:val="20"/>
        </w:rPr>
        <w:t>Tandem SAR</w:t>
      </w:r>
      <w:r>
        <w:rPr>
          <w:rFonts w:ascii="Times New Roman;Times;Serif" w:hAnsi="Times New Roman;Times;Serif"/>
          <w:b w:val="false"/>
          <w:i w:val="false"/>
          <w:caps w:val="false"/>
          <w:smallCaps w:val="false"/>
          <w:sz w:val="20"/>
        </w:rPr>
        <w:t>”) or may be granted independently of any Option (a “</w:t>
      </w:r>
      <w:r>
        <w:rPr>
          <w:rFonts w:ascii="Times New Roman;Times;Serif" w:hAnsi="Times New Roman;Times;Serif"/>
          <w:b/>
          <w:i w:val="false"/>
          <w:caps w:val="false"/>
          <w:smallCaps w:val="false"/>
          <w:sz w:val="20"/>
        </w:rPr>
        <w:t>Freestanding SAR</w:t>
      </w:r>
      <w:r>
        <w:rPr>
          <w:rFonts w:ascii="Times New Roman;Times;Serif" w:hAnsi="Times New Roman;Times;Serif"/>
          <w:b w:val="false"/>
          <w:i w:val="false"/>
          <w:caps w:val="false"/>
          <w:smallCaps w:val="false"/>
          <w:sz w:val="20"/>
        </w:rPr>
        <w:t>”). A Tandem SAR may only be granted concurrently with the grant of the related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xml:space="preserve">. The exercise price for each SAR shall be established in the discretion of the Committee;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 granted pursuant to an assumption or substitution for another stock appreciation right in a manner that would qualify under the provisions of Section 409A.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i w:val="false"/>
          <w:caps w:val="false"/>
          <w:smallCaps w:val="false"/>
          <w:sz w:val="20"/>
        </w:rPr>
        <w:t>Exercisability and Term of SARs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Tandem SARs</w:t>
      </w:r>
      <w:r>
        <w:rPr>
          <w:rFonts w:ascii="Times New Roman;Times;Serif" w:hAnsi="Times New Roman;Times;Serif"/>
          <w:b w:val="false"/>
          <w:i w:val="false"/>
          <w:caps w:val="false"/>
          <w:smallCaps w:val="false"/>
          <w:sz w:val="20"/>
        </w:rPr>
        <w:t>. Tandem SARs shall be exercisable only at the time and to the extent, and only to the extent, that the related Option is 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Freestanding SARs</w:t>
      </w:r>
      <w:r>
        <w:rPr>
          <w:rFonts w:ascii="Times New Roman;Times;Serif" w:hAnsi="Times New Roman;Times;Serif"/>
          <w:b w:val="false"/>
          <w:i w:val="false"/>
          <w:caps w:val="false"/>
          <w:smallCaps w:val="false"/>
          <w:sz w:val="20"/>
        </w:rPr>
        <w:t xml:space="preserve">. Freestanding SARs shall be exercisable at such time or times, or upon such event or events, and subject to such terms, conditions, performance criteria and restrictions as shall be determined by the Committee and set forth in the Award Agreement evidencing such SAR;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no Freestanding SAR shall be exercisable after the expiration of ten (10) years after the effective date of grant of such SAR and (ii) no Freestanding SAR granted to an Employee who is a non-exempt employee for purposes of the Fair Labor Standards Act of 1938, as amended, shall be first exercisable until at least six (6) months following the date of grant of such SAR (except in the event of such Employee’s death, disability or retirement, upon a Change in Control, or as otherwise permitted by the Worker Economic Opportunity Act). Subject to the foregoing, unless otherwise specified by the Committee in the grant of a Freestanding SAR, each Freestanding SAR shall terminate ten (10) years after the effective date of grant of the SAR, unless earlier terminated in accordance with its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i w:val="false"/>
          <w:caps w:val="false"/>
          <w:smallCaps w:val="false"/>
          <w:sz w:val="20"/>
        </w:rPr>
        <w:t>Exercise of SARs</w:t>
      </w:r>
      <w:r>
        <w:rPr>
          <w:rFonts w:ascii="Times New Roman;Times;Serif" w:hAnsi="Times New Roman;Times;Serif"/>
          <w:b w:val="false"/>
          <w:i w:val="false"/>
          <w:caps w:val="false"/>
          <w:smallCaps w:val="false"/>
          <w:sz w:val="20"/>
        </w:rPr>
        <w:t xml:space="preserve">. Upon the exercise (or deemed exercise pursuant to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and set forth in the Award Agreement, in a lump sum upon the date of exercise of the SAR. When payment is to be made in shares of Stock, the number of shares to be issued shall be determined on the basis of the Fair Market Value of a share of Stock on the date of exercise of the SAR. For purposes of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an SAR shall be deemed exercised on the date on which the Company receives notice of exercise from the Participant or as otherwise provided in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r>
        <w:rPr>
          <w:rFonts w:ascii="Times New Roman;Times;Serif" w:hAnsi="Times New Roman;Times;Serif"/>
          <w:b/>
          <w:i w:val="false"/>
          <w:caps w:val="false"/>
          <w:smallCaps w:val="false"/>
          <w:sz w:val="20"/>
        </w:rPr>
        <w:t>Deemed Exercise of SARs</w:t>
      </w:r>
      <w:r>
        <w:rPr>
          <w:rFonts w:ascii="Times New Roman;Times;Serif" w:hAnsi="Times New Roman;Times;Serif"/>
          <w:b w:val="false"/>
          <w:i w:val="false"/>
          <w:caps w:val="false"/>
          <w:smallCaps w:val="false"/>
          <w:sz w:val="20"/>
        </w:rPr>
        <w:t xml:space="preserve">.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 The Company may elect to discontinue the deemed exercise of SARs pursuant to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at any time upon notice to a Participant or to apply the deemed exercise feature only to certain groups of Participants. The deemed exercise of a SAR pursuant to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shall apply only to a SAR that has been timely accepted by a Participant under procedures specified by the Company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 </w:t>
      </w:r>
      <w:r>
        <w:rPr>
          <w:rFonts w:ascii="Times New Roman;Times;Serif" w:hAnsi="Times New Roman;Times;Serif"/>
          <w:b/>
          <w:i w:val="false"/>
          <w:caps w:val="false"/>
          <w:smallCaps w:val="false"/>
          <w:sz w:val="20"/>
        </w:rPr>
        <w:t>Effect of Termination of Service</w:t>
      </w:r>
      <w:r>
        <w:rPr>
          <w:rFonts w:ascii="Times New Roman;Times;Serif" w:hAnsi="Times New Roman;Times;Serif"/>
          <w:b w:val="false"/>
          <w:i w:val="false"/>
          <w:caps w:val="false"/>
          <w:smallCaps w:val="false"/>
          <w:sz w:val="20"/>
        </w:rPr>
        <w:t xml:space="preserve">. Subject to earlier termination of the SAR as otherwise provided herein and unless otherwise provided by the Committee or in an Award Agreement, an SAR shall be exercisable after a Participant’s termination of Service only to the extent and during the applicable time period determined in accordance with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(treating the SAR as if it were an Option) and thereafter shall terminate.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7.7 </w:t>
      </w:r>
      <w:r>
        <w:rPr>
          <w:rFonts w:ascii="Times New Roman;Times;Serif" w:hAnsi="Times New Roman;Times;Serif"/>
          <w:b/>
          <w:i w:val="false"/>
          <w:caps w:val="false"/>
          <w:smallCaps w:val="false"/>
          <w:sz w:val="20"/>
        </w:rPr>
        <w:t>Transferability of SARs</w:t>
      </w:r>
      <w:r>
        <w:rPr>
          <w:rFonts w:ascii="Times New Roman;Times;Serif" w:hAnsi="Times New Roman;Times;Serif"/>
          <w:b w:val="false"/>
          <w:i w:val="false"/>
          <w:caps w:val="false"/>
          <w:smallCaps w:val="false"/>
          <w:sz w:val="20"/>
        </w:rPr>
        <w:t>.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RESTRICTED STOCK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Awards shall be evidenced by Award Agreements specifying whether the Award is a Restricted Stock Bonus or a Restricted Stock Purchase Right and the number of shares of Stock subject to the Award, in such form as the Committee shall establish. Such Award Agreements may incorporate all or any of the terms of the Plan by reference and shall comply with and be subject to the following terms and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i w:val="false"/>
          <w:caps w:val="false"/>
          <w:smallCaps w:val="false"/>
          <w:sz w:val="20"/>
        </w:rPr>
        <w:t>Types of Restricted Stock Awards Authorized</w:t>
      </w:r>
      <w:r>
        <w:rPr>
          <w:rFonts w:ascii="Times New Roman;Times;Serif" w:hAnsi="Times New Roman;Times;Serif"/>
          <w:b w:val="false"/>
          <w:i w:val="false"/>
          <w:caps w:val="false"/>
          <w:smallCaps w:val="false"/>
          <w:sz w:val="20"/>
        </w:rPr>
        <w:t xml:space="preserve">.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If either the grant of or satisfaction of Vesting Conditions applicable to a Restricted Stock Award is to be contingent upon the attainment of one or more Performance Goals, the Committee shall follow procedures substantially equivalent to those set forth in </w:t>
      </w:r>
      <w:r>
        <w:rPr>
          <w:rFonts w:ascii="Times New Roman;Times;Serif" w:hAnsi="Times New Roman;Times;Serif"/>
          <w:b w:val="false"/>
          <w:i w:val="false"/>
          <w:caps w:val="false"/>
          <w:smallCaps w:val="false"/>
          <w:sz w:val="20"/>
          <w:u w:val="single"/>
        </w:rPr>
        <w:t>Sections 10.3</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10.5(a)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i w:val="false"/>
          <w:caps w:val="false"/>
          <w:smallCaps w:val="false"/>
          <w:sz w:val="20"/>
        </w:rPr>
        <w:t>Purchase Period</w:t>
      </w:r>
      <w:r>
        <w:rPr>
          <w:rFonts w:ascii="Times New Roman;Times;Serif" w:hAnsi="Times New Roman;Times;Serif"/>
          <w:b w:val="false"/>
          <w:i w:val="false"/>
          <w:caps w:val="false"/>
          <w:smallCaps w:val="false"/>
          <w:sz w:val="20"/>
        </w:rPr>
        <w:t>. A Restricted Stock Purchase Right shall be exercisable within a period established by the Committee, which shall in no event exceed thirty (30) days from the effective date of the grant of the Restricted Stock Purchase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i w:val="false"/>
          <w:caps w:val="false"/>
          <w:smallCaps w:val="false"/>
          <w:sz w:val="20"/>
        </w:rPr>
        <w:t>Payment of Purchase Price</w:t>
      </w:r>
      <w:r>
        <w:rPr>
          <w:rFonts w:ascii="Times New Roman;Times;Serif" w:hAnsi="Times New Roman;Times;Serif"/>
          <w:b w:val="false"/>
          <w:i w:val="false"/>
          <w:caps w:val="false"/>
          <w:smallCaps w:val="false"/>
          <w:sz w:val="20"/>
        </w:rPr>
        <w:t>. Except as otherwise provided below, payment of the purchase price for the number of shares of Stock being purchased pursuant to any Restricted Stock Purchase Right shall be made (a) in cash, by check or in cash equivalent, (b) by such other consideration as may be approved by the Committee from time to time to the extent permitted by applicable law, or (c) by any combination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i w:val="false"/>
          <w:caps w:val="false"/>
          <w:smallCaps w:val="false"/>
          <w:sz w:val="20"/>
        </w:rPr>
        <w:t>Vesting and Restrictions on Transfer</w:t>
      </w:r>
      <w:r>
        <w:rPr>
          <w:rFonts w:ascii="Times New Roman;Times;Serif" w:hAnsi="Times New Roman;Times;Serif"/>
          <w:b w:val="false"/>
          <w:i w:val="false"/>
          <w:caps w:val="false"/>
          <w:smallCaps w:val="false"/>
          <w:sz w:val="20"/>
        </w:rPr>
        <w:t xml:space="preserve">. Shares issued pursuant to any Restricted Stock Award may (but need not) be made subject to Vesting Conditions based upon the satisfaction of such Service requirements, conditions, restrictions or performance criteria, including, without limitation, Performance Goals as described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w:t>
      </w:r>
      <w:r>
        <w:rPr>
          <w:rFonts w:ascii="Times New Roman;Times;Serif" w:hAnsi="Times New Roman;Times;Serif"/>
          <w:b w:val="false"/>
          <w:i w:val="false"/>
          <w:caps w:val="false"/>
          <w:smallCaps w:val="false"/>
          <w:sz w:val="20"/>
          <w:u w:val="single"/>
        </w:rPr>
        <w:t>Section 8.8</w:t>
      </w:r>
      <w:r>
        <w:rPr>
          <w:rFonts w:ascii="Times New Roman;Times;Serif" w:hAnsi="Times New Roman;Times;Serif"/>
          <w:b w:val="false"/>
          <w:i w:val="false"/>
          <w:caps w:val="false"/>
          <w:smallCaps w:val="false"/>
          <w:sz w:val="20"/>
        </w:rPr>
        <w:t>.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 </w:t>
      </w:r>
      <w:r>
        <w:rPr>
          <w:rFonts w:ascii="Times New Roman;Times;Serif" w:hAnsi="Times New Roman;Times;Serif"/>
          <w:b/>
          <w:i w:val="false"/>
          <w:caps w:val="false"/>
          <w:smallCaps w:val="false"/>
          <w:sz w:val="20"/>
        </w:rPr>
        <w:t>Voting Rights; Dividends and Distributions</w:t>
      </w:r>
      <w:r>
        <w:rPr>
          <w:rFonts w:ascii="Times New Roman;Times;Serif" w:hAnsi="Times New Roman;Times;Serif"/>
          <w:b w:val="false"/>
          <w:i w:val="false"/>
          <w:caps w:val="false"/>
          <w:smallCaps w:val="false"/>
          <w:sz w:val="20"/>
        </w:rPr>
        <w:t xml:space="preserve">. Except as provided in this Section,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xml:space="preserve">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such dividends and distributions shall be subject to the same Vesting Conditions as the shares subject to the Restricted Stock Award with respect to which such dividends or distributions were paid, and otherwise shall be paid no later than the end of the calendar year in which such dividends or distributions are paid to stockholders (or, if later, the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the third month following the date such dividends or distributions are paid to stockholders). In the event of a dividend or distribution paid in shares of Stock or other property or any other adjustment made upon a change in the capital structure of the Company as described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any and all new, substituted or additional securities or other property (other than regular, periodic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 </w:t>
      </w:r>
      <w:r>
        <w:rPr>
          <w:rFonts w:ascii="Times New Roman;Times;Serif" w:hAnsi="Times New Roman;Times;Serif"/>
          <w:b/>
          <w:i w:val="false"/>
          <w:caps w:val="false"/>
          <w:smallCaps w:val="false"/>
          <w:sz w:val="20"/>
        </w:rPr>
        <w:t>Effect of Termination of Service</w:t>
      </w:r>
      <w:r>
        <w:rPr>
          <w:rFonts w:ascii="Times New Roman;Times;Serif" w:hAnsi="Times New Roman;Times;Serif"/>
          <w:b w:val="false"/>
          <w:i w:val="false"/>
          <w:caps w:val="false"/>
          <w:smallCaps w:val="false"/>
          <w:sz w:val="20"/>
        </w:rPr>
        <w:t>.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8.8 </w:t>
      </w:r>
      <w:r>
        <w:rPr>
          <w:rFonts w:ascii="Times New Roman;Times;Serif" w:hAnsi="Times New Roman;Times;Serif"/>
          <w:b/>
          <w:i w:val="false"/>
          <w:caps w:val="false"/>
          <w:smallCaps w:val="false"/>
          <w:sz w:val="20"/>
        </w:rPr>
        <w:t>Nontransferability of Restricted Stock Award Rights</w:t>
      </w:r>
      <w:r>
        <w:rPr>
          <w:rFonts w:ascii="Times New Roman;Times;Serif" w:hAnsi="Times New Roman;Times;Serif"/>
          <w:b w:val="false"/>
          <w:i w:val="false"/>
          <w:caps w:val="false"/>
          <w:smallCaps w:val="false"/>
          <w:sz w:val="20"/>
        </w:rPr>
        <w:t>.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RESTRICTED STOCK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 Awards shall be evidenced by Award Agreements specifying the number of Restricted Stock Units subject to the Award, in such form as the Committee shall establish. Such Award Agreements may incorporate all or any of the terms of the Plan by reference and shall comply with and be subject to the following terms and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i w:val="false"/>
          <w:caps w:val="false"/>
          <w:smallCaps w:val="false"/>
          <w:sz w:val="20"/>
        </w:rPr>
        <w:t>Grant of Restricted Stock Unit Awards</w:t>
      </w:r>
      <w:r>
        <w:rPr>
          <w:rFonts w:ascii="Times New Roman;Times;Serif" w:hAnsi="Times New Roman;Times;Serif"/>
          <w:b w:val="false"/>
          <w:i w:val="false"/>
          <w:caps w:val="false"/>
          <w:smallCaps w:val="false"/>
          <w:sz w:val="20"/>
        </w:rPr>
        <w:t xml:space="preserve">. Restricted Stock Unit Awards may be granted upon such conditions as the Committee shall determine, including, without limitation, upon the attainment of one or more Performance Goals described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If either the grant of a Restricted Stock Unit Award or the Vesting Conditions with respect to such Award is to be contingent upon the attainment of one or more Performance Goals, the Committee shall follow procedures substantially equivalent to those set forth in </w:t>
      </w:r>
      <w:r>
        <w:rPr>
          <w:rFonts w:ascii="Times New Roman;Times;Serif" w:hAnsi="Times New Roman;Times;Serif"/>
          <w:b w:val="false"/>
          <w:i w:val="false"/>
          <w:caps w:val="false"/>
          <w:smallCaps w:val="false"/>
          <w:sz w:val="20"/>
          <w:u w:val="single"/>
        </w:rPr>
        <w:t>Sections 10.3</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10.5(a)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i w:val="false"/>
          <w:caps w:val="false"/>
          <w:smallCaps w:val="false"/>
          <w:sz w:val="20"/>
        </w:rPr>
        <w:t>Vesting</w:t>
      </w:r>
      <w:r>
        <w:rPr>
          <w:rFonts w:ascii="Times New Roman;Times;Serif" w:hAnsi="Times New Roman;Times;Serif"/>
          <w:b w:val="false"/>
          <w:i w:val="false"/>
          <w:caps w:val="false"/>
          <w:smallCaps w:val="false"/>
          <w:sz w:val="20"/>
        </w:rPr>
        <w:t xml:space="preserve">. Restricted Stock Unit Awards may (but need not) be made subject to Vesting Conditions based upon the satisfaction of such Service requirements, conditions, restrictions or performance criteria, including, without limitation, Performance Goals as described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as shall be established by the Committee and set forth in the Award Agreement evidencing such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i w:val="false"/>
          <w:caps w:val="false"/>
          <w:smallCaps w:val="false"/>
          <w:sz w:val="20"/>
        </w:rPr>
        <w:t>Voting Rights, Dividend Equivalent Rights and Distributions</w:t>
      </w:r>
      <w:r>
        <w:rPr>
          <w:rFonts w:ascii="Times New Roman;Times;Serif" w:hAnsi="Times New Roman;Times;Serif"/>
          <w:b w:val="false"/>
          <w:i w:val="false"/>
          <w:caps w:val="false"/>
          <w:smallCaps w:val="false"/>
          <w:sz w:val="20"/>
        </w:rPr>
        <w:t xml:space="preserve">.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to the nearest whole number), if any, to be credited shall be determined by dividing (a) the amount of cash dividends paid on the dividend payment date with respect to the number of shares of Stock represented by the Restricted Stock Units previously credited to the Participant by (b) the Fair Market Value per share of Stock on such date. Such cash amount or additional Restricted Stock Units shall be subject to the same terms and conditions and shall be settled in the same manner and at the same time as the Restricted Stock Units originally subject to the Restricted Stock Unit Award. In the event of a dividend or distribution paid in shares of Stock or other property or any other adjustment made upon a change in the capital structure of the Company as described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appropriate adjustments shall be made in the Participant’s Restricted Stock Unit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i w:val="false"/>
          <w:caps w:val="false"/>
          <w:smallCaps w:val="false"/>
          <w:sz w:val="20"/>
        </w:rPr>
        <w:t>Effect of Termination of Service</w:t>
      </w:r>
      <w:r>
        <w:rPr>
          <w:rFonts w:ascii="Times New Roman;Times;Serif" w:hAnsi="Times New Roman;Times;Serif"/>
          <w:b w:val="false"/>
          <w:i w:val="false"/>
          <w:caps w:val="false"/>
          <w:smallCaps w:val="false"/>
          <w:sz w:val="20"/>
        </w:rPr>
        <w:t>.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 </w:t>
      </w:r>
      <w:r>
        <w:rPr>
          <w:rFonts w:ascii="Times New Roman;Times;Serif" w:hAnsi="Times New Roman;Times;Serif"/>
          <w:b/>
          <w:i w:val="false"/>
          <w:caps w:val="false"/>
          <w:smallCaps w:val="false"/>
          <w:sz w:val="20"/>
        </w:rPr>
        <w:t>Settlement of Restricted Stock Unit Awards</w:t>
      </w:r>
      <w:r>
        <w:rPr>
          <w:rFonts w:ascii="Times New Roman;Times;Serif" w:hAnsi="Times New Roman;Times;Serif"/>
          <w:b w:val="false"/>
          <w:i w:val="false"/>
          <w:caps w:val="false"/>
          <w:smallCaps w:val="false"/>
          <w:sz w:val="20"/>
        </w:rPr>
        <w:t xml:space="preserve">. The Company shall issue to a Participant on the date on which Restricted Stock Units subject to the Participant’s Restricted Stock Unit Award vest or on such other date determined by the Committee in compliance with Section 409A, if applicable, and set forth in the Award Agreement one (1) share of Stock (and/or any other new, substituted or additional securities or other property pursuant to an adjustment described in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for each Restricted Stock Unit then becoming vested or otherwise to be settled on such date, subject to the withholding of applicable taxes, if any. The Committee, in its discretion, may provide in any Award Agreement evidencing a Restricted Stock Unit Award that if the settlement date with respect to any shares issuable upon vesting of Restricted Stock Units would otherwise occur on a day on which the sale of such shares would violate the provisions of the Trading Compliance Policy, then the settlement date shall be deferred until the next trading day on which the sale of such shares would not violate the Trading Compliance Policy but in any event no later than the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the third calendar month following the year in which such Restricted Stock Units vest.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or an Election (as defined in </w:t>
      </w:r>
      <w:r>
        <w:rPr>
          <w:rFonts w:ascii="Times New Roman;Times;Serif" w:hAnsi="Times New Roman;Times;Serif"/>
          <w:b w:val="false"/>
          <w:i w:val="false"/>
          <w:caps w:val="false"/>
          <w:smallCaps w:val="false"/>
          <w:sz w:val="20"/>
          <w:u w:val="single"/>
        </w:rPr>
        <w:t>Section 15.2</w:t>
      </w:r>
      <w:r>
        <w:rPr>
          <w:rFonts w:ascii="Times New Roman;Times;Serif" w:hAnsi="Times New Roman;Times;Serif"/>
          <w:b w:val="false"/>
          <w:i w:val="false"/>
          <w:caps w:val="false"/>
          <w:smallCaps w:val="false"/>
          <w:sz w:val="20"/>
        </w:rPr>
        <w:t>). Notwithstanding the foregoing, the Committee, in its discretion, may provide in an Award Agreement for settlement of any Restricted Stock Unit Award by payment to the Participant in cash of an amount equal to the Fair Market Value on the payment date of the shares of Stock or other property otherwise issuable to the Participant pursuant to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9.7 </w:t>
      </w:r>
      <w:r>
        <w:rPr>
          <w:rFonts w:ascii="Times New Roman;Times;Serif" w:hAnsi="Times New Roman;Times;Serif"/>
          <w:b/>
          <w:i w:val="false"/>
          <w:caps w:val="false"/>
          <w:smallCaps w:val="false"/>
          <w:sz w:val="20"/>
        </w:rPr>
        <w:t>Nontransferability of Restricted Stock Unit Awards</w:t>
      </w:r>
      <w:r>
        <w:rPr>
          <w:rFonts w:ascii="Times New Roman;Times;Serif" w:hAnsi="Times New Roman;Times;Serif"/>
          <w:b w:val="false"/>
          <w:i w:val="false"/>
          <w:caps w:val="false"/>
          <w:smallCaps w:val="false"/>
          <w:sz w:val="20"/>
        </w:rPr>
        <w:t>.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PERFORMANCE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Awards shall be evidenced by Award Agreements in such form as the Committee shall establish. Such Award Agreements may incorporate all or any of the terms of the Plan by reference and shall comply with and be subject to the following terms and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i w:val="false"/>
          <w:caps w:val="false"/>
          <w:smallCaps w:val="false"/>
          <w:sz w:val="20"/>
        </w:rPr>
        <w:t>Types of Performance Awards Authorized</w:t>
      </w:r>
      <w:r>
        <w:rPr>
          <w:rFonts w:ascii="Times New Roman;Times;Serif" w:hAnsi="Times New Roman;Times;Serif"/>
          <w:b w:val="false"/>
          <w:i w:val="false"/>
          <w:caps w:val="false"/>
          <w:smallCaps w:val="false"/>
          <w:sz w:val="20"/>
        </w:rPr>
        <w:t>.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i w:val="false"/>
          <w:caps w:val="false"/>
          <w:smallCaps w:val="false"/>
          <w:sz w:val="20"/>
        </w:rPr>
        <w:t>Initial Value of Performance Shares and Performance Units</w:t>
      </w:r>
      <w:r>
        <w:rPr>
          <w:rFonts w:ascii="Times New Roman;Times;Serif" w:hAnsi="Times New Roman;Times;Serif"/>
          <w:b w:val="false"/>
          <w:i w:val="false"/>
          <w:caps w:val="false"/>
          <w:smallCaps w:val="false"/>
          <w:sz w:val="20"/>
        </w:rPr>
        <w:t xml:space="preserve">. Unless otherwise provided by the Committee in granting a Performance Award, each Performance Share shall have an initial monetary value equal to the Fair Market Value of one (1) share of Stock, subject to adjustment as provided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 </w:t>
      </w:r>
      <w:r>
        <w:rPr>
          <w:rFonts w:ascii="Times New Roman;Times;Serif" w:hAnsi="Times New Roman;Times;Serif"/>
          <w:b/>
          <w:i w:val="false"/>
          <w:caps w:val="false"/>
          <w:smallCaps w:val="false"/>
          <w:sz w:val="20"/>
        </w:rPr>
        <w:t>Establishment of Performance Period, Performance Goals and Performance Award Formula</w:t>
      </w:r>
      <w:r>
        <w:rPr>
          <w:rFonts w:ascii="Times New Roman;Times;Serif" w:hAnsi="Times New Roman;Times;Serif"/>
          <w:b w:val="false"/>
          <w:i w:val="false"/>
          <w:caps w:val="false"/>
          <w:smallCaps w:val="false"/>
          <w:sz w:val="20"/>
        </w:rPr>
        <w:t>.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 value of the Performance Award to be paid to the Participant. The Company shall notify each Participant granted a Performance Award of the terms of such Award, including the Performance Period, Performance Goal(s) and Performance Award Formula.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r>
        <w:rPr>
          <w:rFonts w:ascii="Times New Roman;Times;Serif" w:hAnsi="Times New Roman;Times;Serif"/>
          <w:b/>
          <w:i w:val="false"/>
          <w:caps w:val="false"/>
          <w:smallCaps w:val="false"/>
          <w:sz w:val="20"/>
        </w:rPr>
        <w:t>Measurement of Performance Goals</w:t>
      </w:r>
      <w:r>
        <w:rPr>
          <w:rFonts w:ascii="Times New Roman;Times;Serif" w:hAnsi="Times New Roman;Times;Serif"/>
          <w:b w:val="false"/>
          <w:i w:val="false"/>
          <w:caps w:val="false"/>
          <w:smallCaps w:val="false"/>
          <w:sz w:val="20"/>
        </w:rPr>
        <w:t>. Performance Goals shall be established by the Committee on the basis of targets to be attained (“</w:t>
      </w:r>
      <w:r>
        <w:rPr>
          <w:rFonts w:ascii="Times New Roman;Times;Serif" w:hAnsi="Times New Roman;Times;Serif"/>
          <w:b/>
          <w:i w:val="false"/>
          <w:caps w:val="false"/>
          <w:smallCaps w:val="false"/>
          <w:sz w:val="20"/>
        </w:rPr>
        <w:t>Performance Targets</w:t>
      </w:r>
      <w:r>
        <w:rPr>
          <w:rFonts w:ascii="Times New Roman;Times;Serif" w:hAnsi="Times New Roman;Times;Serif"/>
          <w:b w:val="false"/>
          <w:i w:val="false"/>
          <w:caps w:val="false"/>
          <w:smallCaps w:val="false"/>
          <w:sz w:val="20"/>
        </w:rPr>
        <w:t>”) with respect to one or more measures of business or financial performance or other criteria established by the Committee (each, a “</w:t>
      </w:r>
      <w:r>
        <w:rPr>
          <w:rFonts w:ascii="Times New Roman;Times;Serif" w:hAnsi="Times New Roman;Times;Serif"/>
          <w:b/>
          <w:i w:val="false"/>
          <w:caps w:val="false"/>
          <w:smallCaps w:val="false"/>
          <w:sz w:val="20"/>
        </w:rPr>
        <w:t>Performance Measure</w:t>
      </w:r>
      <w:r>
        <w:rPr>
          <w:rFonts w:ascii="Times New Roman;Times;Serif" w:hAnsi="Times New Roman;Times;Serif"/>
          <w:b w:val="false"/>
          <w:i w:val="false"/>
          <w:caps w:val="false"/>
          <w:smallCaps w:val="false"/>
          <w:sz w:val="20"/>
        </w:rPr>
        <w:t>”), subject to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Performance Measures</w:t>
      </w:r>
      <w:r>
        <w:rPr>
          <w:rFonts w:ascii="Times New Roman;Times;Serif" w:hAnsi="Times New Roman;Times;Serif"/>
          <w:b w:val="false"/>
          <w:i w:val="false"/>
          <w:caps w:val="false"/>
          <w:smallCaps w:val="false"/>
          <w:sz w:val="20"/>
        </w:rPr>
        <w:t>. Performance Measures based on objective criteria shall be calculated in accordance with the Company’s financial statements, or, if such measures are not reported in the Company’s financial statements, they shall be calculated in accordance with generally accepted accounting principles, a method used generally in the Company’s industry, or in accordance with a methodology established by the Committee prior to the grant of the Performance Award. Performance Measures based on subjective criteria shall be determined on the basis established by the Committee in granting the Award. As specified by the Committee, Performance Measures may be calculated with respect to the Company and each Subsidiary Corporation consolidated therewith for financial reporting purposes, one or more Subsidiary Corporations or such division or other business unit of any of them selected by the Committee. Unless otherwise determined by the Committee prior to the grant of the Performance Award, the Performance Measures applicable to the Performance Award shall be calculated prior to the accrual of expense for any Performance Award for the same Performance Period and excluding the effect (whether positive or negative) on the Performance Measures of any change in accounting standards or any unusual or infrequently occurring event or transaction,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 Performance Measures may be based upon one or more of the following, without limitation, as determined by the Committee: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revenue;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sales;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expenses;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operating income;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gross margin;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operating margin;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earnings before any one or more of: stock-based compensation expense, interest, taxes, depreciation and amortization;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pre-tax profit;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net operating income;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net income;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economic value added;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free cash flow;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operating cash flow;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balance of cash, cash equivalents and marketable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stock price;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earnings per share;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return on stockholder equity;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return on capital;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return on assets;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return on investment;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total stockholder return;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employee satisfaction;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employee retention;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market share;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customer satisfaction;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product development;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 research and development expenses;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completion of an identified special project;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(xxix) completion of a joint venture or other corporate transaction;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 personal performance objectives established for an individual Participant or group of Participants.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Committee retains discretion to select any other Performance Measures whether or not listed herein.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Targets</w:t>
      </w:r>
      <w:r>
        <w:rPr>
          <w:rFonts w:ascii="Times New Roman;Times;Serif" w:hAnsi="Times New Roman;Times;Serif"/>
          <w:b w:val="false"/>
          <w:i w:val="false"/>
          <w:caps w:val="false"/>
          <w:smallCaps w:val="false"/>
          <w:sz w:val="20"/>
        </w:rPr>
        <w:t>. Performance Targets may include a minimum, maximum, target level and intermediate levels of performance, with the final value of a Performance Award determined under the applicable Performance Award Formula by the Performance Target level attained during the applicable Performance Period. A Performance Target may be stated as an absolute value, an increase or decrease in a value, or as a value determined relative to an index, budget or other standard selected by the Committee.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10.5 </w:t>
      </w:r>
      <w:r>
        <w:rPr>
          <w:rFonts w:ascii="Times New Roman;Times;Serif" w:hAnsi="Times New Roman;Times;Serif"/>
          <w:b/>
          <w:i w:val="false"/>
          <w:caps w:val="false"/>
          <w:smallCaps w:val="false"/>
          <w:sz w:val="20"/>
        </w:rPr>
        <w:t>Settlement of Performance Awards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Determination of Final Value</w:t>
      </w:r>
      <w:r>
        <w:rPr>
          <w:rFonts w:ascii="Times New Roman;Times;Serif" w:hAnsi="Times New Roman;Times;Serif"/>
          <w:b w:val="false"/>
          <w:i w:val="false"/>
          <w:caps w:val="false"/>
          <w:smallCaps w:val="false"/>
          <w:sz w:val="20"/>
        </w:rPr>
        <w:t>. As soon as practicable following the completion of the Performance Period applicable to a Performance Award, the Committee shall determine the extent to which the applicable Performance Goals have been attained and the resulting final value of the Award earned by the Participant and to be paid upon its settlement in accordance with the applicable Performance Award Formula.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Discretionary Adjustment of Award Formula</w:t>
      </w:r>
      <w:r>
        <w:rPr>
          <w:rFonts w:ascii="Times New Roman;Times;Serif" w:hAnsi="Times New Roman;Times;Serif"/>
          <w:b w:val="false"/>
          <w:i w:val="false"/>
          <w:caps w:val="false"/>
          <w:smallCaps w:val="false"/>
          <w:sz w:val="20"/>
        </w:rPr>
        <w:t>. In its discretion, the Committee may, either at the time it grants a Performance Award or at any time thereafter, provide for the positive or negative adjustment of the Performance Award Formula applicable to a Performance Award to reflect such Participant’s individual performance in his or her position with the Company or such other factors as the Committee may determine.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Effect of Leaves of Absence</w:t>
      </w:r>
      <w:r>
        <w:rPr>
          <w:rFonts w:ascii="Times New Roman;Times;Serif" w:hAnsi="Times New Roman;Times;Serif"/>
          <w:b w:val="false"/>
          <w:i w:val="false"/>
          <w:caps w:val="false"/>
          <w:smallCaps w:val="false"/>
          <w:sz w:val="20"/>
        </w:rPr>
        <w:t>. Unless otherwise required by law or a Participant’s Award Agreement, payment of the final value, if any, of a Performance Award held by a Participant who has taken in excess of thirty (30) days in unpaid leaves of absence during a Performance Period shall be prorated on the basis of the number of days of the Participant’s Service during the Performance Period during which the Participant was not on an unpaid leave of absence.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Notice to Participants</w:t>
      </w:r>
      <w:r>
        <w:rPr>
          <w:rFonts w:ascii="Times New Roman;Times;Serif" w:hAnsi="Times New Roman;Times;Serif"/>
          <w:b w:val="false"/>
          <w:i w:val="false"/>
          <w:caps w:val="false"/>
          <w:smallCaps w:val="false"/>
          <w:sz w:val="20"/>
        </w:rPr>
        <w:t xml:space="preserve">. As soon as practicable following the Committee’s determination in accordance with </w:t>
      </w:r>
      <w:r>
        <w:rPr>
          <w:rFonts w:ascii="Times New Roman;Times;Serif" w:hAnsi="Times New Roman;Times;Serif"/>
          <w:b w:val="false"/>
          <w:i w:val="false"/>
          <w:caps w:val="false"/>
          <w:smallCaps w:val="false"/>
          <w:sz w:val="20"/>
          <w:u w:val="single"/>
        </w:rPr>
        <w:t>Sections 10.5(a)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the Company shall notify each Participant of the determination of the Committee.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Payment in Settlement of Performance Awards</w:t>
      </w:r>
      <w:r>
        <w:rPr>
          <w:rFonts w:ascii="Times New Roman;Times;Serif" w:hAnsi="Times New Roman;Times;Serif"/>
          <w:b w:val="false"/>
          <w:i w:val="false"/>
          <w:caps w:val="false"/>
          <w:smallCaps w:val="false"/>
          <w:sz w:val="20"/>
        </w:rPr>
        <w:t xml:space="preserve">. As soon as practicable following the Committee’s determination in accordance with </w:t>
      </w:r>
      <w:r>
        <w:rPr>
          <w:rFonts w:ascii="Times New Roman;Times;Serif" w:hAnsi="Times New Roman;Times;Serif"/>
          <w:b w:val="false"/>
          <w:i w:val="false"/>
          <w:caps w:val="false"/>
          <w:smallCaps w:val="false"/>
          <w:sz w:val="20"/>
          <w:u w:val="single"/>
        </w:rPr>
        <w:t>Sections 10.5(a)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but in any event within the Short-Term Deferral Period described in </w:t>
      </w:r>
      <w:r>
        <w:rPr>
          <w:rFonts w:ascii="Times New Roman;Times;Serif" w:hAnsi="Times New Roman;Times;Serif"/>
          <w:b w:val="false"/>
          <w:i w:val="false"/>
          <w:caps w:val="false"/>
          <w:smallCaps w:val="false"/>
          <w:sz w:val="20"/>
          <w:u w:val="single"/>
        </w:rPr>
        <w:t>Section 15.1</w:t>
      </w:r>
      <w:r>
        <w:rPr>
          <w:rFonts w:ascii="Times New Roman;Times;Serif" w:hAnsi="Times New Roman;Times;Serif"/>
          <w:b w:val="false"/>
          <w:i w:val="false"/>
          <w:caps w:val="false"/>
          <w:smallCaps w:val="false"/>
          <w:sz w:val="20"/>
        </w:rPr>
        <w:t xml:space="preserve">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and set forth in the Award Agreement.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the Participant pursuant to this Section, and such deferred payment date(s) elected by the Participant shall be set forth in the Award Agreement or an Election. If any payment is to be made on a deferred basis, the Committee may, but shall not be obligated to, provide for the payment during the deferral period of Dividend Equivalent Rights or interest.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Provisions Applicable to Payment in Shares</w:t>
      </w:r>
      <w:r>
        <w:rPr>
          <w:rFonts w:ascii="Times New Roman;Times;Serif" w:hAnsi="Times New Roman;Times;Serif"/>
          <w:b w:val="false"/>
          <w:i w:val="false"/>
          <w:caps w:val="false"/>
          <w:smallCaps w:val="false"/>
          <w:sz w:val="20"/>
        </w:rPr>
        <w:t xml:space="preserve">. If payment is to be made in shares of Stock, the number of such shares shall be 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xml:space="preserve">. Any shares subject to Vesting Conditions shall be evidenced by an appropriate Award Agreement and shall be subject to the provisions of </w:t>
      </w:r>
      <w:r>
        <w:rPr>
          <w:rFonts w:ascii="Times New Roman;Times;Serif" w:hAnsi="Times New Roman;Times;Serif"/>
          <w:b w:val="false"/>
          <w:i w:val="false"/>
          <w:caps w:val="false"/>
          <w:smallCaps w:val="false"/>
          <w:sz w:val="20"/>
          <w:u w:val="single"/>
        </w:rPr>
        <w:t>Sections 8.5</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8.8</w:t>
      </w:r>
      <w:r>
        <w:rPr>
          <w:rFonts w:ascii="Times New Roman;Times;Serif" w:hAnsi="Times New Roman;Times;Serif"/>
          <w:b w:val="false"/>
          <w:i w:val="false"/>
          <w:caps w:val="false"/>
          <w:smallCaps w:val="false"/>
          <w:sz w:val="20"/>
        </w:rPr>
        <w:t xml:space="preserve">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10.6 </w:t>
      </w:r>
      <w:r>
        <w:rPr>
          <w:rFonts w:ascii="Times New Roman;Times;Serif" w:hAnsi="Times New Roman;Times;Serif"/>
          <w:b/>
          <w:i w:val="false"/>
          <w:caps w:val="false"/>
          <w:smallCaps w:val="false"/>
          <w:sz w:val="20"/>
        </w:rPr>
        <w:t>Voting Rights; Dividend Equivalent Rights and Distributions</w:t>
      </w:r>
      <w:r>
        <w:rPr>
          <w:rFonts w:ascii="Times New Roman;Times;Serif" w:hAnsi="Times New Roman;Times;Serif"/>
          <w:b w:val="false"/>
          <w:i w:val="false"/>
          <w:caps w:val="false"/>
          <w:smallCaps w:val="false"/>
          <w:sz w:val="20"/>
        </w:rPr>
        <w:t xml:space="preserve">.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to the nearest whole number), if any,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if any, shall be accumulated and paid to the extent that the related Performance Shares become nonforfeitable. Settlement of Dividend Equivalent Rights may be made in cash, shares of Stock, or a combination thereof as determined by the Committee, and may be paid on the same basis as settlement of the related Performance Share as provided in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Dividend Equivalent Rights shall not be paid with respect to Performance Units. In the event of a dividend or distribution paid in shares of Stock or other property or any other adjustment made upon a change in the capital structure of the Company as described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appropriate adjustments shall be made in the Participant’s Performance Share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Performance Share Award, and all such new, substituted or additional securities or other property shall be immediately subject to the same Performance Goals as are applicable to the Award.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10.7 </w:t>
      </w:r>
      <w:r>
        <w:rPr>
          <w:rFonts w:ascii="Times New Roman;Times;Serif" w:hAnsi="Times New Roman;Times;Serif"/>
          <w:b/>
          <w:i w:val="false"/>
          <w:caps w:val="false"/>
          <w:smallCaps w:val="false"/>
          <w:sz w:val="20"/>
        </w:rPr>
        <w:t>Effect of Termination of Service</w:t>
      </w:r>
      <w:r>
        <w:rPr>
          <w:rFonts w:ascii="Times New Roman;Times;Serif" w:hAnsi="Times New Roman;Times;Serif"/>
          <w:b w:val="false"/>
          <w:i w:val="false"/>
          <w:caps w:val="false"/>
          <w:smallCaps w:val="false"/>
          <w:sz w:val="20"/>
        </w:rPr>
        <w:t>. Unless otherwise provided by the Committee and set forth in the Award Agreement evidencing a Performance Award, if the Participant’s Service terminates for any reason before the completion of the Performance Period applicable to the Performance Award, the Award shall be forfeited.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10.8 </w:t>
      </w:r>
      <w:r>
        <w:rPr>
          <w:rFonts w:ascii="Times New Roman;Times;Serif" w:hAnsi="Times New Roman;Times;Serif"/>
          <w:b/>
          <w:i w:val="false"/>
          <w:caps w:val="false"/>
          <w:smallCaps w:val="false"/>
          <w:sz w:val="20"/>
        </w:rPr>
        <w:t>Nontransferability of Performance Awards</w:t>
      </w:r>
      <w:r>
        <w:rPr>
          <w:rFonts w:ascii="Times New Roman;Times;Serif" w:hAnsi="Times New Roman;Times;Serif"/>
          <w:b w:val="false"/>
          <w:i w:val="false"/>
          <w:caps w:val="false"/>
          <w:smallCaps w:val="false"/>
          <w:sz w:val="20"/>
        </w:rPr>
        <w:t>.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CASH-BASED AWARDS AND OTHER STOCK-BASED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Cash-Based Awards and Other Stock-Based Awards shall be evidenced by Award Agreements in such form as the Committee shall establish. Such Award Agreements may incorporate all or any of the terms of the Plan by reference and shall comply with and be subject to the following terms and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 </w:t>
      </w:r>
      <w:r>
        <w:rPr>
          <w:rFonts w:ascii="Times New Roman;Times;Serif" w:hAnsi="Times New Roman;Times;Serif"/>
          <w:b/>
          <w:i w:val="false"/>
          <w:caps w:val="false"/>
          <w:smallCaps w:val="false"/>
          <w:sz w:val="20"/>
        </w:rPr>
        <w:t>Grant of Cash-Based Awards</w:t>
      </w:r>
      <w:r>
        <w:rPr>
          <w:rFonts w:ascii="Times New Roman;Times;Serif" w:hAnsi="Times New Roman;Times;Serif"/>
          <w:b w:val="false"/>
          <w:i w:val="false"/>
          <w:caps w:val="false"/>
          <w:smallCaps w:val="false"/>
          <w:sz w:val="20"/>
        </w:rPr>
        <w:t>. Subject to the provisions of the Plan, the Committee, at any time and from time to time, may grant Cash-Based Awards to Participants in such amounts and upon such terms and conditions, including the achievement of performance criteria, as the Committee may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r>
        <w:rPr>
          <w:rFonts w:ascii="Times New Roman;Times;Serif" w:hAnsi="Times New Roman;Times;Serif"/>
          <w:b/>
          <w:i w:val="false"/>
          <w:caps w:val="false"/>
          <w:smallCaps w:val="false"/>
          <w:sz w:val="20"/>
        </w:rPr>
        <w:t>Grant of Other Stock-Based Awards</w:t>
      </w:r>
      <w:r>
        <w:rPr>
          <w:rFonts w:ascii="Times New Roman;Times;Serif" w:hAnsi="Times New Roman;Times;Serif"/>
          <w:b w:val="false"/>
          <w:i w:val="false"/>
          <w:caps w:val="false"/>
          <w:smallCaps w:val="false"/>
          <w:sz w:val="20"/>
        </w:rPr>
        <w:t>.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Other Stock-Based Awards may be made available as a form of payment in the settlement of other Awards or as payment in lieu of compensation to which a Participant is otherwise entitled. Other Stock-Based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11.3 </w:t>
      </w:r>
      <w:r>
        <w:rPr>
          <w:rFonts w:ascii="Times New Roman;Times;Serif" w:hAnsi="Times New Roman;Times;Serif"/>
          <w:b/>
          <w:i w:val="false"/>
          <w:caps w:val="false"/>
          <w:smallCaps w:val="false"/>
          <w:sz w:val="20"/>
        </w:rPr>
        <w:t>Value of Cash-Based and Other Stock-Based Awards</w:t>
      </w:r>
      <w:r>
        <w:rPr>
          <w:rFonts w:ascii="Times New Roman;Times;Serif" w:hAnsi="Times New Roman;Times;Serif"/>
          <w:b w:val="false"/>
          <w:i w:val="false"/>
          <w:caps w:val="false"/>
          <w:smallCaps w:val="false"/>
          <w:sz w:val="20"/>
        </w:rPr>
        <w:t xml:space="preserve">. Each Cash-Based Award shall specify a monetary payment amount or payment range as determined by the Committee. Each Other Stock-Based Award shall be expressed in terms of shares of Stock or units based on such shares of Stock, as determined by the Committee. The Committee may require the satisfaction of such Service requirements, conditions, restrictions or performance criteria, including, without limitation, Performance Goals as described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11.4 </w:t>
      </w:r>
      <w:r>
        <w:rPr>
          <w:rFonts w:ascii="Times New Roman;Times;Serif" w:hAnsi="Times New Roman;Times;Serif"/>
          <w:b/>
          <w:i w:val="false"/>
          <w:caps w:val="false"/>
          <w:smallCaps w:val="false"/>
          <w:sz w:val="20"/>
        </w:rPr>
        <w:t>Payment or Settlement of Cash-Based Awards and Other Stock-Based Awards</w:t>
      </w:r>
      <w:r>
        <w:rPr>
          <w:rFonts w:ascii="Times New Roman;Times;Serif" w:hAnsi="Times New Roman;Times;Serif"/>
          <w:b w:val="false"/>
          <w:i w:val="false"/>
          <w:caps w:val="false"/>
          <w:smallCaps w:val="false"/>
          <w:sz w:val="20"/>
        </w:rPr>
        <w:t>. Payment or settlement, if any, with respect to a Cash-Based Award or an Other Stock-Based Award shall be made in accordance with the terms of the Award, in cash, shares of Stock or other securities or any combination thereof as the Committee determines and set forth in the Award Agreement. To the extent applicable, payment or settlement with respect to each Cash-Based Award and Other Stock-Based Award shall be made in compliance with the requirements of Section 409A.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11.5 </w:t>
      </w:r>
      <w:r>
        <w:rPr>
          <w:rFonts w:ascii="Times New Roman;Times;Serif" w:hAnsi="Times New Roman;Times;Serif"/>
          <w:b/>
          <w:i w:val="false"/>
          <w:caps w:val="false"/>
          <w:smallCaps w:val="false"/>
          <w:sz w:val="20"/>
        </w:rPr>
        <w:t>Voting Rights; Dividend Equivalent Rights and Distributions</w:t>
      </w:r>
      <w:r>
        <w:rPr>
          <w:rFonts w:ascii="Times New Roman;Times;Serif" w:hAnsi="Times New Roman;Times;Serif"/>
          <w:b w:val="false"/>
          <w:i w:val="false"/>
          <w:caps w:val="false"/>
          <w:smallCaps w:val="false"/>
          <w:sz w:val="20"/>
        </w:rPr>
        <w:t xml:space="preserve">.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Dividend Equivalent Rights shall not be granted with respect to Cash-Based Awards. In the event of a dividend or distribution paid in shares of Stock or other property or any other adjustment made upon a change in the capital structure of the Company as described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appropriate adjustments shall be made in the Participant’s Other Stock-Based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such Award, and all such new, substituted or additional securities or other property shall be immediately subject to the same Vesting Conditions and performance criteria, if any, as are applicable to the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11.6 </w:t>
      </w:r>
      <w:r>
        <w:rPr>
          <w:rFonts w:ascii="Times New Roman;Times;Serif" w:hAnsi="Times New Roman;Times;Serif"/>
          <w:b/>
          <w:i w:val="false"/>
          <w:caps w:val="false"/>
          <w:smallCaps w:val="false"/>
          <w:sz w:val="20"/>
        </w:rPr>
        <w:t>Effect of Termination of Service</w:t>
      </w:r>
      <w:r>
        <w:rPr>
          <w:rFonts w:ascii="Times New Roman;Times;Serif" w:hAnsi="Times New Roman;Times;Serif"/>
          <w:b w:val="false"/>
          <w:i w:val="false"/>
          <w:caps w:val="false"/>
          <w:smallCaps w:val="false"/>
          <w:sz w:val="20"/>
        </w:rPr>
        <w:t>.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11.7 </w:t>
      </w:r>
      <w:r>
        <w:rPr>
          <w:rFonts w:ascii="Times New Roman;Times;Serif" w:hAnsi="Times New Roman;Times;Serif"/>
          <w:b/>
          <w:i w:val="false"/>
          <w:caps w:val="false"/>
          <w:smallCaps w:val="false"/>
          <w:sz w:val="20"/>
        </w:rPr>
        <w:t>Nontransferability of Cash-Based Awards and Other Stock-Based Awards</w:t>
      </w:r>
      <w:r>
        <w:rPr>
          <w:rFonts w:ascii="Times New Roman;Times;Serif" w:hAnsi="Times New Roman;Times;Serif"/>
          <w:b w:val="false"/>
          <w:i w:val="false"/>
          <w:caps w:val="false"/>
          <w:smallCaps w:val="false"/>
          <w:sz w:val="20"/>
        </w:rPr>
        <w:t>.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STANDARD FORMS OF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 </w:t>
      </w:r>
      <w:r>
        <w:rPr>
          <w:rFonts w:ascii="Times New Roman;Times;Serif" w:hAnsi="Times New Roman;Times;Serif"/>
          <w:b/>
          <w:i w:val="false"/>
          <w:caps w:val="false"/>
          <w:smallCaps w:val="false"/>
          <w:sz w:val="20"/>
        </w:rPr>
        <w:t>Award Agreements</w:t>
      </w:r>
      <w:r>
        <w:rPr>
          <w:rFonts w:ascii="Times New Roman;Times;Serif" w:hAnsi="Times New Roman;Times;Serif"/>
          <w:b w:val="false"/>
          <w:i w:val="false"/>
          <w:caps w:val="false"/>
          <w:smallCaps w:val="false"/>
          <w:sz w:val="20"/>
        </w:rPr>
        <w:t>.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Company-executed Award Agreement, which execution may be evidenced by electronic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 </w:t>
      </w:r>
      <w:r>
        <w:rPr>
          <w:rFonts w:ascii="Times New Roman;Times;Serif" w:hAnsi="Times New Roman;Times;Serif"/>
          <w:b/>
          <w:i w:val="false"/>
          <w:caps w:val="false"/>
          <w:smallCaps w:val="false"/>
          <w:sz w:val="20"/>
        </w:rPr>
        <w:t>Authority to Vary Terms</w:t>
      </w:r>
      <w:r>
        <w:rPr>
          <w:rFonts w:ascii="Times New Roman;Times;Serif" w:hAnsi="Times New Roman;Times;Serif"/>
          <w:b w:val="false"/>
          <w:i w:val="false"/>
          <w:caps w:val="false"/>
          <w:smallCaps w:val="false"/>
          <w:sz w:val="20"/>
        </w:rPr>
        <w:t xml:space="preserve">. The Committee shall have the authority from time to time to vary the terms of any standard form of Award Agreement either in connection with the grant or amendment of an individual Award or in connection with the authorization of a new standard form or forms;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terms and conditions of any such new, revised or amended standard form or forms of Award Agreement are not inconsistent with the terms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CHANGE IN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 </w:t>
      </w:r>
      <w:r>
        <w:rPr>
          <w:rFonts w:ascii="Times New Roman;Times;Serif" w:hAnsi="Times New Roman;Times;Serif"/>
          <w:b/>
          <w:i w:val="false"/>
          <w:caps w:val="false"/>
          <w:smallCaps w:val="false"/>
          <w:sz w:val="20"/>
        </w:rPr>
        <w:t>Effect of Change in Control on Awards</w:t>
      </w:r>
      <w:r>
        <w:rPr>
          <w:rFonts w:ascii="Times New Roman;Times;Serif" w:hAnsi="Times New Roman;Times;Serif"/>
          <w:b w:val="false"/>
          <w:i w:val="false"/>
          <w:caps w:val="false"/>
          <w:smallCaps w:val="false"/>
          <w:sz w:val="20"/>
        </w:rPr>
        <w:t>. In the event of a Change in Control, outstanding Awards shall be subject to the definitive agreement entered into by the Company in connection with the Change in Control. Subject to the requirements and limitations of Section 409A, if applicable, the Committee may provide in an Award Agreement or otherwise for any one or more of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Accelerated Vesting</w:t>
      </w:r>
      <w:r>
        <w:rPr>
          <w:rFonts w:ascii="Times New Roman;Times;Serif" w:hAnsi="Times New Roman;Times;Serif"/>
          <w:b w:val="false"/>
          <w:i w:val="false"/>
          <w:caps w:val="false"/>
          <w:smallCaps w:val="false"/>
          <w:sz w:val="20"/>
        </w:rPr>
        <w:t>. In its discretion, the Committee may provide in the grant of any Award or at any other time may take such action 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the Change in Control, and to such extent as the Committee determines.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Assumption, Continuation or Substitution</w:t>
      </w:r>
      <w:r>
        <w:rPr>
          <w:rFonts w:ascii="Times New Roman;Times;Serif" w:hAnsi="Times New Roman;Times;Serif"/>
          <w:b w:val="false"/>
          <w:i w:val="false"/>
          <w:caps w:val="false"/>
          <w:smallCaps w:val="false"/>
          <w:sz w:val="20"/>
        </w:rPr>
        <w:t>. In the event of a Change in Control, the surviving, continuing, successor, or purchasing corporation or other business entity or parent thereof, as the case may be (the “</w:t>
      </w:r>
      <w:r>
        <w:rPr>
          <w:rFonts w:ascii="Times New Roman;Times;Serif" w:hAnsi="Times New Roman;Times;Serif"/>
          <w:b/>
          <w:i w:val="false"/>
          <w:caps w:val="false"/>
          <w:smallCaps w:val="false"/>
          <w:sz w:val="20"/>
        </w:rPr>
        <w:t>Acquiror</w:t>
      </w:r>
      <w:r>
        <w:rPr>
          <w:rFonts w:ascii="Times New Roman;Times;Serif" w:hAnsi="Times New Roman;Times;Serif"/>
          <w:b w:val="false"/>
          <w:i w:val="false"/>
          <w:caps w:val="false"/>
          <w:smallCaps w:val="false"/>
          <w:sz w:val="20"/>
        </w:rPr>
        <w:t xml:space="preserve">”),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with appropriate adjustments in accordance with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such consideration is not solely common stock of the Acquiror, the Committee may, with the consent of the Acquiror,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neither assumed or continued by the Acquiror in connection with the Change in Control nor exercised or settled as of the time of consummation of the Change in Control shall terminate and cease to be outstanding effective as of the time of consummation of the Change in Control.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Cash-Out of Outstanding Stock-Based Awards</w:t>
      </w:r>
      <w:r>
        <w:rPr>
          <w:rFonts w:ascii="Times New Roman;Times;Serif" w:hAnsi="Times New Roman;Times;Serif"/>
          <w:b w:val="false"/>
          <w:i w:val="false"/>
          <w:caps w:val="false"/>
          <w:smallCaps w:val="false"/>
          <w:sz w:val="20"/>
        </w:rPr>
        <w:t>. The Committee may, in its discretion and without the consent of any Participant, determine that, 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notice or payment of consideration to the holder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Adjustments and Earnouts</w:t>
      </w:r>
      <w:r>
        <w:rPr>
          <w:rFonts w:ascii="Times New Roman;Times;Serif" w:hAnsi="Times New Roman;Times;Serif"/>
          <w:b w:val="false"/>
          <w:i w:val="false"/>
          <w:caps w:val="false"/>
          <w:smallCaps w:val="false"/>
          <w:sz w:val="20"/>
        </w:rPr>
        <w:t xml:space="preserve">. In making any determination pursuant to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in the event of a Change in Control, the Committee may, in its discretion, determine that an Award shall or shall not be subject to the same post-closing purchase price adjustments, escrow terms, offset rights, holdback terms, earnouts and similar conditions as the other holders of the Company’s Stock, subject to any limitations or reductions as may be necessary to comply with Section 409A or Section 424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13.2 </w:t>
      </w:r>
      <w:r>
        <w:rPr>
          <w:rFonts w:ascii="Times New Roman;Times;Serif" w:hAnsi="Times New Roman;Times;Serif"/>
          <w:b/>
          <w:i w:val="false"/>
          <w:caps w:val="false"/>
          <w:smallCaps w:val="false"/>
          <w:sz w:val="20"/>
        </w:rPr>
        <w:t>Effect of Change in Control on Nonemployee Director Awards</w:t>
      </w:r>
      <w:r>
        <w:rPr>
          <w:rFonts w:ascii="Times New Roman;Times;Serif" w:hAnsi="Times New Roman;Times;Serif"/>
          <w:b w:val="false"/>
          <w:i w:val="false"/>
          <w:caps w:val="false"/>
          <w:smallCaps w:val="false"/>
          <w:sz w:val="20"/>
        </w:rPr>
        <w:t xml:space="preserve">. Subject to the requirements and limitations of Section 409A, if applicable, including as provided by </w:t>
      </w:r>
      <w:r>
        <w:rPr>
          <w:rFonts w:ascii="Times New Roman;Times;Serif" w:hAnsi="Times New Roman;Times;Serif"/>
          <w:b w:val="false"/>
          <w:i w:val="false"/>
          <w:caps w:val="false"/>
          <w:smallCaps w:val="false"/>
          <w:sz w:val="20"/>
          <w:u w:val="single"/>
        </w:rPr>
        <w:t>Section 15.4(f)</w:t>
      </w:r>
      <w:r>
        <w:rPr>
          <w:rFonts w:ascii="Times New Roman;Times;Serif" w:hAnsi="Times New Roman;Times;Serif"/>
          <w:b w:val="false"/>
          <w:i w:val="false"/>
          <w:caps w:val="false"/>
          <w:smallCaps w:val="false"/>
          <w:sz w:val="20"/>
        </w:rPr>
        <w:t xml:space="preserve">, in the event of a Change in Control, each outstanding Nonemployee Director Award shall become immediately exercisable and vested in full and, except to the extent assumed, continued or substituted for pursuant to </w:t>
      </w:r>
      <w:r>
        <w:rPr>
          <w:rFonts w:ascii="Times New Roman;Times;Serif" w:hAnsi="Times New Roman;Times;Serif"/>
          <w:b w:val="false"/>
          <w:i w:val="false"/>
          <w:caps w:val="false"/>
          <w:smallCaps w:val="false"/>
          <w:sz w:val="20"/>
          <w:u w:val="single"/>
        </w:rPr>
        <w:t>Section 13.1(b)</w:t>
      </w:r>
      <w:r>
        <w:rPr>
          <w:rFonts w:ascii="Times New Roman;Times;Serif" w:hAnsi="Times New Roman;Times;Serif"/>
          <w:b w:val="false"/>
          <w:i w:val="false"/>
          <w:caps w:val="false"/>
          <w:smallCaps w:val="false"/>
          <w:sz w:val="20"/>
        </w:rPr>
        <w:t xml:space="preserve"> or otherwise restricted by Section 409A, shall be settled effective immediately prior to the time of consummation of the Change in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13.3 </w:t>
      </w:r>
      <w:r>
        <w:rPr>
          <w:rFonts w:ascii="Times New Roman;Times;Serif" w:hAnsi="Times New Roman;Times;Serif"/>
          <w:b/>
          <w:i w:val="false"/>
          <w:caps w:val="false"/>
          <w:smallCaps w:val="false"/>
          <w:sz w:val="20"/>
        </w:rPr>
        <w:t>Federal Excise Tax Under Section 4999 of the Code</w:t>
      </w:r>
      <w:r>
        <w:rPr>
          <w:rFonts w:ascii="Times New Roman;Times;Serif" w:hAnsi="Times New Roman;Times;Serif"/>
          <w:b w:val="false"/>
          <w:i w:val="false"/>
          <w:caps w:val="false"/>
          <w:smallCaps w:val="false"/>
          <w:sz w:val="20"/>
        </w:rPr>
        <w:t>. If any acceleration of vesting pursuant to an Award and any other payment or benefit received or to be 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COMPLIANCE WITH SECURITIES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COMPLIANCE WITH SECTION 409A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15.1 </w:t>
      </w:r>
      <w:r>
        <w:rPr>
          <w:rFonts w:ascii="Times New Roman;Times;Serif" w:hAnsi="Times New Roman;Times;Serif"/>
          <w:b/>
          <w:i w:val="false"/>
          <w:caps w:val="false"/>
          <w:smallCaps w:val="false"/>
          <w:sz w:val="20"/>
        </w:rPr>
        <w:t>Awards Subject to Section 409A</w:t>
      </w:r>
      <w:r>
        <w:rPr>
          <w:rFonts w:ascii="Times New Roman;Times;Serif" w:hAnsi="Times New Roman;Times;Serif"/>
          <w:b w:val="false"/>
          <w:i w:val="false"/>
          <w:caps w:val="false"/>
          <w:smallCaps w:val="false"/>
          <w:sz w:val="20"/>
        </w:rPr>
        <w:t xml:space="preserve">. The Company intends that Awards granted pursuant to the Plan shall either be exempt from or comply with Section 409A, and the Plan shall be so construed. The provisions of this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shall apply to any Award or portion thereof that constitutes or provides for payment of Section 409A Deferred Compensation. Such Awards may include, without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409A, the term “</w:t>
      </w:r>
      <w:r>
        <w:rPr>
          <w:rFonts w:ascii="Times New Roman;Times;Serif" w:hAnsi="Times New Roman;Times;Serif"/>
          <w:b/>
          <w:i w:val="false"/>
          <w:caps w:val="false"/>
          <w:smallCaps w:val="false"/>
          <w:sz w:val="20"/>
        </w:rPr>
        <w:t>Short-Term Deferral Period</w:t>
      </w:r>
      <w:r>
        <w:rPr>
          <w:rFonts w:ascii="Times New Roman;Times;Serif" w:hAnsi="Times New Roman;Times;Serif"/>
          <w:b w:val="false"/>
          <w:i w:val="false"/>
          <w:caps w:val="false"/>
          <w:smallCaps w:val="false"/>
          <w:sz w:val="20"/>
        </w:rPr>
        <w:t>” means the 2 1∕2 month period ending on the later of (i) the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the third month following the end of the Participant’s taxable year in which the right to payment under the applicable portion of the Award is no longer subject to a substantial risk of forfeiture or (ii) the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15.2 </w:t>
      </w:r>
      <w:r>
        <w:rPr>
          <w:rFonts w:ascii="Times New Roman;Times;Serif" w:hAnsi="Times New Roman;Times;Serif"/>
          <w:b/>
          <w:i w:val="false"/>
          <w:caps w:val="false"/>
          <w:smallCaps w:val="false"/>
          <w:sz w:val="20"/>
        </w:rPr>
        <w:t>Deferral and/or Distribution Elections</w:t>
      </w:r>
      <w:r>
        <w:rPr>
          <w:rFonts w:ascii="Times New Roman;Times;Serif" w:hAnsi="Times New Roman;Times;Serif"/>
          <w:b w:val="false"/>
          <w:i w:val="false"/>
          <w:caps w:val="false"/>
          <w:smallCaps w:val="false"/>
          <w:sz w:val="20"/>
        </w:rPr>
        <w:t>. Except as otherwise permitted or required by Section 409A and the Company, the following rules shall apply to any compensation deferral and/or payment elections (each, an “</w:t>
      </w:r>
      <w:r>
        <w:rPr>
          <w:rFonts w:ascii="Times New Roman;Times;Serif" w:hAnsi="Times New Roman;Times;Serif"/>
          <w:b/>
          <w:i w:val="false"/>
          <w:caps w:val="false"/>
          <w:smallCaps w:val="false"/>
          <w:sz w:val="20"/>
        </w:rPr>
        <w:t>Election</w:t>
      </w:r>
      <w:r>
        <w:rPr>
          <w:rFonts w:ascii="Times New Roman;Times;Serif" w:hAnsi="Times New Roman;Times;Serif"/>
          <w:b w:val="false"/>
          <w:i w:val="false"/>
          <w:caps w:val="false"/>
          <w:smallCaps w:val="false"/>
          <w:sz w:val="20"/>
        </w:rPr>
        <w:t>”) that may be permitted or required by the Committee pursuant to an Award providing Section 409A Deferred Compensation: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Elections must be in writing and specify the amount of the payment in settlement of an Award being deferred, as well as the time and form of payment as permitted by this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Elections shall be made by the end of the Participant’s taxable year prior to the year in which services commence for which an Award may be granted to the Participant.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w:t>
      </w:r>
      <w:r>
        <w:rPr>
          <w:rFonts w:ascii="Times New Roman;Times;Serif" w:hAnsi="Times New Roman;Times;Serif"/>
          <w:b w:val="false"/>
          <w:i w:val="false"/>
          <w:caps w:val="false"/>
          <w:smallCaps w:val="false"/>
          <w:sz w:val="20"/>
          <w:u w:val="single"/>
        </w:rPr>
        <w:t>Section 15.3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15.3 </w:t>
      </w:r>
      <w:r>
        <w:rPr>
          <w:rFonts w:ascii="Times New Roman;Times;Serif" w:hAnsi="Times New Roman;Times;Serif"/>
          <w:b/>
          <w:i w:val="false"/>
          <w:caps w:val="false"/>
          <w:smallCaps w:val="false"/>
          <w:sz w:val="20"/>
        </w:rPr>
        <w:t>Subsequent Elections</w:t>
      </w:r>
      <w:r>
        <w:rPr>
          <w:rFonts w:ascii="Times New Roman;Times;Serif" w:hAnsi="Times New Roman;Times;Serif"/>
          <w:b w:val="false"/>
          <w:i w:val="false"/>
          <w:caps w:val="false"/>
          <w:smallCaps w:val="false"/>
          <w:sz w:val="20"/>
        </w:rPr>
        <w:t>.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subsequent Election may take effect until at least twelve (12) months after the date on which the subsequent Election is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subsequent Election related to a payment in settlement of an Award not described in </w:t>
      </w:r>
      <w:r>
        <w:rPr>
          <w:rFonts w:ascii="Times New Roman;Times;Serif" w:hAnsi="Times New Roman;Times;Serif"/>
          <w:b w:val="false"/>
          <w:i w:val="false"/>
          <w:caps w:val="false"/>
          <w:smallCaps w:val="false"/>
          <w:sz w:val="20"/>
          <w:u w:val="single"/>
        </w:rPr>
        <w:t>Sections 15.4(a)(ii)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15.4(a)(iii)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15.4(a)(vi)</w:t>
      </w:r>
      <w:r>
        <w:rPr>
          <w:rFonts w:ascii="Times New Roman;Times;Serif" w:hAnsi="Times New Roman;Times;Serif"/>
          <w:b w:val="false"/>
          <w:i w:val="false"/>
          <w:caps w:val="false"/>
          <w:smallCaps w:val="false"/>
          <w:sz w:val="20"/>
        </w:rPr>
        <w:t xml:space="preserve"> must result in a delay of the payment for a period of not less than five (5) years from the date on which such payment would otherwise have been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subsequent Election related to a payment pursuant to </w:t>
      </w:r>
      <w:r>
        <w:rPr>
          <w:rFonts w:ascii="Times New Roman;Times;Serif" w:hAnsi="Times New Roman;Times;Serif"/>
          <w:b w:val="false"/>
          <w:i w:val="false"/>
          <w:caps w:val="false"/>
          <w:smallCaps w:val="false"/>
          <w:sz w:val="20"/>
          <w:u w:val="single"/>
        </w:rPr>
        <w:t>Section 15.4(a)(vi)</w:t>
      </w:r>
      <w:r>
        <w:rPr>
          <w:rFonts w:ascii="Times New Roman;Times;Serif" w:hAnsi="Times New Roman;Times;Serif"/>
          <w:b w:val="false"/>
          <w:i w:val="false"/>
          <w:caps w:val="false"/>
          <w:smallCaps w:val="false"/>
          <w:sz w:val="20"/>
        </w:rPr>
        <w:t xml:space="preserve"> shall be made less than twelve (12) months before the date on which such payment would otherwise have been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w:t>
      </w:r>
      <w:r>
        <w:rPr>
          <w:rFonts w:ascii="Times New Roman;Times;Serif" w:hAnsi="Times New Roman;Times;Serif"/>
          <w:b w:val="false"/>
          <w:i w:val="false"/>
          <w:caps w:val="false"/>
          <w:smallCaps w:val="false"/>
          <w:sz w:val="20"/>
          <w:u w:val="single"/>
        </w:rPr>
        <w:t>Section 15.3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15.4 </w:t>
      </w:r>
      <w:r>
        <w:rPr>
          <w:rFonts w:ascii="Times New Roman;Times;Serif" w:hAnsi="Times New Roman;Times;Serif"/>
          <w:b/>
          <w:i w:val="false"/>
          <w:caps w:val="false"/>
          <w:smallCaps w:val="false"/>
          <w:sz w:val="20"/>
        </w:rPr>
        <w:t>Payment of Section 409A Deferred Compensation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Permissible Payments</w:t>
      </w:r>
      <w:r>
        <w:rPr>
          <w:rFonts w:ascii="Times New Roman;Times;Serif" w:hAnsi="Times New Roman;Times;Serif"/>
          <w:b w:val="false"/>
          <w:i w:val="false"/>
          <w:caps w:val="false"/>
          <w:smallCaps w:val="false"/>
          <w:sz w:val="20"/>
        </w:rPr>
        <w:t>. Except as otherwise permitted or required by Section 409A, an Award providing Section 409A Deferred Compensation must provide for payment in settlement of the Award only upon one or more of the following: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Participant’s “separation from service” (as defined by Section 409A);</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Participant’s becoming “disabled” (as defined by Section 409A);</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Participant’s death;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 time or fixed schedule that is either (i) specified by the Committee upon the grant of an Award and set forth in the Award Agreement evidencing such Award or (ii) specified by the Participant in an Election complying with the requirements of </w:t>
      </w:r>
      <w:r>
        <w:rPr>
          <w:rFonts w:ascii="Times New Roman;Times;Serif" w:hAnsi="Times New Roman;Times;Serif"/>
          <w:b w:val="false"/>
          <w:i w:val="false"/>
          <w:caps w:val="false"/>
          <w:smallCaps w:val="false"/>
          <w:sz w:val="20"/>
          <w:u w:val="single"/>
        </w:rPr>
        <w:t>Section 15.2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15.3</w:t>
      </w:r>
      <w:r>
        <w:rPr>
          <w:rFonts w:ascii="Times New Roman;Times;Serif" w:hAnsi="Times New Roman;Times;Serif"/>
          <w:b w:val="false"/>
          <w:i w:val="false"/>
          <w:caps w:val="false"/>
          <w:smallCaps w:val="false"/>
          <w:sz w:val="20"/>
        </w:rPr>
        <w:t>, as applicable;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change in the ownership or effective control or the Company or in the ownership of a substantial portion of the assets of the Company determined in accordance with Section 409A;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occurrence of an “unforeseeable emergency” (as defined by Section 409A).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Installment Payments</w:t>
      </w:r>
      <w:r>
        <w:rPr>
          <w:rFonts w:ascii="Times New Roman;Times;Serif" w:hAnsi="Times New Roman;Times;Serif"/>
          <w:b w:val="false"/>
          <w:i w:val="false"/>
          <w:caps w:val="false"/>
          <w:smallCaps w:val="false"/>
          <w:sz w:val="20"/>
        </w:rPr>
        <w:t>. It is the intent of this Plan that any right of a Participant to receive installment payments (within the meaning of Section 409A) shall, for all purposes of Section 409A, be treated as a right to a series of separate payments.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Required Delay in Payment to Specified Employee Pursuant to Separation from Service</w:t>
      </w:r>
      <w:r>
        <w:rPr>
          <w:rFonts w:ascii="Times New Roman;Times;Serif" w:hAnsi="Times New Roman;Times;Serif"/>
          <w:b w:val="false"/>
          <w:i w:val="false"/>
          <w:caps w:val="false"/>
          <w:smallCaps w:val="false"/>
          <w:sz w:val="20"/>
        </w:rPr>
        <w:t xml:space="preserve">. Notwithstanding any provision of the Plan or an Award Agreement to the contrary, except as otherwise permitted by Section 409A, no payment pursuant to </w:t>
      </w:r>
      <w:r>
        <w:rPr>
          <w:rFonts w:ascii="Times New Roman;Times;Serif" w:hAnsi="Times New Roman;Times;Serif"/>
          <w:b w:val="false"/>
          <w:i w:val="false"/>
          <w:caps w:val="false"/>
          <w:smallCaps w:val="false"/>
          <w:sz w:val="20"/>
          <w:u w:val="single"/>
        </w:rPr>
        <w:t>Section 15.4(a)(i)</w:t>
      </w:r>
      <w:r>
        <w:rPr>
          <w:rFonts w:ascii="Times New Roman;Times;Serif" w:hAnsi="Times New Roman;Times;Serif"/>
          <w:b w:val="false"/>
          <w:i w:val="false"/>
          <w:caps w:val="false"/>
          <w:smallCaps w:val="false"/>
          <w:sz w:val="20"/>
        </w:rPr>
        <w:t xml:space="preserve"> in settlement of an Award providing for Section 409A Deferred Compensation may be made to a Participant who is a “specified employee” (as defined by Section 409A) as of the date of the Participant’s separation from service before the date (the “</w:t>
      </w:r>
      <w:r>
        <w:rPr>
          <w:rFonts w:ascii="Times New Roman;Times;Serif" w:hAnsi="Times New Roman;Times;Serif"/>
          <w:b/>
          <w:i w:val="false"/>
          <w:caps w:val="false"/>
          <w:smallCaps w:val="false"/>
          <w:sz w:val="20"/>
        </w:rPr>
        <w:t>Delayed Payment Date</w:t>
      </w:r>
      <w:r>
        <w:rPr>
          <w:rFonts w:ascii="Times New Roman;Times;Serif" w:hAnsi="Times New Roman;Times;Serif"/>
          <w:b w:val="false"/>
          <w:i w:val="false"/>
          <w:caps w:val="false"/>
          <w:smallCaps w:val="false"/>
          <w:sz w:val="20"/>
        </w:rPr>
        <w:t>”) that is six (6) months after the date of such Participant’s separation from service, or, if earlier, the date of the Participant’s death. All such amounts that would, but for this paragraph, become payable prior to the Delayed Payment Date shall be accumulated and paid on the Delayed Payment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Payment Upon Disability</w:t>
      </w:r>
      <w:r>
        <w:rPr>
          <w:rFonts w:ascii="Times New Roman;Times;Serif" w:hAnsi="Times New Roman;Times;Serif"/>
          <w:b w:val="false"/>
          <w:i w:val="false"/>
          <w:caps w:val="false"/>
          <w:smallCaps w:val="false"/>
          <w:sz w:val="20"/>
        </w:rPr>
        <w:t xml:space="preserve">. All distributions of Section 409A Deferred Compensation payable pursuant to </w:t>
      </w:r>
      <w:r>
        <w:rPr>
          <w:rFonts w:ascii="Times New Roman;Times;Serif" w:hAnsi="Times New Roman;Times;Serif"/>
          <w:b w:val="false"/>
          <w:i w:val="false"/>
          <w:caps w:val="false"/>
          <w:smallCaps w:val="false"/>
          <w:sz w:val="20"/>
          <w:u w:val="single"/>
        </w:rPr>
        <w:t>Section 15.4(a)(ii)</w:t>
      </w:r>
      <w:r>
        <w:rPr>
          <w:rFonts w:ascii="Times New Roman;Times;Serif" w:hAnsi="Times New Roman;Times;Serif"/>
          <w:b w:val="false"/>
          <w:i w:val="false"/>
          <w:caps w:val="false"/>
          <w:smallCaps w:val="false"/>
          <w:sz w:val="20"/>
        </w:rPr>
        <w:t xml:space="preserve"> by reason of a Participant becoming disabled shall be paid in a lump sum or in periodic installments as established by the Participant’s Election. If the Participant has made no Election with respect to distributions of Section 409A Deferred Compensation upon becoming disabled, all such distributions shall be paid in a lump sum or commence upon the determination that the Participant has become disabled.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Payment Upon Death</w:t>
      </w:r>
      <w:r>
        <w:rPr>
          <w:rFonts w:ascii="Times New Roman;Times;Serif" w:hAnsi="Times New Roman;Times;Serif"/>
          <w:b w:val="false"/>
          <w:i w:val="false"/>
          <w:caps w:val="false"/>
          <w:smallCaps w:val="false"/>
          <w:sz w:val="20"/>
        </w:rPr>
        <w:t>. If a Participant dies before complete distribution of amounts payable upon settlement of an Award subject to 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Payment Upon Change in Control</w:t>
      </w:r>
      <w:r>
        <w:rPr>
          <w:rFonts w:ascii="Times New Roman;Times;Serif" w:hAnsi="Times New Roman;Times;Serif"/>
          <w:b w:val="false"/>
          <w:i w:val="false"/>
          <w:caps w:val="false"/>
          <w:smallCaps w:val="false"/>
          <w:sz w:val="20"/>
        </w:rPr>
        <w:t xml:space="preserve">. Notwithstanding any provision of the Plan or an Award Agreement to the contrary, to the extent 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 Section 409A Deferred Compensation and which would vest and otherwise become payable upon a Change in Control as a result of the failure of the Acquiror to assume, continue or substitute for such Award in accordance with </w:t>
      </w:r>
      <w:r>
        <w:rPr>
          <w:rFonts w:ascii="Times New Roman;Times;Serif" w:hAnsi="Times New Roman;Times;Serif"/>
          <w:b w:val="false"/>
          <w:i w:val="false"/>
          <w:caps w:val="false"/>
          <w:smallCaps w:val="false"/>
          <w:sz w:val="20"/>
          <w:u w:val="single"/>
        </w:rPr>
        <w:t>Section 13.1(b)</w:t>
      </w:r>
      <w:r>
        <w:rPr>
          <w:rFonts w:ascii="Times New Roman;Times;Serif" w:hAnsi="Times New Roman;Times;Serif"/>
          <w:b w:val="false"/>
          <w:i w:val="false"/>
          <w:caps w:val="false"/>
          <w:smallCaps w:val="false"/>
          <w:sz w:val="20"/>
        </w:rPr>
        <w:t xml:space="preserve"> shall vest to the extent provided by such Award but shall be converted automatically at the effective time of such Change in Control into a right to receive, in cash on the date or dates such award would have been settled in accordance with its then existing settlement schedule (or as required by </w:t>
      </w:r>
      <w:r>
        <w:rPr>
          <w:rFonts w:ascii="Times New Roman;Times;Serif" w:hAnsi="Times New Roman;Times;Serif"/>
          <w:b w:val="false"/>
          <w:i w:val="false"/>
          <w:caps w:val="false"/>
          <w:smallCaps w:val="false"/>
          <w:sz w:val="20"/>
          <w:u w:val="single"/>
        </w:rPr>
        <w:t>Section 15.4(c)</w:t>
      </w:r>
      <w:r>
        <w:rPr>
          <w:rFonts w:ascii="Times New Roman;Times;Serif" w:hAnsi="Times New Roman;Times;Serif"/>
          <w:b w:val="false"/>
          <w:i w:val="false"/>
          <w:caps w:val="false"/>
          <w:smallCaps w:val="false"/>
          <w:sz w:val="20"/>
        </w:rPr>
        <w:t>), an amount or amounts equal in the aggregate to the intrinsic value of the Award at the time of the Change in Control.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Payment Upon Unforeseeable Emergency</w:t>
      </w:r>
      <w:r>
        <w:rPr>
          <w:rFonts w:ascii="Times New Roman;Times;Serif" w:hAnsi="Times New Roman;Times;Serif"/>
          <w:b w:val="false"/>
          <w:i w:val="false"/>
          <w:caps w:val="false"/>
          <w:smallCaps w:val="false"/>
          <w:sz w:val="20"/>
        </w:rPr>
        <w:t xml:space="preserve">. The Committee shall have the authority to provide in the Award Agreement evidencing any Award providing for Section 409A Deferred Compensation for payment pursuant to </w:t>
      </w:r>
      <w:r>
        <w:rPr>
          <w:rFonts w:ascii="Times New Roman;Times;Serif" w:hAnsi="Times New Roman;Times;Serif"/>
          <w:b w:val="false"/>
          <w:i w:val="false"/>
          <w:caps w:val="false"/>
          <w:smallCaps w:val="false"/>
          <w:sz w:val="20"/>
          <w:u w:val="single"/>
        </w:rPr>
        <w:t>Section 15.4(a)(vi)</w:t>
      </w:r>
      <w:r>
        <w:rPr>
          <w:rFonts w:ascii="Times New Roman;Times;Serif" w:hAnsi="Times New Roman;Times;Serif"/>
          <w:b w:val="false"/>
          <w:i w:val="false"/>
          <w:caps w:val="false"/>
          <w:smallCaps w:val="false"/>
          <w:sz w:val="20"/>
        </w:rPr>
        <w:t xml:space="preserve">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Prohibition of Acceleration of Payments</w:t>
      </w:r>
      <w:r>
        <w:rPr>
          <w:rFonts w:ascii="Times New Roman;Times;Serif" w:hAnsi="Times New Roman;Times;Serif"/>
          <w:b w:val="false"/>
          <w:i w:val="false"/>
          <w:caps w:val="false"/>
          <w:smallCaps w:val="false"/>
          <w:sz w:val="20"/>
        </w:rPr>
        <w:t>. Notwithstanding any provision of the Plan or an Award Agreement to the contrary, this Plan does not permit the acceleration of the time or schedule of any payment under an Award providing Section 409A Deferred Compensation, except as permitted by Section 409A.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Representation Regarding Section 409A Compliance</w:t>
      </w:r>
      <w:r>
        <w:rPr>
          <w:rFonts w:ascii="Times New Roman;Times;Serif" w:hAnsi="Times New Roman;Times;Serif"/>
          <w:b w:val="false"/>
          <w:i w:val="false"/>
          <w:caps w:val="false"/>
          <w:smallCaps w:val="false"/>
          <w:sz w:val="20"/>
        </w:rPr>
        <w:t>. Notwithstanding any other provision of the Plan, the Company makes no representation that Awards shall be exempt from or comply with Section 409A. No Participating Company shall be liable for any tax, penalty or interest imposed on a Participant by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TAX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16.1 </w:t>
      </w:r>
      <w:r>
        <w:rPr>
          <w:rFonts w:ascii="Times New Roman;Times;Serif" w:hAnsi="Times New Roman;Times;Serif"/>
          <w:b/>
          <w:i w:val="false"/>
          <w:caps w:val="false"/>
          <w:smallCaps w:val="false"/>
          <w:sz w:val="20"/>
        </w:rPr>
        <w:t>Tax Withholding in General</w:t>
      </w:r>
      <w:r>
        <w:rPr>
          <w:rFonts w:ascii="Times New Roman;Times;Serif" w:hAnsi="Times New Roman;Times;Serif"/>
          <w:b w:val="false"/>
          <w:i w:val="false"/>
          <w:caps w:val="false"/>
          <w:smallCaps w:val="false"/>
          <w:sz w:val="20"/>
        </w:rPr>
        <w:t>.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16.2 </w:t>
      </w:r>
      <w:r>
        <w:rPr>
          <w:rFonts w:ascii="Times New Roman;Times;Serif" w:hAnsi="Times New Roman;Times;Serif"/>
          <w:b/>
          <w:i w:val="false"/>
          <w:caps w:val="false"/>
          <w:smallCaps w:val="false"/>
          <w:sz w:val="20"/>
        </w:rPr>
        <w:t>Withholding in or Directed Sale of Shares</w:t>
      </w:r>
      <w:r>
        <w:rPr>
          <w:rFonts w:ascii="Times New Roman;Times;Serif" w:hAnsi="Times New Roman;Times;Serif"/>
          <w:b w:val="false"/>
          <w:i w:val="false"/>
          <w:caps w:val="false"/>
          <w:smallCaps w:val="false"/>
          <w:sz w:val="20"/>
        </w:rPr>
        <w:t>.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not exceed the amount determined by the applicable minimum statutory withholding rates (or the maximum individual statutory withholding rates for the applicable jurisdiction if use of such rates would not result in adverse accounting consequences or cost).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such Participating Company in cash.</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AMENDMENT, SUSPENSION OR TERMINATION OF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Committee may amend, suspend or terminate the Plan at any time. However, without the approval of the Company’s stockholders, there shall be (a) no increase in the maximum aggregate number of shares of Stock that may be issued under the Plan (except by operation of the provisions of </w:t>
      </w:r>
      <w:r>
        <w:rPr>
          <w:rFonts w:ascii="Times New Roman;Times;Serif" w:hAnsi="Times New Roman;Times;Serif"/>
          <w:b w:val="false"/>
          <w:i w:val="false"/>
          <w:caps w:val="false"/>
          <w:smallCaps w:val="false"/>
          <w:sz w:val="20"/>
          <w:u w:val="single"/>
        </w:rPr>
        <w:t>Sections 4.2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4.3</w:t>
      </w:r>
      <w:r>
        <w:rPr>
          <w:rFonts w:ascii="Times New Roman;Times;Serif" w:hAnsi="Times New Roman;Times;Serif"/>
          <w:b w:val="false"/>
          <w:i w:val="false"/>
          <w:caps w:val="false"/>
          <w:smallCaps w:val="false"/>
          <w:sz w:val="20"/>
        </w:rPr>
        <w:t>),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MISCELLANEOUS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18.1 </w:t>
      </w:r>
      <w:r>
        <w:rPr>
          <w:rFonts w:ascii="Times New Roman;Times;Serif" w:hAnsi="Times New Roman;Times;Serif"/>
          <w:b/>
          <w:i w:val="false"/>
          <w:caps w:val="false"/>
          <w:smallCaps w:val="false"/>
          <w:sz w:val="20"/>
        </w:rPr>
        <w:t>Repurchase Rights</w:t>
      </w:r>
      <w:r>
        <w:rPr>
          <w:rFonts w:ascii="Times New Roman;Times;Serif" w:hAnsi="Times New Roman;Times;Serif"/>
          <w:b w:val="false"/>
          <w:i w:val="false"/>
          <w:caps w:val="false"/>
          <w:smallCaps w:val="false"/>
          <w:sz w:val="20"/>
        </w:rPr>
        <w:t>.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18.2 </w:t>
      </w:r>
      <w:r>
        <w:rPr>
          <w:rFonts w:ascii="Times New Roman;Times;Serif" w:hAnsi="Times New Roman;Times;Serif"/>
          <w:b/>
          <w:i w:val="false"/>
          <w:caps w:val="false"/>
          <w:smallCaps w:val="false"/>
          <w:sz w:val="20"/>
        </w:rPr>
        <w:t>Forfeiture Events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 In addition, to the extent that claw-back or similar provisions applicable to Awards are required by applicable law, listing standards and/or policies adopted by the Company, Awards granted under the Plan shall be subject to such provisions.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is required to prepare an accounting restatement due to the material noncompliance of the Company, as a result of misconduct, with any financial reporting requirement under the securities laws,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shall reimburse the Company for (i) the amount of any payment in settlement of an Award received by such Participant during the twelve-(12-) month period following the first public issuance or filing with the United States Securities and Exchange Commission (whichever first occurred) of the financial document embodying such financial reporting requirement, and (ii) any profits realized by such Participant from the sale of securities of the Company during such twelve-(12-) month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18.3 </w:t>
      </w:r>
      <w:r>
        <w:rPr>
          <w:rFonts w:ascii="Times New Roman;Times;Serif" w:hAnsi="Times New Roman;Times;Serif"/>
          <w:b/>
          <w:i w:val="false"/>
          <w:caps w:val="false"/>
          <w:smallCaps w:val="false"/>
          <w:sz w:val="20"/>
        </w:rPr>
        <w:t>Provision of Information</w:t>
      </w:r>
      <w:r>
        <w:rPr>
          <w:rFonts w:ascii="Times New Roman;Times;Serif" w:hAnsi="Times New Roman;Times;Serif"/>
          <w:b w:val="false"/>
          <w:i w:val="false"/>
          <w:caps w:val="false"/>
          <w:smallCaps w:val="false"/>
          <w:sz w:val="20"/>
        </w:rPr>
        <w:t>. Each Participant shall be given access to information concerning the Company equivalent to that information generally made available to the Company’s common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18.4 </w:t>
      </w:r>
      <w:r>
        <w:rPr>
          <w:rFonts w:ascii="Times New Roman;Times;Serif" w:hAnsi="Times New Roman;Times;Serif"/>
          <w:b/>
          <w:i w:val="false"/>
          <w:caps w:val="false"/>
          <w:smallCaps w:val="false"/>
          <w:sz w:val="20"/>
        </w:rPr>
        <w:t>Rights as Employee, Consultant or Director</w:t>
      </w:r>
      <w:r>
        <w:rPr>
          <w:rFonts w:ascii="Times New Roman;Times;Serif" w:hAnsi="Times New Roman;Times;Serif"/>
          <w:b w:val="false"/>
          <w:i w:val="false"/>
          <w:caps w:val="false"/>
          <w:smallCaps w:val="false"/>
          <w:sz w:val="20"/>
        </w:rPr>
        <w:t xml:space="preserve">. No person, even though eligible pursuant to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18.5 </w:t>
      </w:r>
      <w:r>
        <w:rPr>
          <w:rFonts w:ascii="Times New Roman;Times;Serif" w:hAnsi="Times New Roman;Times;Serif"/>
          <w:b/>
          <w:i w:val="false"/>
          <w:caps w:val="false"/>
          <w:smallCaps w:val="false"/>
          <w:sz w:val="20"/>
        </w:rPr>
        <w:t>Rights as a Stockholder</w:t>
      </w:r>
      <w:r>
        <w:rPr>
          <w:rFonts w:ascii="Times New Roman;Times;Serif" w:hAnsi="Times New Roman;Times;Serif"/>
          <w:b w:val="false"/>
          <w:i w:val="false"/>
          <w:caps w:val="false"/>
          <w:smallCaps w:val="false"/>
          <w:sz w:val="20"/>
        </w:rPr>
        <w:t xml:space="preserve">.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another provision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18.6 </w:t>
      </w:r>
      <w:r>
        <w:rPr>
          <w:rFonts w:ascii="Times New Roman;Times;Serif" w:hAnsi="Times New Roman;Times;Serif"/>
          <w:b/>
          <w:i w:val="false"/>
          <w:caps w:val="false"/>
          <w:smallCaps w:val="false"/>
          <w:sz w:val="20"/>
        </w:rPr>
        <w:t>Delivery of Title to Shares</w:t>
      </w:r>
      <w:r>
        <w:rPr>
          <w:rFonts w:ascii="Times New Roman;Times;Serif" w:hAnsi="Times New Roman;Times;Serif"/>
          <w:b w:val="false"/>
          <w:i w:val="false"/>
          <w:caps w:val="false"/>
          <w:smallCaps w:val="false"/>
          <w:sz w:val="20"/>
        </w:rPr>
        <w:t>.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18.7 </w:t>
      </w:r>
      <w:r>
        <w:rPr>
          <w:rFonts w:ascii="Times New Roman;Times;Serif" w:hAnsi="Times New Roman;Times;Serif"/>
          <w:b/>
          <w:i w:val="false"/>
          <w:caps w:val="false"/>
          <w:smallCaps w:val="false"/>
          <w:sz w:val="20"/>
        </w:rPr>
        <w:t>Fractional Shares</w:t>
      </w:r>
      <w:r>
        <w:rPr>
          <w:rFonts w:ascii="Times New Roman;Times;Serif" w:hAnsi="Times New Roman;Times;Serif"/>
          <w:b w:val="false"/>
          <w:i w:val="false"/>
          <w:caps w:val="false"/>
          <w:smallCaps w:val="false"/>
          <w:sz w:val="20"/>
        </w:rPr>
        <w:t>. The Company shall not be required to issue fractional shares upon the exercise or settlement of any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18.8 </w:t>
      </w:r>
      <w:r>
        <w:rPr>
          <w:rFonts w:ascii="Times New Roman;Times;Serif" w:hAnsi="Times New Roman;Times;Serif"/>
          <w:b/>
          <w:i w:val="false"/>
          <w:caps w:val="false"/>
          <w:smallCaps w:val="false"/>
          <w:sz w:val="20"/>
        </w:rPr>
        <w:t>Retirement and Welfare Plans</w:t>
      </w:r>
      <w:r>
        <w:rPr>
          <w:rFonts w:ascii="Times New Roman;Times;Serif" w:hAnsi="Times New Roman;Times;Serif"/>
          <w:b w:val="false"/>
          <w:i w:val="false"/>
          <w:caps w:val="false"/>
          <w:smallCaps w:val="false"/>
          <w:sz w:val="20"/>
        </w:rPr>
        <w:t>.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 In addition, unless a written employment agreement or other service agreement specifically references Awards, a general reference to “benefits” or a similar term in such agreement shall not be deemed to refer to Awards granted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18.9 </w:t>
      </w:r>
      <w:r>
        <w:rPr>
          <w:rFonts w:ascii="Times New Roman;Times;Serif" w:hAnsi="Times New Roman;Times;Serif"/>
          <w:b/>
          <w:i w:val="false"/>
          <w:caps w:val="false"/>
          <w:smallCaps w:val="false"/>
          <w:sz w:val="20"/>
        </w:rPr>
        <w:t>Beneficiary Designation</w:t>
      </w:r>
      <w:r>
        <w:rPr>
          <w:rFonts w:ascii="Times New Roman;Times;Serif" w:hAnsi="Times New Roman;Times;Serif"/>
          <w:b w:val="false"/>
          <w:i w:val="false"/>
          <w:caps w:val="false"/>
          <w:smallCaps w:val="false"/>
          <w:sz w:val="20"/>
        </w:rPr>
        <w:t>. Subject to local laws and procedures and if the Committee so permits,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18.10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18.11 </w:t>
      </w:r>
      <w:r>
        <w:rPr>
          <w:rFonts w:ascii="Times New Roman;Times;Serif" w:hAnsi="Times New Roman;Times;Serif"/>
          <w:b/>
          <w:i w:val="false"/>
          <w:caps w:val="false"/>
          <w:smallCaps w:val="false"/>
          <w:sz w:val="20"/>
        </w:rPr>
        <w:t>No Constraint on Corporate Action</w:t>
      </w:r>
      <w:r>
        <w:rPr>
          <w:rFonts w:ascii="Times New Roman;Times;Serif" w:hAnsi="Times New Roman;Times;Serif"/>
          <w:b w:val="false"/>
          <w:i w:val="false"/>
          <w:caps w:val="false"/>
          <w:smallCaps w:val="false"/>
          <w:sz w:val="20"/>
        </w:rPr>
        <w:t>.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18.12 </w:t>
      </w:r>
      <w:r>
        <w:rPr>
          <w:rFonts w:ascii="Times New Roman;Times;Serif" w:hAnsi="Times New Roman;Times;Serif"/>
          <w:b/>
          <w:i w:val="false"/>
          <w:caps w:val="false"/>
          <w:smallCaps w:val="false"/>
          <w:sz w:val="20"/>
        </w:rPr>
        <w:t>Unfunded Obligation</w:t>
      </w:r>
      <w:r>
        <w:rPr>
          <w:rFonts w:ascii="Times New Roman;Times;Serif" w:hAnsi="Times New Roman;Times;Serif"/>
          <w:b w:val="false"/>
          <w:i w:val="false"/>
          <w:caps w:val="false"/>
          <w:smallCaps w:val="false"/>
          <w:sz w:val="20"/>
        </w:rPr>
        <w:t>.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18.13 </w:t>
      </w:r>
      <w:r>
        <w:rPr>
          <w:rFonts w:ascii="Times New Roman;Times;Serif" w:hAnsi="Times New Roman;Times;Serif"/>
          <w:b/>
          <w:i w:val="false"/>
          <w:caps w:val="false"/>
          <w:smallCaps w:val="false"/>
          <w:sz w:val="20"/>
        </w:rPr>
        <w:t>Choice of Law</w:t>
      </w:r>
      <w:r>
        <w:rPr>
          <w:rFonts w:ascii="Times New Roman;Times;Serif" w:hAnsi="Times New Roman;Times;Serif"/>
          <w:b w:val="false"/>
          <w:i w:val="false"/>
          <w:caps w:val="false"/>
          <w:smallCaps w:val="false"/>
          <w:sz w:val="20"/>
        </w:rPr>
        <w:t>. Except to the extent governed by applicable federal law, the validity, interpretation, construction and performance of the Plan and each Award Agreement shall be governed by the laws of the State of Delaware, without regard to its conflict of law rules.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Secretary of the Company certifies that the foregoing sets forth the CID Holdco, Inc. 2024 Equity Incentive Plan as duly adopted by the Board on [__________], 2024.</w:t>
      </w:r>
    </w:p>
    <w:p>
      <w:pPr>
        <w:pStyle w:val="TextBody"/>
        <w:bidi w:val="0"/>
        <w:spacing w:before="0" w:after="0"/>
        <w:ind w:left="0" w:right="0" w:firstLine="720"/>
        <w:jc w:val="left"/>
        <w:rPr>
          <w:caps w:val="false"/>
          <w:smallCaps w:val="false"/>
        </w:rPr>
      </w:pPr>
      <w:r>
        <w:rPr>
          <w:caps w:val="false"/>
          <w:smallCaps w:val="false"/>
        </w:rPr>
        <w:t> </w:t>
      </w:r>
    </w:p>
    <w:tbl>
      <w:tblPr>
        <w:tblW w:w="1475" w:type="dxa"/>
        <w:jc w:val="left"/>
        <w:tblInd w:w="0" w:type="dxa"/>
        <w:tblLayout w:type="fixed"/>
        <w:tblCellMar>
          <w:top w:w="0" w:type="dxa"/>
          <w:left w:w="0" w:type="dxa"/>
          <w:bottom w:w="0" w:type="dxa"/>
          <w:right w:w="0" w:type="dxa"/>
        </w:tblCellMar>
      </w:tblPr>
      <w:tblGrid>
        <w:gridCol w:w="75"/>
        <w:gridCol w:w="60"/>
        <w:gridCol w:w="60"/>
        <w:gridCol w:w="60"/>
        <w:gridCol w:w="122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 Secretary</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pPr>
      <w:r>
        <w:rPr/>
        <w:t>27</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7" w:name="ea024660701ex10-10_cidhold.htm"/>
      <w:bookmarkStart w:id="38" w:name="ksea024660701ex1010_cidhold"/>
      <w:bookmarkEnd w:id="37"/>
      <w:bookmarkEnd w:id="38"/>
      <w:r>
        <w:rPr>
          <w:rFonts w:ascii="Times New Roman;Times;Serif" w:hAnsi="Times New Roman;Times;Serif"/>
          <w:b/>
          <w:i w:val="false"/>
          <w:caps w:val="false"/>
          <w:smallCaps w:val="false"/>
          <w:sz w:val="20"/>
        </w:rPr>
        <w:t>Exhibit 10.10</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AND LOCK-UP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REGISTRATION RIGHTS AND LOCK-UP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dated as of June 18, 2025, 2024, is made and entered into by and among CID Holdco,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and the parties listed on </w:t>
      </w:r>
      <w:r>
        <w:rPr>
          <w:rFonts w:ascii="Times New Roman;Times;Serif" w:hAnsi="Times New Roman;Times;Serif"/>
          <w:b/>
          <w:i w:val="false"/>
          <w:caps w:val="false"/>
          <w:smallCaps w:val="false"/>
          <w:sz w:val="20"/>
          <w:u w:val="single"/>
        </w:rPr>
        <w:t>Schedule A</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hereto (each, a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Holders</w:t>
      </w:r>
      <w:r>
        <w:rPr>
          <w:rFonts w:ascii="Times New Roman;Times;Serif" w:hAnsi="Times New Roman;Times;Serif"/>
          <w:b w:val="false"/>
          <w:i w:val="false"/>
          <w:caps w:val="false"/>
          <w:smallCaps w:val="false"/>
          <w:sz w:val="20"/>
        </w:rPr>
        <w:t>”). Any capitalized term used but not defined herein will have the meaning ascribed to such term in the Business Combination Agreement (as defined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ShoulderUp Technology Acquisition Corp., a Delaware corporation (“</w:t>
      </w:r>
      <w:r>
        <w:rPr>
          <w:rFonts w:ascii="Times New Roman;Times;Serif" w:hAnsi="Times New Roman;Times;Serif"/>
          <w:b/>
          <w:i/>
          <w:caps w:val="false"/>
          <w:smallCaps w:val="false"/>
          <w:sz w:val="20"/>
        </w:rPr>
        <w:t>ShoulderUp</w:t>
      </w:r>
      <w:r>
        <w:rPr>
          <w:rFonts w:ascii="Times New Roman;Times;Serif" w:hAnsi="Times New Roman;Times;Serif"/>
          <w:b w:val="false"/>
          <w:i w:val="false"/>
          <w:caps w:val="false"/>
          <w:smallCaps w:val="false"/>
          <w:sz w:val="20"/>
        </w:rPr>
        <w:t>”), ShoulderUp Merger Sub, Inc., a Delaware corporation and wholly-owned subsidiary of ShoulderUp (“</w:t>
      </w:r>
      <w:r>
        <w:rPr>
          <w:rFonts w:ascii="Times New Roman;Times;Serif" w:hAnsi="Times New Roman;Times;Serif"/>
          <w:b/>
          <w:i/>
          <w:caps w:val="false"/>
          <w:smallCaps w:val="false"/>
          <w:sz w:val="20"/>
        </w:rPr>
        <w:t>ShoulderUp Merger Sub</w:t>
      </w:r>
      <w:r>
        <w:rPr>
          <w:rFonts w:ascii="Times New Roman;Times;Serif" w:hAnsi="Times New Roman;Times;Serif"/>
          <w:b w:val="false"/>
          <w:i w:val="false"/>
          <w:caps w:val="false"/>
          <w:smallCaps w:val="false"/>
          <w:sz w:val="20"/>
        </w:rPr>
        <w:t>”), SEI Merger Sub, Inc., a Delaware corporation and wholly-owned subsidiary of ShoulderUp (“</w:t>
      </w:r>
      <w:r>
        <w:rPr>
          <w:rFonts w:ascii="Times New Roman;Times;Serif" w:hAnsi="Times New Roman;Times;Serif"/>
          <w:b/>
          <w:i/>
          <w:caps w:val="false"/>
          <w:smallCaps w:val="false"/>
          <w:sz w:val="20"/>
        </w:rPr>
        <w:t>SEI Merger Sub</w:t>
      </w:r>
      <w:r>
        <w:rPr>
          <w:rFonts w:ascii="Times New Roman;Times;Serif" w:hAnsi="Times New Roman;Times;Serif"/>
          <w:b w:val="false"/>
          <w:i w:val="false"/>
          <w:caps w:val="false"/>
          <w:smallCaps w:val="false"/>
          <w:sz w:val="20"/>
        </w:rPr>
        <w:t>”), and SEE ID, Inc., a Nevada corporation (“</w:t>
      </w:r>
      <w:r>
        <w:rPr>
          <w:rFonts w:ascii="Times New Roman;Times;Serif" w:hAnsi="Times New Roman;Times;Serif"/>
          <w:b/>
          <w:i/>
          <w:caps w:val="false"/>
          <w:smallCaps w:val="false"/>
          <w:sz w:val="20"/>
        </w:rPr>
        <w:t>SEI</w:t>
      </w:r>
      <w:r>
        <w:rPr>
          <w:rFonts w:ascii="Times New Roman;Times;Serif" w:hAnsi="Times New Roman;Times;Serif"/>
          <w:b w:val="false"/>
          <w:i w:val="false"/>
          <w:caps w:val="false"/>
          <w:smallCaps w:val="false"/>
          <w:sz w:val="20"/>
        </w:rPr>
        <w:t>”) are party to that certain Business Combination Agreement, dated as of March 18, 2024 (the “</w:t>
      </w:r>
      <w:r>
        <w:rPr>
          <w:rFonts w:ascii="Times New Roman;Times;Serif" w:hAnsi="Times New Roman;Times;Serif"/>
          <w:b/>
          <w:i/>
          <w:caps w:val="false"/>
          <w:smallCaps w:val="false"/>
          <w:sz w:val="20"/>
        </w:rPr>
        <w:t>Business Combination Agreement</w:t>
      </w:r>
      <w:r>
        <w:rPr>
          <w:rFonts w:ascii="Times New Roman;Times;Serif" w:hAnsi="Times New Roman;Times;Serif"/>
          <w:b w:val="false"/>
          <w:i w:val="false"/>
          <w:caps w:val="false"/>
          <w:smallCaps w:val="false"/>
          <w:sz w:val="20"/>
        </w:rPr>
        <w:t>”), pursuant to which, on the Closing Date (as defined in the Business Combination Agreement), (i) ShoulderUp Merger Sub will merge with and into ShoulderUp, with ShoulderUp surviving the merger as a wholly-owned subsidiary of the Company, and (ii) SEI Merger Sub will merge with and into SEI, with SEI surviving the merger as a wholly-owned subsidiary of the Company (collectively, the “</w:t>
      </w:r>
      <w:r>
        <w:rPr>
          <w:rFonts w:ascii="Times New Roman;Times;Serif" w:hAnsi="Times New Roman;Times;Serif"/>
          <w:b/>
          <w:i/>
          <w:caps w:val="false"/>
          <w:smallCaps w:val="false"/>
          <w:sz w:val="20"/>
        </w:rPr>
        <w:t>Business Combination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Business Combination Agreement, the Company is issuing shares of the Company’s common stock, par value $0.0001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xml:space="preserve">”), to the Holders designated on </w:t>
      </w:r>
      <w:r>
        <w:rPr>
          <w:rFonts w:ascii="Times New Roman;Times;Serif" w:hAnsi="Times New Roman;Times;Serif"/>
          <w:b/>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ShoulderUp and ShoulderUp Technology Sponsor, LLC, a Delaware limited liability company (the “</w:t>
      </w:r>
      <w:r>
        <w:rPr>
          <w:rFonts w:ascii="Times New Roman;Times;Serif" w:hAnsi="Times New Roman;Times;Serif"/>
          <w:b/>
          <w:i/>
          <w:caps w:val="false"/>
          <w:smallCaps w:val="false"/>
          <w:sz w:val="20"/>
        </w:rPr>
        <w:t>Sponsor</w:t>
      </w:r>
      <w:r>
        <w:rPr>
          <w:rFonts w:ascii="Times New Roman;Times;Serif" w:hAnsi="Times New Roman;Times;Serif"/>
          <w:b w:val="false"/>
          <w:i w:val="false"/>
          <w:caps w:val="false"/>
          <w:smallCaps w:val="false"/>
          <w:sz w:val="20"/>
        </w:rPr>
        <w:t>”), and such other persons who may become parties thereto pursuant to Section 5.2 thereof, are parties to that certain Registration Rights Agreement, dated as of November 16, 2021 (as may be amended or restated or modified from time to time, the “</w:t>
      </w:r>
      <w:r>
        <w:rPr>
          <w:rFonts w:ascii="Times New Roman;Times;Serif" w:hAnsi="Times New Roman;Times;Serif"/>
          <w:b/>
          <w:i/>
          <w:caps w:val="false"/>
          <w:smallCaps w:val="false"/>
          <w:sz w:val="20"/>
        </w:rPr>
        <w:t>Sponsor Registration Rights Agreement</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desires to set forth certain matters regarding the ownership of the Registrable Securities (as defined below) by the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THEREFORE</w:t>
      </w:r>
      <w:r>
        <w:rPr>
          <w:rFonts w:ascii="Times New Roman;Times;Serif" w:hAnsi="Times New Roman;Times;Serif"/>
          <w:b w:val="false"/>
          <w:i w:val="false"/>
          <w:caps w:val="false"/>
          <w:smallCaps w:val="false"/>
          <w:sz w:val="20"/>
        </w:rPr>
        <w:t>, in consideration of the representations, covenants and agreements contained herein, and certain other good and valuable consideration, the receipt and sufficiency of which are hereby acknowledged, the parties hereto, intending to be legally bound, hereby agree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t>DEFINITIONS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The terms defined in this </w:t>
      </w:r>
      <w:r>
        <w:rPr>
          <w:rFonts w:ascii="Times New Roman;Times;Serif" w:hAnsi="Times New Roman;Times;Serif"/>
          <w:b w:val="false"/>
          <w:i/>
          <w:caps w:val="false"/>
          <w:smallCaps w:val="false"/>
          <w:sz w:val="20"/>
        </w:rPr>
        <w:t>Article I</w:t>
      </w:r>
      <w:r>
        <w:rPr>
          <w:rFonts w:ascii="Times New Roman;Times;Serif" w:hAnsi="Times New Roman;Times;Serif"/>
          <w:b w:val="false"/>
          <w:i w:val="false"/>
          <w:caps w:val="false"/>
          <w:smallCaps w:val="false"/>
          <w:sz w:val="20"/>
        </w:rPr>
        <w:t> shall, for all purposes of this Agreement, have the respective meanings set forth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Adverse</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Disclosure</w:t>
      </w:r>
      <w:r>
        <w:rPr>
          <w:rFonts w:ascii="Times New Roman;Times;Serif" w:hAnsi="Times New Roman;Times;Serif"/>
          <w:b w:val="false"/>
          <w:i w:val="false"/>
          <w:caps w:val="false"/>
          <w:smallCaps w:val="false"/>
          <w:sz w:val="20"/>
        </w:rPr>
        <w:t>” shall mean any public disclosure of material non-public information, which disclosure, in the good faith judgment of the Chief Executive Officer or Chief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shall have the meaning given in the Preamble.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shall mean the Board of Directors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Business</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Combination</w:t>
      </w:r>
      <w:r>
        <w:rPr>
          <w:rFonts w:ascii="Times New Roman;Times;Serif" w:hAnsi="Times New Roman;Times;Serif"/>
          <w:b w:val="false"/>
          <w:i w:val="false"/>
          <w:caps w:val="false"/>
          <w:smallCaps w:val="false"/>
          <w:sz w:val="20"/>
        </w:rPr>
        <w:t>” shall have the meaning given in the Preamble.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4360" w:type="dxa"/>
        <w:jc w:val="left"/>
        <w:tblInd w:w="0" w:type="dxa"/>
        <w:tblLayout w:type="fixed"/>
        <w:tblCellMar>
          <w:top w:w="0" w:type="dxa"/>
          <w:left w:w="0" w:type="dxa"/>
          <w:bottom w:w="0" w:type="dxa"/>
          <w:right w:w="0" w:type="dxa"/>
        </w:tblCellMar>
      </w:tblPr>
      <w:tblGrid>
        <w:gridCol w:w="155"/>
        <w:gridCol w:w="4205"/>
      </w:tblGrid>
      <w:tr>
        <w:trPr/>
        <w:tc>
          <w:tcPr>
            <w:tcW w:w="155" w:type="dxa"/>
            <w:tcBorders/>
            <w:vAlign w:val="center"/>
          </w:tcPr>
          <w:p>
            <w:pPr>
              <w:pStyle w:val="TableContents"/>
              <w:bidi w:val="0"/>
              <w:spacing w:before="0" w:after="283"/>
              <w:jc w:val="left"/>
              <w:rPr/>
            </w:pPr>
            <w:r>
              <w:rPr/>
              <w:t>1</w:t>
            </w:r>
          </w:p>
        </w:tc>
        <w:tc>
          <w:tcPr>
            <w:tcW w:w="4205" w:type="dxa"/>
            <w:tcBorders/>
            <w:vAlign w:val="center"/>
          </w:tcPr>
          <w:p>
            <w:pPr>
              <w:pStyle w:val="TableContents"/>
              <w:bidi w:val="0"/>
              <w:spacing w:before="0" w:after="283"/>
              <w:jc w:val="both"/>
              <w:rPr/>
            </w:pPr>
            <w:r>
              <w:rPr/>
              <w:t>Holders to be defined as only 5% or greater.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Change in Control</w:t>
      </w:r>
      <w:r>
        <w:rPr>
          <w:rFonts w:ascii="Times New Roman;Times;Serif" w:hAnsi="Times New Roman;Times;Serif"/>
          <w:b w:val="false"/>
          <w:i w:val="false"/>
          <w:caps w:val="false"/>
          <w:smallCaps w:val="false"/>
          <w:sz w:val="20"/>
        </w:rPr>
        <w:t>” shall mean the transfer (whether by tender offer, merger, stock purchase, consolidation or other similar transaction), in one transaction or a series of related transactions, to a person or group of affiliated persons of the Company’s voting securities if, after such transfer, such transferee or group of affiliated transferees would hold more than 50% of outstanding voting securities of the Company (or surviving entity) or would otherwise have the power to control the board of directors of the Company or to direct the operations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shall mean the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Common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Stock</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shall have the meaning given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Demand</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Registration</w:t>
      </w:r>
      <w:r>
        <w:rPr>
          <w:rFonts w:ascii="Times New Roman;Times;Serif" w:hAnsi="Times New Roman;Times;Serif"/>
          <w:b w:val="false"/>
          <w:i w:val="false"/>
          <w:caps w:val="false"/>
          <w:smallCaps w:val="false"/>
          <w:sz w:val="20"/>
        </w:rPr>
        <w:t>” shall have the meaning given in </w:t>
      </w:r>
      <w:r>
        <w:rPr>
          <w:rFonts w:ascii="Times New Roman;Times;Serif" w:hAnsi="Times New Roman;Times;Serif"/>
          <w:b w:val="false"/>
          <w:i w:val="false"/>
          <w:caps w:val="false"/>
          <w:smallCaps w:val="false"/>
          <w:sz w:val="20"/>
          <w:u w:val="single"/>
        </w:rPr>
        <w:t>subsection 2.1.1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Demanding</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shall have the meaning given in </w:t>
      </w:r>
      <w:r>
        <w:rPr>
          <w:rFonts w:ascii="Times New Roman;Times;Serif" w:hAnsi="Times New Roman;Times;Serif"/>
          <w:b w:val="false"/>
          <w:i w:val="false"/>
          <w:caps w:val="false"/>
          <w:smallCaps w:val="false"/>
          <w:sz w:val="20"/>
          <w:u w:val="single"/>
        </w:rPr>
        <w:t>subsection 2.1.1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shall mean the Securities Exchange Act of 1934, as it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Form S-1</w:t>
      </w:r>
      <w:r>
        <w:rPr>
          <w:rFonts w:ascii="Times New Roman;Times;Serif" w:hAnsi="Times New Roman;Times;Serif"/>
          <w:b w:val="false"/>
          <w:i w:val="false"/>
          <w:caps w:val="false"/>
          <w:smallCaps w:val="false"/>
          <w:sz w:val="20"/>
        </w:rPr>
        <w:t>” shall have the meaning given in </w:t>
      </w:r>
      <w:r>
        <w:rPr>
          <w:rFonts w:ascii="Times New Roman;Times;Serif" w:hAnsi="Times New Roman;Times;Serif"/>
          <w:b w:val="false"/>
          <w:i w:val="false"/>
          <w:caps w:val="false"/>
          <w:smallCaps w:val="false"/>
          <w:sz w:val="20"/>
          <w:u w:val="single"/>
        </w:rPr>
        <w:t>subsection 2.1.1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Form S-3</w:t>
      </w:r>
      <w:r>
        <w:rPr>
          <w:rFonts w:ascii="Times New Roman;Times;Serif" w:hAnsi="Times New Roman;Times;Serif"/>
          <w:b w:val="false"/>
          <w:i w:val="false"/>
          <w:caps w:val="false"/>
          <w:smallCaps w:val="false"/>
          <w:sz w:val="20"/>
        </w:rPr>
        <w:t>” shall have the meaning given in </w:t>
      </w:r>
      <w:r>
        <w:rPr>
          <w:rFonts w:ascii="Times New Roman;Times;Serif" w:hAnsi="Times New Roman;Times;Serif"/>
          <w:b w:val="false"/>
          <w:i w:val="false"/>
          <w:caps w:val="false"/>
          <w:smallCaps w:val="false"/>
          <w:sz w:val="20"/>
          <w:u w:val="single"/>
        </w:rPr>
        <w:t>subsection 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Holders</w:t>
      </w:r>
      <w:r>
        <w:rPr>
          <w:rFonts w:ascii="Times New Roman;Times;Serif" w:hAnsi="Times New Roman;Times;Serif"/>
          <w:b w:val="false"/>
          <w:i w:val="false"/>
          <w:caps w:val="false"/>
          <w:smallCaps w:val="false"/>
          <w:sz w:val="20"/>
        </w:rPr>
        <w:t>” shall have the meaning given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Lock-up</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Period</w:t>
      </w:r>
      <w:r>
        <w:rPr>
          <w:rFonts w:ascii="Times New Roman;Times;Serif" w:hAnsi="Times New Roman;Times;Serif"/>
          <w:b w:val="false"/>
          <w:i w:val="false"/>
          <w:caps w:val="false"/>
          <w:smallCaps w:val="false"/>
          <w:sz w:val="20"/>
        </w:rPr>
        <w:t>” shall mean, with respect to the Registerable Securities, the period ending on the date that is one hundred eighty (180) days after the Effective Time (as defined in the Business Combination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Maximum</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Number</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of</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shall have the meaning given in </w:t>
      </w:r>
      <w:r>
        <w:rPr>
          <w:rFonts w:ascii="Times New Roman;Times;Serif" w:hAnsi="Times New Roman;Times;Serif"/>
          <w:b w:val="false"/>
          <w:i w:val="false"/>
          <w:caps w:val="false"/>
          <w:smallCaps w:val="false"/>
          <w:sz w:val="20"/>
          <w:u w:val="single"/>
        </w:rPr>
        <w:t>subsection 2.1.4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Misstatement</w:t>
      </w:r>
      <w:r>
        <w:rPr>
          <w:rFonts w:ascii="Times New Roman;Times;Serif" w:hAnsi="Times New Roman;Times;Serif"/>
          <w:b w:val="false"/>
          <w:i w:val="false"/>
          <w:caps w:val="false"/>
          <w:smallCaps w:val="false"/>
          <w:sz w:val="20"/>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Other Holder</w:t>
      </w:r>
      <w:r>
        <w:rPr>
          <w:rFonts w:ascii="Times New Roman;Times;Serif" w:hAnsi="Times New Roman;Times;Serif"/>
          <w:b w:val="false"/>
          <w:i w:val="false"/>
          <w:caps w:val="false"/>
          <w:smallCaps w:val="false"/>
          <w:sz w:val="20"/>
        </w:rPr>
        <w:t xml:space="preserve">” shall have the meaning in </w:t>
      </w:r>
      <w:r>
        <w:rPr>
          <w:rFonts w:ascii="Times New Roman;Times;Serif" w:hAnsi="Times New Roman;Times;Serif"/>
          <w:b w:val="false"/>
          <w:i w:val="false"/>
          <w:caps w:val="false"/>
          <w:smallCaps w:val="false"/>
          <w:sz w:val="20"/>
          <w:u w:val="single"/>
        </w:rPr>
        <w:t>subsection 2.2.1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Transferee</w:t>
      </w:r>
      <w:r>
        <w:rPr>
          <w:rFonts w:ascii="Times New Roman;Times;Serif" w:hAnsi="Times New Roman;Times;Serif"/>
          <w:b w:val="false"/>
          <w:i w:val="false"/>
          <w:caps w:val="false"/>
          <w:smallCaps w:val="false"/>
          <w:sz w:val="20"/>
        </w:rPr>
        <w:t xml:space="preserve">” shall mean, during the Lock-up Period, any person to whom a Holder may Transfer Registrable Securities in accordance with </w:t>
      </w:r>
      <w:r>
        <w:rPr>
          <w:rFonts w:ascii="Times New Roman;Times;Serif" w:hAnsi="Times New Roman;Times;Serif"/>
          <w:b w:val="false"/>
          <w:i w:val="false"/>
          <w:caps w:val="false"/>
          <w:smallCaps w:val="false"/>
          <w:sz w:val="20"/>
          <w:u w:val="single"/>
        </w:rPr>
        <w:t>subsection 5.2</w:t>
      </w:r>
      <w:r>
        <w:rPr>
          <w:rFonts w:ascii="Times New Roman;Times;Serif" w:hAnsi="Times New Roman;Times;Serif"/>
          <w:b w:val="false"/>
          <w:i w:val="false"/>
          <w:caps w:val="false"/>
          <w:smallCaps w:val="false"/>
          <w:sz w:val="20"/>
        </w:rPr>
        <w:t xml:space="preserve"> of this Agreement, and to any permitted transferee thereafter.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Piggyback</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Registration</w:t>
      </w:r>
      <w:r>
        <w:rPr>
          <w:rFonts w:ascii="Times New Roman;Times;Serif" w:hAnsi="Times New Roman;Times;Serif"/>
          <w:b w:val="false"/>
          <w:i w:val="false"/>
          <w:caps w:val="false"/>
          <w:smallCaps w:val="false"/>
          <w:sz w:val="20"/>
        </w:rPr>
        <w:t>” shall have the meaning given in </w:t>
      </w:r>
      <w:r>
        <w:rPr>
          <w:rFonts w:ascii="Times New Roman;Times;Serif" w:hAnsi="Times New Roman;Times;Serif"/>
          <w:b w:val="false"/>
          <w:i w:val="false"/>
          <w:caps w:val="false"/>
          <w:smallCaps w:val="false"/>
          <w:sz w:val="20"/>
          <w:u w:val="single"/>
        </w:rPr>
        <w:t>subsection 2.2.1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 Rata</w:t>
      </w:r>
      <w:r>
        <w:rPr>
          <w:rFonts w:ascii="Times New Roman;Times;Serif" w:hAnsi="Times New Roman;Times;Serif"/>
          <w:b w:val="false"/>
          <w:i w:val="false"/>
          <w:caps w:val="false"/>
          <w:smallCaps w:val="false"/>
          <w:sz w:val="20"/>
        </w:rPr>
        <w:t>” shall have the meaning given in </w:t>
      </w:r>
      <w:r>
        <w:rPr>
          <w:rFonts w:ascii="Times New Roman;Times;Serif" w:hAnsi="Times New Roman;Times;Serif"/>
          <w:b w:val="false"/>
          <w:i w:val="false"/>
          <w:caps w:val="false"/>
          <w:smallCaps w:val="false"/>
          <w:sz w:val="20"/>
          <w:u w:val="single"/>
        </w:rPr>
        <w:t>subsection 2.1.4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shall mean the prospectus included in any Registration Statement, as supplemented by any and all prospectus supplements and as amended by any and all post-effective amendments and including all material incorporated by reference in such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Registrable Security</w:t>
      </w:r>
      <w:r>
        <w:rPr>
          <w:rFonts w:ascii="Times New Roman;Times;Serif" w:hAnsi="Times New Roman;Times;Serif"/>
          <w:b w:val="false"/>
          <w:i w:val="false"/>
          <w:caps w:val="false"/>
          <w:smallCaps w:val="false"/>
          <w:sz w:val="20"/>
        </w:rPr>
        <w:t>” shall mean any Common Stock held by a Holder immediately following consummation of the Business Combination. Registrable Securities include (i) any Common Stock issued or issuable upon any exercise or conversion of any warrants, (ii) shares of capital stock, or (iii) other securities of the Company issued as a dividend or other distribution with respect to or in exchange for or in replacement of any of the securities described in the foregoing sentence. As to any particular Registrable Security, such security shall cease to be a Registrable Security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(c) such securities shall have ceased to be outstanding; (d) such securities may be sold without registration pursuant to Rule 144 promulgated under the Securities Act (or any successor rule promulgated thereafter by the Commission) (but with no volume or other restrictions or limitations) or (e) such security has been sold to, or through, a broker, dealer or underwriter in a public distribution or other public securities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Registration</w:t>
      </w:r>
      <w:r>
        <w:rPr>
          <w:rFonts w:ascii="Times New Roman;Times;Serif" w:hAnsi="Times New Roman;Times;Serif"/>
          <w:b w:val="false"/>
          <w:i w:val="false"/>
          <w:caps w:val="false"/>
          <w:smallCaps w:val="false"/>
          <w:sz w:val="20"/>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Registration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Expenses</w:t>
      </w:r>
      <w:r>
        <w:rPr>
          <w:rFonts w:ascii="Times New Roman;Times;Serif" w:hAnsi="Times New Roman;Times;Serif"/>
          <w:b w:val="false"/>
          <w:i w:val="false"/>
          <w:caps w:val="false"/>
          <w:smallCaps w:val="false"/>
          <w:sz w:val="20"/>
        </w:rPr>
        <w:t>” shall mean the out-of-pocket expenses of a Registration, including, without limitation,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registration and filing fees (including fees with respect to filings required to be made with the Financial Industry Regulatory Authority, Inc.) and any securities exchange on which the Common Stock is then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fees and expenses of compliance with securities or blue sky laws (including reasonable fees and disbursements of counsel for the Underwriters in connection with blue sky qualifications of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printing, messenger, telephone and delivery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reasonable fees and disbursements of counsel for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reasonable fees and disbursements of all independent registered public accountants of the Company incurred specifically in connection with such Registration;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reasonable fees and expenses of one (1) legal counsel selected by the majority-in-interest of the Demanding Holders initiating a Demand Registration to be registered for offer and sale in the applicable Registration.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Registration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Statement</w:t>
      </w:r>
      <w:r>
        <w:rPr>
          <w:rFonts w:ascii="Times New Roman;Times;Serif" w:hAnsi="Times New Roman;Times;Serif"/>
          <w:b w:val="false"/>
          <w:i w:val="false"/>
          <w:caps w:val="false"/>
          <w:smallCaps w:val="false"/>
          <w:sz w:val="20"/>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Requesting</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shall have the meaning given in </w:t>
      </w:r>
      <w:r>
        <w:rPr>
          <w:rFonts w:ascii="Times New Roman;Times;Serif" w:hAnsi="Times New Roman;Times;Serif"/>
          <w:b w:val="false"/>
          <w:i w:val="false"/>
          <w:caps w:val="false"/>
          <w:smallCaps w:val="false"/>
          <w:sz w:val="20"/>
          <w:u w:val="single"/>
        </w:rPr>
        <w:t>subsection 2.1.1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shall mean the Securities Act of 1933,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Sponsor</w:t>
      </w:r>
      <w:r>
        <w:rPr>
          <w:rFonts w:ascii="Times New Roman;Times;Serif" w:hAnsi="Times New Roman;Times;Serif"/>
          <w:b w:val="false"/>
          <w:i w:val="false"/>
          <w:caps w:val="false"/>
          <w:smallCaps w:val="false"/>
          <w:sz w:val="20"/>
        </w:rPr>
        <w:t>” shall have the meaning given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Sponsor Registration Rights Agreement</w:t>
      </w:r>
      <w:r>
        <w:rPr>
          <w:rFonts w:ascii="Times New Roman;Times;Serif" w:hAnsi="Times New Roman;Times;Serif"/>
          <w:b w:val="false"/>
          <w:i w:val="false"/>
          <w:caps w:val="false"/>
          <w:smallCaps w:val="false"/>
          <w:sz w:val="20"/>
        </w:rPr>
        <w:t>” shall have the meaning given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means any day on which the Common Stock is traded on Nasdaq, or, if Nasdaq is not the principal trading market for the Common Stock on such day, then on the principal national securities exchange or securities market on which the Common Stock is then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Transfer</w:t>
      </w:r>
      <w:r>
        <w:rPr>
          <w:rFonts w:ascii="Times New Roman;Times;Serif" w:hAnsi="Times New Roman;Times;Serif"/>
          <w:b w:val="false"/>
          <w:i w:val="false"/>
          <w:caps w:val="false"/>
          <w:smallCaps w:val="false"/>
          <w:sz w:val="20"/>
        </w:rPr>
        <w:t>” shall mean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any interest owned by a person or any interest (including a beneficial interest) in, or the ownership, control or possession of, any interest owned by a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Underwriter</w:t>
      </w:r>
      <w:r>
        <w:rPr>
          <w:rFonts w:ascii="Times New Roman;Times;Serif" w:hAnsi="Times New Roman;Times;Serif"/>
          <w:b w:val="false"/>
          <w:i w:val="false"/>
          <w:caps w:val="false"/>
          <w:smallCaps w:val="false"/>
          <w:sz w:val="20"/>
        </w:rPr>
        <w:t>” shall mean a securities dealer who purchases any Registrable Securities as principal in an Underwritten Offering and not as part of such dealer’s market-making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Underwritten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Registration</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Underwritten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Offering</w:t>
      </w:r>
      <w:r>
        <w:rPr>
          <w:rFonts w:ascii="Times New Roman;Times;Serif" w:hAnsi="Times New Roman;Times;Serif"/>
          <w:b w:val="false"/>
          <w:i w:val="false"/>
          <w:caps w:val="false"/>
          <w:smallCaps w:val="false"/>
          <w:sz w:val="20"/>
        </w:rPr>
        <w:t>” shall mean a Registration in which securities of the Company are sold to an Underwriter in a firm commitment underwriting for distribution to the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t>REGISTRATIONS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Demand Registration.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 </w:t>
      </w:r>
      <w:r>
        <w:rPr>
          <w:rFonts w:ascii="Times New Roman;Times;Serif" w:hAnsi="Times New Roman;Times;Serif"/>
          <w:b w:val="false"/>
          <w:i w:val="false"/>
          <w:caps w:val="false"/>
          <w:smallCaps w:val="false"/>
          <w:sz w:val="20"/>
          <w:u w:val="single"/>
        </w:rPr>
        <w:t>Request for Registration.</w:t>
      </w:r>
      <w:r>
        <w:rPr>
          <w:rFonts w:ascii="Times New Roman;Times;Serif" w:hAnsi="Times New Roman;Times;Serif"/>
          <w:b w:val="false"/>
          <w:i w:val="false"/>
          <w:caps w:val="false"/>
          <w:smallCaps w:val="false"/>
          <w:sz w:val="20"/>
        </w:rPr>
        <w:t xml:space="preserve"> Subject to the provisions of subsection 2.1.4 and Section 2.4 hereof, at any time and from time to time on or after the expiration of the Lock-up Period applicable to the Registrable Securities of a Holder (if any) the Holders holding at least a majority in interest of the then-outstanding number of Registrable Securities held by all the Holders (such Holders, the “</w:t>
      </w:r>
      <w:r>
        <w:rPr>
          <w:rFonts w:ascii="Times New Roman;Times;Serif" w:hAnsi="Times New Roman;Times;Serif"/>
          <w:b/>
          <w:i/>
          <w:caps w:val="false"/>
          <w:smallCaps w:val="false"/>
          <w:sz w:val="20"/>
        </w:rPr>
        <w:t>Demanding</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Holders</w:t>
      </w:r>
      <w:r>
        <w:rPr>
          <w:rFonts w:ascii="Times New Roman;Times;Serif" w:hAnsi="Times New Roman;Times;Serif"/>
          <w:b w:val="false"/>
          <w:i w:val="false"/>
          <w:caps w:val="false"/>
          <w:smallCaps w:val="false"/>
          <w:sz w:val="20"/>
        </w:rPr>
        <w:t>”)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Times New Roman;Times;Serif" w:hAnsi="Times New Roman;Times;Serif"/>
          <w:b/>
          <w:i/>
          <w:caps w:val="false"/>
          <w:smallCaps w:val="false"/>
          <w:sz w:val="20"/>
        </w:rPr>
        <w:t>Demand</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Registration</w:t>
      </w:r>
      <w:r>
        <w:rPr>
          <w:rFonts w:ascii="Times New Roman;Times;Serif" w:hAnsi="Times New Roman;Times;Serif"/>
          <w:b w:val="false"/>
          <w:i w:val="false"/>
          <w:caps w:val="false"/>
          <w:smallCaps w:val="false"/>
          <w:sz w:val="20"/>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Times;Serif" w:hAnsi="Times New Roman;Times;Serif"/>
          <w:b/>
          <w:i/>
          <w:caps w:val="false"/>
          <w:smallCaps w:val="false"/>
          <w:sz w:val="20"/>
        </w:rPr>
        <w:t>Requesting</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shall so notify the Company, in writing, within five (5)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under this subsection 2.1.1 with respect to any or all Registrable Securities; provided, however, that a Registration shall not be counted for such purposes unless a Form S-1 or any similar long-form registration statement that may be available at such time (“</w:t>
      </w:r>
      <w:r>
        <w:rPr>
          <w:rFonts w:ascii="Times New Roman;Times;Serif" w:hAnsi="Times New Roman;Times;Serif"/>
          <w:b/>
          <w:i/>
          <w:caps w:val="false"/>
          <w:smallCaps w:val="false"/>
          <w:sz w:val="20"/>
        </w:rPr>
        <w:t>Form S-1</w:t>
      </w:r>
      <w:r>
        <w:rPr>
          <w:rFonts w:ascii="Times New Roman;Times;Serif" w:hAnsi="Times New Roman;Times;Serif"/>
          <w:b w:val="false"/>
          <w:i w:val="false"/>
          <w:caps w:val="false"/>
          <w:smallCaps w:val="false"/>
          <w:sz w:val="20"/>
        </w:rPr>
        <w:t>”) has become effective and all of the Registrable Securities requested by the Requesting Holders to be registered on behalf of the Requesting Holders in such Form S-1 Registration have been sold, in accordance with Section 3.1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val="false"/>
          <w:i w:val="false"/>
          <w:caps w:val="false"/>
          <w:smallCaps w:val="false"/>
          <w:sz w:val="20"/>
          <w:u w:val="single"/>
        </w:rPr>
        <w:t>Effective Registration</w:t>
      </w:r>
      <w:r>
        <w:rPr>
          <w:rFonts w:ascii="Times New Roman;Times;Serif" w:hAnsi="Times New Roman;Times;Serif"/>
          <w:b w:val="false"/>
          <w:i w:val="false"/>
          <w:caps w:val="false"/>
          <w:smallCaps w:val="false"/>
          <w:sz w:val="20"/>
        </w:rPr>
        <w:t>. Notwithstanding the provisions of </w:t>
      </w:r>
      <w:r>
        <w:rPr>
          <w:rFonts w:ascii="Times New Roman;Times;Serif" w:hAnsi="Times New Roman;Times;Serif"/>
          <w:b w:val="false"/>
          <w:i w:val="false"/>
          <w:caps w:val="false"/>
          <w:smallCaps w:val="false"/>
          <w:sz w:val="20"/>
          <w:u w:val="single"/>
        </w:rPr>
        <w:t>subsection 2.1.1</w:t>
      </w:r>
      <w:r>
        <w:rPr>
          <w:rFonts w:ascii="Times New Roman;Times;Serif" w:hAnsi="Times New Roman;Times;Serif"/>
          <w:b w:val="false"/>
          <w:i w:val="false"/>
          <w:caps w:val="false"/>
          <w:smallCaps w:val="false"/>
          <w:sz w:val="20"/>
        </w:rPr>
        <w:t>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2.1.3 </w:t>
      </w:r>
      <w:r>
        <w:rPr>
          <w:rFonts w:ascii="Times New Roman;Times;Serif" w:hAnsi="Times New Roman;Times;Serif"/>
          <w:b w:val="false"/>
          <w:i w:val="false"/>
          <w:caps w:val="false"/>
          <w:smallCaps w:val="false"/>
          <w:sz w:val="20"/>
          <w:u w:val="single"/>
        </w:rPr>
        <w:t>Underwritten Offering</w:t>
      </w:r>
      <w:r>
        <w:rPr>
          <w:rFonts w:ascii="Times New Roman;Times;Serif" w:hAnsi="Times New Roman;Times;Serif"/>
          <w:b w:val="false"/>
          <w:i w:val="false"/>
          <w:caps w:val="false"/>
          <w:smallCaps w:val="false"/>
          <w:sz w:val="20"/>
        </w:rPr>
        <w:t>. Subject to the provisions of </w:t>
      </w:r>
      <w:r>
        <w:rPr>
          <w:rFonts w:ascii="Times New Roman;Times;Serif" w:hAnsi="Times New Roman;Times;Serif"/>
          <w:b w:val="false"/>
          <w:i w:val="false"/>
          <w:caps w:val="false"/>
          <w:smallCaps w:val="false"/>
          <w:sz w:val="20"/>
          <w:u w:val="single"/>
        </w:rPr>
        <w:t>subsection 2.1.4</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hereof, and at any time and from time to time on or after the expiration of the Lock-up Period applicable to the Registrable Securities of a Holder (if any),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Times;Serif" w:hAnsi="Times New Roman;Times;Serif"/>
          <w:b w:val="false"/>
          <w:i w:val="false"/>
          <w:caps w:val="false"/>
          <w:smallCaps w:val="false"/>
          <w:sz w:val="20"/>
          <w:u w:val="single"/>
        </w:rPr>
        <w:t>subsection 2.1.3</w:t>
      </w:r>
      <w:r>
        <w:rPr>
          <w:rFonts w:ascii="Times New Roman;Times;Serif" w:hAnsi="Times New Roman;Times;Serif"/>
          <w:b w:val="false"/>
          <w:i w:val="false"/>
          <w:caps w:val="false"/>
          <w:smallCaps w:val="false"/>
          <w:sz w:val="20"/>
        </w:rPr>
        <w:t> shall enter into an underwriting agreement in customary form with the Underwriter(s) selected for such Underwritten Offering by the majority-in-interest of the Demanding Holders initiating the Demand Registration and, if requested by the Underwriters, shall execute a customary lock-up agreement in favor of the Underwriters (in each case on substantially the same terms and conditions as all such Holders participating in such Underwritten Offering).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2.1.4 </w:t>
      </w:r>
      <w:r>
        <w:rPr>
          <w:rFonts w:ascii="Times New Roman;Times;Serif" w:hAnsi="Times New Roman;Times;Serif"/>
          <w:b w:val="false"/>
          <w:i w:val="false"/>
          <w:caps w:val="false"/>
          <w:smallCaps w:val="false"/>
          <w:sz w:val="20"/>
          <w:u w:val="single"/>
        </w:rPr>
        <w:t>Reduction of Underwritten Offering</w:t>
      </w:r>
      <w:r>
        <w:rPr>
          <w:rFonts w:ascii="Times New Roman;Times;Serif" w:hAnsi="Times New Roman;Times;Serif"/>
          <w:b w:val="false"/>
          <w:i w:val="false"/>
          <w:caps w:val="false"/>
          <w:smallCaps w:val="false"/>
          <w:sz w:val="20"/>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Common Stock or other equity securities that the Company desires to sell and the Common Stock, if any, as to which a Registration has been requested pursuant to separate written contractual piggy-back registration rights (including, without limitation, under the Sponsor’s Registration Rights Agreement)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Times;Serif" w:hAnsi="Times New Roman;Times;Serif"/>
          <w:b/>
          <w:i/>
          <w:caps w:val="false"/>
          <w:smallCaps w:val="false"/>
          <w:sz w:val="20"/>
        </w:rPr>
        <w:t>Maximum</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Number</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of</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Times New Roman;Times;Serif" w:hAnsi="Times New Roman;Times;Serif"/>
          <w:b/>
          <w:i/>
          <w:caps w:val="false"/>
          <w:smallCaps w:val="false"/>
          <w:sz w:val="20"/>
        </w:rPr>
        <w:t>Pro</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Rata</w:t>
      </w:r>
      <w:r>
        <w:rPr>
          <w:rFonts w:ascii="Times New Roman;Times;Serif" w:hAnsi="Times New Roman;Times;Serif"/>
          <w:b w:val="false"/>
          <w:i w:val="false"/>
          <w:caps w:val="false"/>
          <w:smallCaps w:val="false"/>
          <w:sz w:val="20"/>
        </w:rPr>
        <w:t>”)) that can be sold without exceeding the Maximum Number of Securities; (ii) second, to the extent that the Maximum Number of Securities has not been reached under the foregoing clause (i), the Registrable Securities of Holders (Pro Rata, based on the respective number of Registrable Securities that each Holder has so requested) exercising their rights to register their Registrable Securities pursuant to </w:t>
      </w:r>
      <w:r>
        <w:rPr>
          <w:rFonts w:ascii="Times New Roman;Times;Serif" w:hAnsi="Times New Roman;Times;Serif"/>
          <w:b w:val="false"/>
          <w:i w:val="false"/>
          <w:caps w:val="false"/>
          <w:smallCaps w:val="false"/>
          <w:sz w:val="20"/>
          <w:u w:val="single"/>
        </w:rPr>
        <w:t>subsection 2.2.1</w:t>
      </w:r>
      <w:r>
        <w:rPr>
          <w:rFonts w:ascii="Times New Roman;Times;Serif" w:hAnsi="Times New Roman;Times;Serif"/>
          <w:b w:val="false"/>
          <w:i w:val="false"/>
          <w:caps w:val="false"/>
          <w:smallCaps w:val="false"/>
          <w:sz w:val="20"/>
        </w:rPr>
        <w:t> hereof, without exceeding the Maximum Number of Securities; and (iii) third, to the extent that the Maximum Number of Securities has not been reached under the foregoing clauses (i) and (ii), the Common Stock or other equity securities that the Company desires to sell, which can be sold without exceeding the Maximum Number of Securities; and (iv) fourth, to the extent that the Maximum Number of Securities has not been reached under the foregoing clauses (i), (ii) and (iii), the Common Stock or other equity securities of other persons or entities that the Company is obligated to register in a Registration pursuant to separate written contractual arrangements (including, without limitation, the Sponsor’s Registration Rights Agreement) with such persons and that can be sold without exceeding the Maximum Number of Securities.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 </w:t>
      </w:r>
      <w:r>
        <w:rPr>
          <w:rFonts w:ascii="Times New Roman;Times;Serif" w:hAnsi="Times New Roman;Times;Serif"/>
          <w:b w:val="false"/>
          <w:i w:val="false"/>
          <w:caps w:val="false"/>
          <w:smallCaps w:val="false"/>
          <w:sz w:val="20"/>
          <w:u w:val="single"/>
        </w:rPr>
        <w:t>Demand Registration Withdrawal</w:t>
      </w:r>
      <w:r>
        <w:rPr>
          <w:rFonts w:ascii="Times New Roman;Times;Serif" w:hAnsi="Times New Roman;Times;Serif"/>
          <w:b w:val="false"/>
          <w:i w:val="false"/>
          <w:caps w:val="false"/>
          <w:smallCaps w:val="false"/>
          <w:sz w:val="20"/>
        </w:rPr>
        <w:t>. A majority-in-interest of the Demanding Holders initiating a Demand Registration or a majority-in-interest of the Requesting Holders (if any), pursuant to a Registration under </w:t>
      </w:r>
      <w:r>
        <w:rPr>
          <w:rFonts w:ascii="Times New Roman;Times;Serif" w:hAnsi="Times New Roman;Times;Serif"/>
          <w:b w:val="false"/>
          <w:i w:val="false"/>
          <w:caps w:val="false"/>
          <w:smallCaps w:val="false"/>
          <w:sz w:val="20"/>
          <w:u w:val="single"/>
        </w:rPr>
        <w:t>subsection 2.1.1</w:t>
      </w:r>
      <w:r>
        <w:rPr>
          <w:rFonts w:ascii="Times New Roman;Times;Serif" w:hAnsi="Times New Roman;Times;Serif"/>
          <w:b w:val="false"/>
          <w:i w:val="false"/>
          <w:caps w:val="false"/>
          <w:smallCaps w:val="false"/>
          <w:sz w:val="20"/>
        </w:rPr>
        <w:t> shall have the right to withdraw from a Registration pursuant to such Demand 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Times New Roman;Times;Serif" w:hAnsi="Times New Roman;Times;Serif"/>
          <w:b w:val="false"/>
          <w:i w:val="false"/>
          <w:caps w:val="false"/>
          <w:smallCaps w:val="false"/>
          <w:sz w:val="20"/>
          <w:u w:val="single"/>
        </w:rPr>
        <w:t>subsection 2.1.5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Piggyback Registration.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2.2.1 </w:t>
      </w:r>
      <w:r>
        <w:rPr>
          <w:rFonts w:ascii="Times New Roman;Times;Serif" w:hAnsi="Times New Roman;Times;Serif"/>
          <w:b w:val="false"/>
          <w:i w:val="false"/>
          <w:caps w:val="false"/>
          <w:smallCaps w:val="false"/>
          <w:sz w:val="20"/>
          <w:u w:val="single"/>
        </w:rPr>
        <w:t>Piggyback Rights</w:t>
      </w:r>
      <w:r>
        <w:rPr>
          <w:rFonts w:ascii="Times New Roman;Times;Serif" w:hAnsi="Times New Roman;Times;Serif"/>
          <w:b w:val="false"/>
          <w:i w:val="false"/>
          <w:caps w:val="false"/>
          <w:smallCaps w:val="false"/>
          <w:sz w:val="20"/>
        </w:rPr>
        <w:t>. If, at any time and from time to time on or after the expiration of the Lock-up Period applicable to the Registrable Securities of a Holder (if any),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hereof), other than a Registration Statement (i) filed in connection with any employee stock option or other benefit plan on Form S-8 (or other successor registration statement form thereof), (ii) for an exchange offer or offering of securities solely to the Company’s existing stockholders, (iii) for an offering of debt that is convertible into equity securities of the Company, (iv) for a dividend reinvestment plan, or (v) filed on Form S-4 (or any successor registration statement form thereof), then the Company shall give written notice of such proposed filing to all of the Holders of Registrable Securities and the holders of other equity securities that the Company is obligated to register in a Registration (collectively, the “</w:t>
      </w:r>
      <w:r>
        <w:rPr>
          <w:rFonts w:ascii="Times New Roman;Times;Serif" w:hAnsi="Times New Roman;Times;Serif"/>
          <w:b/>
          <w:i/>
          <w:caps w:val="false"/>
          <w:smallCaps w:val="false"/>
          <w:sz w:val="20"/>
        </w:rPr>
        <w:t>Other Holders</w:t>
      </w:r>
      <w:r>
        <w:rPr>
          <w:rFonts w:ascii="Times New Roman;Times;Serif" w:hAnsi="Times New Roman;Times;Serif"/>
          <w:b w:val="false"/>
          <w:i w:val="false"/>
          <w:caps w:val="false"/>
          <w:smallCaps w:val="false"/>
          <w:sz w:val="20"/>
        </w:rPr>
        <w:t>”) pursuant to separate written contractual piggy-back registration rights (including, without limitation, pursuant to the Sponsor’s Registration Rights Agreement)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Times New Roman;Times;Serif" w:hAnsi="Times New Roman;Times;Serif"/>
          <w:b/>
          <w:i/>
          <w:caps w:val="false"/>
          <w:smallCaps w:val="false"/>
          <w:sz w:val="20"/>
        </w:rPr>
        <w:t>Piggyback</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Registration</w:t>
      </w:r>
      <w:r>
        <w:rPr>
          <w:rFonts w:ascii="Times New Roman;Times;Serif" w:hAnsi="Times New Roman;Times;Serif"/>
          <w:b w:val="false"/>
          <w:i w:val="false"/>
          <w:caps w:val="false"/>
          <w:smallCaps w:val="false"/>
          <w:sz w:val="20"/>
        </w:rPr>
        <w:t xml:space="preserve">”). The Company shall, in good faith, cause such Registrable Securities and, subject to the provisions of </w:t>
      </w:r>
      <w:r>
        <w:rPr>
          <w:rFonts w:ascii="Times New Roman;Times;Serif" w:hAnsi="Times New Roman;Times;Serif"/>
          <w:b w:val="false"/>
          <w:i w:val="false"/>
          <w:caps w:val="false"/>
          <w:smallCaps w:val="false"/>
          <w:sz w:val="20"/>
          <w:u w:val="single"/>
        </w:rPr>
        <w:t>subsection 2.2.2</w:t>
      </w:r>
      <w:r>
        <w:rPr>
          <w:rFonts w:ascii="Times New Roman;Times;Serif" w:hAnsi="Times New Roman;Times;Serif"/>
          <w:b w:val="false"/>
          <w:i w:val="false"/>
          <w:caps w:val="false"/>
          <w:smallCaps w:val="false"/>
          <w:sz w:val="20"/>
        </w:rPr>
        <w:t xml:space="preserve">, the securities of any Other Holders to be included in such Piggyback Registration and shall use its reasonable best efforts to cause the managing Underwriter or Underwriters of a proposed Underwritten Offering to permit the Registrable Securities and, subject to the provisions of </w:t>
      </w:r>
      <w:r>
        <w:rPr>
          <w:rFonts w:ascii="Times New Roman;Times;Serif" w:hAnsi="Times New Roman;Times;Serif"/>
          <w:b w:val="false"/>
          <w:i w:val="false"/>
          <w:caps w:val="false"/>
          <w:smallCaps w:val="false"/>
          <w:sz w:val="20"/>
          <w:u w:val="single"/>
        </w:rPr>
        <w:t>subsection 2.2.2</w:t>
      </w:r>
      <w:r>
        <w:rPr>
          <w:rFonts w:ascii="Times New Roman;Times;Serif" w:hAnsi="Times New Roman;Times;Serif"/>
          <w:b w:val="false"/>
          <w:i w:val="false"/>
          <w:caps w:val="false"/>
          <w:smallCaps w:val="false"/>
          <w:sz w:val="20"/>
        </w:rPr>
        <w:t>, the securities of any Other Holders requested by the Holders or Other Holders, as applicable, pursuant to this </w:t>
      </w:r>
      <w:r>
        <w:rPr>
          <w:rFonts w:ascii="Times New Roman;Times;Serif" w:hAnsi="Times New Roman;Times;Serif"/>
          <w:b w:val="false"/>
          <w:i w:val="false"/>
          <w:caps w:val="false"/>
          <w:smallCaps w:val="false"/>
          <w:sz w:val="20"/>
          <w:u w:val="single"/>
        </w:rPr>
        <w:t>subsection 2.2.1</w:t>
      </w:r>
      <w:r>
        <w:rPr>
          <w:rFonts w:ascii="Times New Roman;Times;Serif" w:hAnsi="Times New Roman;Times;Serif"/>
          <w:b w:val="false"/>
          <w:i w:val="false"/>
          <w:caps w:val="false"/>
          <w:smallCaps w:val="false"/>
          <w:sz w:val="20"/>
        </w:rPr>
        <w:t>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Times New Roman;Times;Serif" w:hAnsi="Times New Roman;Times;Serif"/>
          <w:b w:val="false"/>
          <w:i w:val="false"/>
          <w:caps w:val="false"/>
          <w:smallCaps w:val="false"/>
          <w:sz w:val="20"/>
          <w:u w:val="single"/>
        </w:rPr>
        <w:t>subsection 2.2.1</w:t>
      </w:r>
      <w:r>
        <w:rPr>
          <w:rFonts w:ascii="Times New Roman;Times;Serif" w:hAnsi="Times New Roman;Times;Serif"/>
          <w:b w:val="false"/>
          <w:i w:val="false"/>
          <w:caps w:val="false"/>
          <w:smallCaps w:val="false"/>
          <w:sz w:val="20"/>
        </w:rPr>
        <w:t> shall enter into an underwriting agreement in customary form with the Underwriter(s) selected for such Underwritten Offering by the Company and, if requested by the Underwriter(s), shall execute a customary lock-up agreement in favor of the Underwriters (in each case on substantially the same terms and conditions as all such Holders participating in such Underwritten Offering).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2.2.2 </w:t>
      </w:r>
      <w:r>
        <w:rPr>
          <w:rFonts w:ascii="Times New Roman;Times;Serif" w:hAnsi="Times New Roman;Times;Serif"/>
          <w:b w:val="false"/>
          <w:i w:val="false"/>
          <w:caps w:val="false"/>
          <w:smallCaps w:val="false"/>
          <w:sz w:val="20"/>
          <w:u w:val="single"/>
        </w:rPr>
        <w:t>Reduction of Piggyback Registration</w:t>
      </w:r>
      <w:r>
        <w:rPr>
          <w:rFonts w:ascii="Times New Roman;Times;Serif" w:hAnsi="Times New Roman;Times;Serif"/>
          <w:b w:val="false"/>
          <w:i w:val="false"/>
          <w:caps w:val="false"/>
          <w:smallCaps w:val="false"/>
          <w:sz w:val="20"/>
        </w:rPr>
        <w:t>.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the shares of Common Stock that the Company desires to sell, taken together with (i) the shares of Common Stock, if any, as to which Registration has been demanded pursuant to separate written contractual arrangements (including, without limitation, pursuant to the Sponsor’s Registration Rights Agreement) with any Other Holders, (ii) the Registrable Securities as to which registration has been requested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hereof, and (iii) the shares of Common Stock, if any, as to which Registration has been requested pursuant to separate written contractual piggy-back registration rights of Other Holders (including, without limitation, pursuant to the Sponsor’s Registration Rights Agreement), exceeds the Maximum Number of Securities, then: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Registration is undertaken for the Company’s account, the Company shall include in any such Registration (A) first, the Common Stock or other equity securities that the Company desires to sell, which can be sold without exceeding the Maximum Number of Securities; and (B) second, to the extent that the Maximum Number of Securities has not been reached under the foregoing clause (A), the Registrable Securities of Holders exercising their rights to register their Registrable Securities pursuant to </w:t>
      </w:r>
      <w:r>
        <w:rPr>
          <w:rFonts w:ascii="Times New Roman;Times;Serif" w:hAnsi="Times New Roman;Times;Serif"/>
          <w:b w:val="false"/>
          <w:i w:val="false"/>
          <w:caps w:val="false"/>
          <w:smallCaps w:val="false"/>
          <w:sz w:val="20"/>
          <w:u w:val="single"/>
        </w:rPr>
        <w:t>subsection 2.2.1</w:t>
      </w:r>
      <w:r>
        <w:rPr>
          <w:rFonts w:ascii="Times New Roman;Times;Serif" w:hAnsi="Times New Roman;Times;Serif"/>
          <w:b w:val="false"/>
          <w:i w:val="false"/>
          <w:caps w:val="false"/>
          <w:smallCaps w:val="false"/>
          <w:sz w:val="20"/>
        </w:rPr>
        <w:t> hereof and the Common Stock, if any, as to which Registration has been requested by any Other Holders pursuant to separate written contractual piggy-back registration rights (including, without limitation, pursuant to the Sponsor’s Registration Rights Agreement), pro rata based on the respective number of Registrable Securities or shares of Common Stock that such Holder or Other Holder, as applicable, has requested be included in such Piggyback Registration relative to the total number of Registrable Securities and shares of Common Stock that all Holders and Other Holders have requested be included in such Piggyback Registration, which can be sold without exceeding the Maximum Number of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Registration is pursuant to a request by persons or entities other than the Holders of Registrable Securities, then the Company shall include in any such Registration (A) first, the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second, to the extent that the Maximum Number of Securities has not been reached under the foregoing clause (A), the Registrable Securities of Holders exercising their rights to register their Registrable Securities pursuant to </w:t>
      </w:r>
      <w:r>
        <w:rPr>
          <w:rFonts w:ascii="Times New Roman;Times;Serif" w:hAnsi="Times New Roman;Times;Serif"/>
          <w:b w:val="false"/>
          <w:i w:val="false"/>
          <w:caps w:val="false"/>
          <w:smallCaps w:val="false"/>
          <w:sz w:val="20"/>
          <w:u w:val="single"/>
        </w:rPr>
        <w:t>subsection 2.2.1</w:t>
      </w:r>
      <w:r>
        <w:rPr>
          <w:rFonts w:ascii="Times New Roman;Times;Serif" w:hAnsi="Times New Roman;Times;Serif"/>
          <w:b w:val="false"/>
          <w:i w:val="false"/>
          <w:caps w:val="false"/>
          <w:smallCaps w:val="false"/>
          <w:sz w:val="20"/>
        </w:rPr>
        <w:t> hereof and the Common Stock, if any, as to which Registration has been requested by any Other Holders (pro rata based on the respective number of Registrable Securities and shares of Common Stock that such Holder or Other Holder, as applicable, has requested be included in such Piggyback Registration relative to the total number of Registrable Securities and shares of Common Stock that all Holders and Other Holders have requested be included in such Piggyback Registration), which can be sold without exceeding the Maximum Number of Securities; and (C) third, to the extent that the Maximum Number of Securities has not been reached under the foregoing clauses (A) and (B), the Common Stock or other equity securities that the Company desires to sell, which can be sold without exceeding the Maximum Number of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2.2.3 </w:t>
      </w:r>
      <w:r>
        <w:rPr>
          <w:rFonts w:ascii="Times New Roman;Times;Serif" w:hAnsi="Times New Roman;Times;Serif"/>
          <w:b w:val="false"/>
          <w:i w:val="false"/>
          <w:caps w:val="false"/>
          <w:smallCaps w:val="false"/>
          <w:sz w:val="20"/>
          <w:u w:val="single"/>
        </w:rPr>
        <w:t>Piggyback Registration Withdrawal</w:t>
      </w:r>
      <w:r>
        <w:rPr>
          <w:rFonts w:ascii="Times New Roman;Times;Serif" w:hAnsi="Times New Roman;Times;Serif"/>
          <w:b w:val="false"/>
          <w:i w:val="false"/>
          <w:caps w:val="false"/>
          <w:smallCaps w:val="false"/>
          <w:sz w:val="20"/>
        </w:rPr>
        <w:t>.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including, without limitation, pursuant to the Sponsor’s Registration Rights Agreement)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Times;Serif" w:hAnsi="Times New Roman;Times;Serif"/>
          <w:b w:val="false"/>
          <w:i w:val="false"/>
          <w:caps w:val="false"/>
          <w:smallCaps w:val="false"/>
          <w:sz w:val="20"/>
          <w:u w:val="single"/>
        </w:rPr>
        <w:t>subsection 2.2.3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2.2.4 </w:t>
      </w:r>
      <w:r>
        <w:rPr>
          <w:rFonts w:ascii="Times New Roman;Times;Serif" w:hAnsi="Times New Roman;Times;Serif"/>
          <w:b w:val="false"/>
          <w:i w:val="false"/>
          <w:caps w:val="false"/>
          <w:smallCaps w:val="false"/>
          <w:sz w:val="20"/>
          <w:u w:val="single"/>
        </w:rPr>
        <w:t>Unlimited Piggyback Registration Rights</w:t>
      </w:r>
      <w:r>
        <w:rPr>
          <w:rFonts w:ascii="Times New Roman;Times;Serif" w:hAnsi="Times New Roman;Times;Serif"/>
          <w:b w:val="false"/>
          <w:i w:val="false"/>
          <w:caps w:val="false"/>
          <w:smallCaps w:val="false"/>
          <w:sz w:val="20"/>
        </w:rPr>
        <w:t>. For purposes of clarity, any Registration effected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hereof shall not be counted as a Registration pursuant to a Demand Registration effected under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Registrations on Form S-3.</w:t>
      </w:r>
      <w:r>
        <w:rPr>
          <w:rFonts w:ascii="Times New Roman;Times;Serif" w:hAnsi="Times New Roman;Times;Serif"/>
          <w:b w:val="false"/>
          <w:i w:val="false"/>
          <w:caps w:val="false"/>
          <w:smallCaps w:val="false"/>
          <w:sz w:val="20"/>
        </w:rPr>
        <w:t xml:space="preserve"> The Holders of Registrable Securities may, at any time and from time to time on or after the expiration of the Lock-up Period applicable to the Registrable Securities of a Holder (if any), request in writing that the Company, pursuant to Rule 415 under the Securities Act (or any successor rule promulgated thereafter by the Commission), register the resale of any or all of their Registrable Securities on Form S-3 or any similar short form registration statement that may be available at such time (“</w:t>
      </w:r>
      <w:r>
        <w:rPr>
          <w:rFonts w:ascii="Times New Roman;Times;Serif" w:hAnsi="Times New Roman;Times;Serif"/>
          <w:b/>
          <w:i/>
          <w:caps w:val="false"/>
          <w:smallCaps w:val="false"/>
          <w:sz w:val="20"/>
        </w:rPr>
        <w:t>Form S-3</w:t>
      </w:r>
      <w:r>
        <w:rPr>
          <w:rFonts w:ascii="Times New Roman;Times;Serif" w:hAnsi="Times New Roman;Times;Serif"/>
          <w:b w:val="false"/>
          <w:i w:val="false"/>
          <w:caps w:val="false"/>
          <w:smallCaps w:val="false"/>
          <w:sz w:val="20"/>
        </w:rPr>
        <w:t>”); provided, however, that the Company shall not be obligated to effect such request through an Underwritten Offering. Within five (5)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ten (10) days after the receipt by the Holder of the notice from the Company. As soon as practicable thereafter, but not more than twelve (12) days after the Company’s initial receipt of such written request for a Registration on Form S-3,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provided, however, that the Company shall not be obligated to effect any such Registration pursuant to Section 2.3 hereof if (i) a Form S-3 is not available for such offering; or (ii)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$[10,000,000].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Restrictions on Registration Rights</w:t>
      </w:r>
      <w:r>
        <w:rPr>
          <w:rFonts w:ascii="Times New Roman;Times;Serif" w:hAnsi="Times New Roman;Times;Serif"/>
          <w:b w:val="false"/>
          <w:i w:val="false"/>
          <w:caps w:val="false"/>
          <w:smallCaps w:val="false"/>
          <w:sz w:val="20"/>
        </w:rPr>
        <w:t>.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Times New Roman;Times;Serif" w:hAnsi="Times New Roman;Times;Serif"/>
          <w:b w:val="false"/>
          <w:i w:val="false"/>
          <w:caps w:val="false"/>
          <w:smallCaps w:val="false"/>
          <w:sz w:val="20"/>
          <w:u w:val="single"/>
        </w:rPr>
        <w:t>subsection 2.1.1</w:t>
      </w:r>
      <w:r>
        <w:rPr>
          <w:rFonts w:ascii="Times New Roman;Times;Serif" w:hAnsi="Times New Roman;Times;Serif"/>
          <w:b w:val="false"/>
          <w:i w:val="false"/>
          <w:caps w:val="false"/>
          <w:smallCaps w:val="false"/>
          <w:sz w:val="20"/>
        </w:rPr>
        <w:t>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provided, however, that the Company shall not defer its obligation in this manner more than once in any 12-month period.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t>COMPANY PROCEDURES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General Procedures</w:t>
      </w:r>
      <w:r>
        <w:rPr>
          <w:rFonts w:ascii="Times New Roman;Times;Serif" w:hAnsi="Times New Roman;Times;Serif"/>
          <w:b w:val="false"/>
          <w:i w:val="false"/>
          <w:caps w:val="false"/>
          <w:smallCaps w:val="false"/>
          <w:sz w:val="20"/>
        </w:rPr>
        <w:t>. If at any time on or after the date of this Agreement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prepare and file with the Commission such amendments and post-effective amendments to the Registration Statement, and such supplements to the Prospectus, as may be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cause all such Registrable Securities to be listed on each securities exchange or automated quotation system on which similar securities issued by the Company are then listed;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provide a transfer agent or warrant agent, as applicable, and registrar for all such Registrable Securities no later than the effective date of such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 at least five (5) days prior to the filing of any Registration Statement or Prospectus or any amendment or supplement to such Registration Statement, furnish a copy thereof to each seller of such Registrable Securities and its counsel, including, without limitation, providing copies promptly upon receipt of any comment letters received with respect to any such Registration Statement or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3.1.10 permit a representative of the Holders (such representative to be selected by a majority of the participating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representatives or Underwriters enter into a confidentiality agreement, in form and substance reasonably satisfactory to the Company, prior to the release or disclosure of any such information;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the Company may not include the name of any Holder or Underwriter or any information regarding any Holder or Underwriter in any Registration Statement or Prospectus, any amendment or supplement to such Registration Statement or Prospectus, any document that is to be incorporated by reference into such Registration Statement or Prospectus, or any response to any comment letter, without the prior written consent of such Holder or Underwriter and providing each such Holder or Underwriter a reasonable amount of time to review and comment on such applicable document, which comments the Company shall include unless contrary to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3.1.11 obtain a “cold comfort” letter from the Company’s independent registered public accountants in the event of an Underwritten Registration which the participating Holders may rely on, in customary form and covering such matters of the type customarily covered by “cold comfort” letters as the managing Underwriter may reasonably request, and reasonably satisfactory to a majority-in-interest of the participating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3.1.13 in the event of any Underwritten Offering, enter into and perform its obligations under an underwriting agreement, in usual and customary form, with the managing Underwriter of such offering;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3.1.15 if the Registration involves the Registration of Registrable Securities involving gross proceeds in excess of $25,000,000, use its reasonable efforts to make available senior executives of the Company to participate in customary “road show” presentations that may be reasonably requested by the Underwriter in any Underwritten Offering;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3.1.16 otherwise, in good faith, cooperate reasonably with, and take such customary actions as may reasonably be requested by the Holders, in connection with such Registration.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Requirements for Participation in Underwritten Offerings</w:t>
      </w:r>
      <w:r>
        <w:rPr>
          <w:rFonts w:ascii="Times New Roman;Times;Serif" w:hAnsi="Times New Roman;Times;Serif"/>
          <w:b w:val="false"/>
          <w:i w:val="false"/>
          <w:caps w:val="false"/>
          <w:smallCaps w:val="false"/>
          <w:sz w:val="20"/>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Suspension of Sales; Adverse Disclosure</w:t>
      </w:r>
      <w:r>
        <w:rPr>
          <w:rFonts w:ascii="Times New Roman;Times;Serif" w:hAnsi="Times New Roman;Times;Serif"/>
          <w:b w:val="false"/>
          <w:i w:val="false"/>
          <w:caps w:val="false"/>
          <w:smallCaps w:val="false"/>
          <w:sz w:val="20"/>
        </w:rPr>
        <w:t>. Upon receipt of written notice from the Company that a Registration Statement or Prospectus contains a Misstatement, each of the Holders shall forthwith discontinue disposition of Registrable Securities until such Holder has received copies of a supplemented or amended Prospectus correcting the Misstatement (it being understood that the Company hereby covenants to prepare and file such supplement or amendment as soon as practicable after the time of such notice), or until such Holder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Reporting Obligations</w:t>
      </w:r>
      <w:r>
        <w:rPr>
          <w:rFonts w:ascii="Times New Roman;Times;Serif" w:hAnsi="Times New Roman;Times;Serif"/>
          <w:b w:val="false"/>
          <w:i w:val="false"/>
          <w:caps w:val="false"/>
          <w:smallCaps w:val="false"/>
          <w:sz w:val="20"/>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t>INDEMNIFICATION AND CONTRIBUTION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or on behalf of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or on behalf of such Holder expressly for use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(plus local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If the indemnification provided under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liability of any Holder under this </w:t>
      </w:r>
      <w:r>
        <w:rPr>
          <w:rFonts w:ascii="Times New Roman;Times;Serif" w:hAnsi="Times New Roman;Times;Serif"/>
          <w:b w:val="false"/>
          <w:i w:val="false"/>
          <w:caps w:val="false"/>
          <w:smallCaps w:val="false"/>
          <w:sz w:val="20"/>
          <w:u w:val="single"/>
        </w:rPr>
        <w:t>subsection 4.1.5</w:t>
      </w:r>
      <w:r>
        <w:rPr>
          <w:rFonts w:ascii="Times New Roman;Times;Serif" w:hAnsi="Times New Roman;Times;Serif"/>
          <w:b w:val="false"/>
          <w:i w:val="false"/>
          <w:caps w:val="false"/>
          <w:smallCaps w:val="false"/>
          <w:sz w:val="20"/>
        </w:rPr>
        <w:t>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Times;Serif" w:hAnsi="Times New Roman;Times;Serif"/>
          <w:b w:val="false"/>
          <w:i w:val="false"/>
          <w:caps w:val="false"/>
          <w:smallCaps w:val="false"/>
          <w:sz w:val="20"/>
          <w:u w:val="single"/>
        </w:rPr>
        <w:t>subsections 4.1.1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4.1.2</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4.1.3</w:t>
      </w:r>
      <w:r>
        <w:rPr>
          <w:rFonts w:ascii="Times New Roman;Times;Serif" w:hAnsi="Times New Roman;Times;Serif"/>
          <w:b w:val="false"/>
          <w:i w:val="false"/>
          <w:caps w:val="false"/>
          <w:smallCaps w:val="false"/>
          <w:sz w:val="20"/>
        </w:rPr>
        <w:t> above, any legal or other fees, charges or expenses reasonably incurred by such party in connection with any investigation or proceeding. The parties hereto agree that it would not be just and equitable if contribution pursuant to this </w:t>
      </w:r>
      <w:r>
        <w:rPr>
          <w:rFonts w:ascii="Times New Roman;Times;Serif" w:hAnsi="Times New Roman;Times;Serif"/>
          <w:b w:val="false"/>
          <w:i w:val="false"/>
          <w:caps w:val="false"/>
          <w:smallCaps w:val="false"/>
          <w:sz w:val="20"/>
          <w:u w:val="single"/>
        </w:rPr>
        <w:t>subsection 4.1.5</w:t>
      </w:r>
      <w:r>
        <w:rPr>
          <w:rFonts w:ascii="Times New Roman;Times;Serif" w:hAnsi="Times New Roman;Times;Serif"/>
          <w:b w:val="false"/>
          <w:i w:val="false"/>
          <w:caps w:val="false"/>
          <w:smallCaps w:val="false"/>
          <w:sz w:val="20"/>
        </w:rPr>
        <w:t> were determined by pro rata allocation or by any other method of allocation, which does not take account of the equitable considerations referred to in this </w:t>
      </w:r>
      <w:r>
        <w:rPr>
          <w:rFonts w:ascii="Times New Roman;Times;Serif" w:hAnsi="Times New Roman;Times;Serif"/>
          <w:b w:val="false"/>
          <w:i w:val="false"/>
          <w:caps w:val="false"/>
          <w:smallCaps w:val="false"/>
          <w:sz w:val="20"/>
          <w:u w:val="single"/>
        </w:rPr>
        <w:t>subsection 4.1.5</w:t>
      </w:r>
      <w:r>
        <w:rPr>
          <w:rFonts w:ascii="Times New Roman;Times;Serif" w:hAnsi="Times New Roman;Times;Serif"/>
          <w:b w:val="false"/>
          <w:i w:val="false"/>
          <w:caps w:val="false"/>
          <w:smallCaps w:val="false"/>
          <w:sz w:val="20"/>
        </w:rPr>
        <w:t>. No person guilty of fraudulent misrepresentation (within the meaning of Section 11(f) of the Securities Act) shall be entitled to contribution pursuant to this </w:t>
      </w:r>
      <w:r>
        <w:rPr>
          <w:rFonts w:ascii="Times New Roman;Times;Serif" w:hAnsi="Times New Roman;Times;Serif"/>
          <w:b w:val="false"/>
          <w:i w:val="false"/>
          <w:caps w:val="false"/>
          <w:smallCaps w:val="false"/>
          <w:sz w:val="20"/>
          <w:u w:val="single"/>
        </w:rPr>
        <w:t>subsection 4.1.5</w:t>
      </w:r>
      <w:r>
        <w:rPr>
          <w:rFonts w:ascii="Times New Roman;Times;Serif" w:hAnsi="Times New Roman;Times;Serif"/>
          <w:b w:val="false"/>
          <w:i w:val="false"/>
          <w:caps w:val="false"/>
          <w:smallCaps w:val="false"/>
          <w:sz w:val="20"/>
        </w:rPr>
        <w:t> from any person who was not guilty of such fraudulent misrepresentation.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t>LOCK-UP</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Lock-Up.</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Except as permitted by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during the Lock-up Period, each Holder shall not (i) Transfer any shares of Common Stock beneficially owned or owned of record by such Holder, (ii) enter into any swap or other arrangement that transfers to another, in whole or in part, any of the economic consequences of ownership of any of the Common Stock then subject to the Lock-Up Period, whether any such transaction is to be settled by delivery of the Common Stock or such other securities, in cash or otherwise, or (iii) publicly announce any intention to effect any transaction specified in clause (i) or (ii).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Exceptions</w:t>
      </w:r>
      <w:r>
        <w:rPr>
          <w:rFonts w:ascii="Times New Roman;Times;Serif" w:hAnsi="Times New Roman;Times;Serif"/>
          <w:b w:val="false"/>
          <w:i w:val="false"/>
          <w:caps w:val="false"/>
          <w:smallCaps w:val="false"/>
          <w:sz w:val="20"/>
        </w:rPr>
        <w:t xml:space="preserve">. The provisions of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shall not apply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 transactions relating to shares of Common Stock acquired in open market transactions after the Effective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 Transfers of shares of Common Stock or any security convertible into or exercisable or exchangeable for Common Stock as a bona fide gift;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 Transfers of shares of Common Stock to a trust, or other entity formed for estate planning purposes for the primary benefit of the spouse, domestic partner, parent, sibling, child or grandchild of the undersigned or any other person with whom the undersigned has a relationship by blood, marriage or adoption not more remote than first cousin;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 Transfers by will or intestate succession upon the death of the undersigned;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 the Transfer of shares of Common Stock pursuant to a qualified domestic order or in connection with a divorce settlement;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 if the undersigned is a corporation, partnership (whether general, limited or otherwise), limited liability company, trust or other business entity, (i) Transfers to another corporation, partnership, limited liability company, trust or other business entity that controls, is controlled by or is under common control or management with the undersigned, (ii) distributions of shares of Common Stock to partners, limited liability company members or stockholders of the undersigned, or (iii) Transfers to any investment fund or other entity controlled or managed by the undersigned, or to any investment manager or investment advisor of the undersigned or an affiliate of any such investment manager or investment advisor;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 Transfers to the Company’s or the Holder’s officers, directors or their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 subject to any restrictions imposed on the Holder under the Securities Act or the Exchange Act or any policies of the Company, pledges of shares of Common Stock as security or collateral in connection with any borrowing or the incurrence of any indebtedness by any Holder (provided such borrowing or incurrence of indebtedness is secured by a portfolio of assets or equity interests issued by multiple issuers);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 transactions pursuant to a bona fide third-party tender offer, merger, stock sale, recapitalization, consolidation or other transaction involving a Change in Control of the Company, provided that in the event that such tender offer, merger, recapitalization, consolidation or other such transaction is not completed, the Common Stock subject to this Agreement shall remain subject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5.2.10 Transfers to the Company in connection with the repurchase by the Company from the undersigned of any Common Stock pursuant to a repurchase right arising upon the termination of the undersigned’s employment or service with the Company;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5.2.11 the establishment of a trading plan pursuant to Rule 10b5-1 promulgated under the Exchange Act, provided that such plan does not provide for the transfer of Common Stock or any securities convertible into or exercisable or exchangeable for Common Stock during the Lock-Up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the case of any Transfer or distribution pursuant to </w:t>
      </w:r>
      <w:r>
        <w:rPr>
          <w:rFonts w:ascii="Times New Roman;Times;Serif" w:hAnsi="Times New Roman;Times;Serif"/>
          <w:b w:val="false"/>
          <w:i w:val="false"/>
          <w:caps w:val="false"/>
          <w:smallCaps w:val="false"/>
          <w:sz w:val="20"/>
          <w:u w:val="single"/>
        </w:rPr>
        <w:t>Sections 5.2.3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5.2.6</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5.2.7</w:t>
      </w:r>
      <w:r>
        <w:rPr>
          <w:rFonts w:ascii="Times New Roman;Times;Serif" w:hAnsi="Times New Roman;Times;Serif"/>
          <w:b w:val="false"/>
          <w:i w:val="false"/>
          <w:caps w:val="false"/>
          <w:smallCaps w:val="false"/>
          <w:sz w:val="20"/>
        </w:rPr>
        <w:t xml:space="preserve">, each donee, distributee or other transferee shall agree in writing, in form and substance reasonably satisfactory to the Company, to be bound by the provisions of this </w:t>
      </w:r>
      <w:r>
        <w:rPr>
          <w:rFonts w:ascii="Times New Roman;Times;Serif" w:hAnsi="Times New Roman;Times;Serif"/>
          <w:b w:val="false"/>
          <w:i/>
          <w:caps w:val="false"/>
          <w:smallCaps w:val="false"/>
          <w:sz w:val="20"/>
        </w:rPr>
        <w:t>ARTICLE V</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br/>
        <w:t>MISCELLANEOUS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125 Townpark Drive, Suite 300, Kennesaw, GA 30144, and, if to any Holder, at such Holder’s address or contact information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Section 6.1.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Assignment; No Third Party Beneficiaries.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 This Agreement and the rights, duties and obligations of the Company hereunder may not be assigned or delegated by the Company in whole or in part.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6.2.2 A Holder may Transfer or assign, in whole or from time to time in part, to one or more Permitted Transferees, its rights and obligations under this Agreement and such rights will be Transferred to such transferee effective upon receipt by the Company of (A) written notice from such Holder stating the name and address of the transferee and identifying the number of Registrable Securities with respect to which rights under this Agreement are being Transferred and the nature of the rights so Transferred), and (B) except in the case of a Transfer to an existing Holder, a written agreement from such transferee to be bound by the terms of this Agreement. A transferee of Registrable Securities who satisfies the conditions set forth in this </w:t>
      </w:r>
      <w:r>
        <w:rPr>
          <w:rFonts w:ascii="Times New Roman;Times;Serif" w:hAnsi="Times New Roman;Times;Serif"/>
          <w:b w:val="false"/>
          <w:i w:val="false"/>
          <w:caps w:val="false"/>
          <w:smallCaps w:val="false"/>
          <w:sz w:val="20"/>
          <w:u w:val="single"/>
        </w:rPr>
        <w:t>subsection 6.2.2</w:t>
      </w:r>
      <w:r>
        <w:rPr>
          <w:rFonts w:ascii="Times New Roman;Times;Serif" w:hAnsi="Times New Roman;Times;Serif"/>
          <w:b w:val="false"/>
          <w:i w:val="false"/>
          <w:caps w:val="false"/>
          <w:smallCaps w:val="false"/>
          <w:sz w:val="20"/>
        </w:rPr>
        <w:t xml:space="preserve"> shall henceforth be a “Holder” for purposes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 This Agreement and the provisions hereof shall be binding upon and shall inure to the benefit of each of the parties and its successors and the permitted assigns of the Holders, which shall include Permitted Transferees.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 This Agreement shall not confer any rights or benefits on any persons that are not parties hereto, other than as expressly set forth in this Agreement and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 No assignment by any party hereto of such party’s rights, duties and obligations hereunder shall be binding upon or obligate the Company unless and until the Company shall have received (i) written notice of such assignment as provided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shall be null and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multiple counterparts (including facsimile, PDF, DocuSign or similarly executed counterparts), each of which shall be deemed an original, and all of which together shall constitute the same instrument, but only one of which need be produced.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Governing Law; Venue</w:t>
      </w:r>
      <w:r>
        <w:rPr>
          <w:rFonts w:ascii="Times New Roman;Times;Serif" w:hAnsi="Times New Roman;Times;Serif"/>
          <w:b w:val="false"/>
          <w:i w:val="false"/>
          <w:caps w:val="false"/>
          <w:smallCaps w:val="false"/>
          <w:sz w:val="20"/>
        </w:rPr>
        <w:t>. NOTWITHSTANDING THE PLACE WHERE THIS AGREEMENT MAY BE EXECUTED BY ANY OF THE PARTIES HERETO, THE PARTIES EXPRESSLY AGREE THAT (I) THIS AGREEMENT SHALL BE GOVERNED BY AND CONSTRUED UNDER THE LAWS OF THE STATE OF DELAWARE AS APPLIED TO AGREEMENTS AMONG NEW YORK RESIDENTS ENTERED INTO AND TO BE PERFORMED ENTIRELY WITHIN DELAWARE, WITHOUT REGARD TO THE CONFLICT OF LAW PROVISION OF SUCH JURISDICTION, AND (II) THE VENUE FOR ANY ACTION TAKEN WITH RESPECT TO THIS AGREEMENT SHALL BE ANY STATE OR FEDERAL COURT IN NEW YORK COUNTY IN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Amendments and Modifications</w:t>
      </w:r>
      <w:r>
        <w:rPr>
          <w:rFonts w:ascii="Times New Roman;Times;Serif" w:hAnsi="Times New Roman;Times;Serif"/>
          <w:b w:val="false"/>
          <w:i w:val="false"/>
          <w:caps w:val="false"/>
          <w:smallCaps w:val="false"/>
          <w:sz w:val="20"/>
        </w:rPr>
        <w:t>.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Holder, solely in such Holder’s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xml:space="preserve">. This Agreement shall terminate upon the earlier of (i) the tenth anniversary of the date of this Agreement or (ii) the date as of which (A) all of the Registrable Securities have been sold pursuant to a Registration Statement (but in no event prior to the applicable period referred to in Section 4(a)(3) of the Securities Act and Rule 174 thereunder (or any successor provision or rule promulgated thereafter by the Commission)) or (B) the Holders of all Registrable Securities are permitted to sell the Registrable Securities without registration pursuant to Rule 144 (or any similar provision) under the Securities Act with no volume or other restrictions or limitations. The provisions of Section 3.5, </w:t>
      </w:r>
      <w:r>
        <w:rPr>
          <w:rFonts w:ascii="Times New Roman;Times;Serif" w:hAnsi="Times New Roman;Times;Serif"/>
          <w:b w:val="false"/>
          <w:i/>
          <w:caps w:val="false"/>
          <w:smallCaps w:val="false"/>
          <w:sz w:val="20"/>
        </w:rPr>
        <w:t>Article 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ARTICLE V</w:t>
      </w:r>
      <w:r>
        <w:rPr>
          <w:rFonts w:ascii="Times New Roman;Times;Serif" w:hAnsi="Times New Roman;Times;Serif"/>
          <w:b w:val="false"/>
          <w:i w:val="false"/>
          <w:caps w:val="false"/>
          <w:smallCaps w:val="false"/>
          <w:sz w:val="20"/>
        </w:rPr>
        <w:t xml:space="preserve"> shall survive any 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WITNESS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WHEREOF</w:t>
      </w:r>
      <w:r>
        <w:rPr>
          <w:rFonts w:ascii="Times New Roman;Times;Serif" w:hAnsi="Times New Roman;Times;Serif"/>
          <w:b w:val="false"/>
          <w:i w:val="false"/>
          <w:caps w:val="false"/>
          <w:smallCaps w:val="false"/>
          <w:sz w:val="20"/>
        </w:rPr>
        <w:t>, the undersigned have caused this Agreement to be executed as of the date first written above.</w:t>
      </w:r>
    </w:p>
    <w:p>
      <w:pPr>
        <w:pStyle w:val="TextBody"/>
        <w:bidi w:val="0"/>
        <w:spacing w:before="0" w:after="0"/>
        <w:ind w:left="0" w:right="0" w:firstLine="500"/>
        <w:jc w:val="left"/>
        <w:rPr>
          <w:caps w:val="false"/>
          <w:smallCaps w:val="false"/>
        </w:rPr>
      </w:pPr>
      <w:r>
        <w:rPr>
          <w:caps w:val="false"/>
          <w:smallCaps w:val="false"/>
        </w:rPr>
        <w:t> </w:t>
      </w:r>
    </w:p>
    <w:tbl>
      <w:tblPr>
        <w:tblW w:w="3485" w:type="dxa"/>
        <w:jc w:val="left"/>
        <w:tblInd w:w="0" w:type="dxa"/>
        <w:tblLayout w:type="fixed"/>
        <w:tblCellMar>
          <w:top w:w="0" w:type="dxa"/>
          <w:left w:w="0" w:type="dxa"/>
          <w:bottom w:w="0" w:type="dxa"/>
          <w:right w:w="0" w:type="dxa"/>
        </w:tblCellMar>
      </w:tblPr>
      <w:tblGrid>
        <w:gridCol w:w="75"/>
        <w:gridCol w:w="649"/>
        <w:gridCol w:w="2761"/>
      </w:tblGrid>
      <w:tr>
        <w:trPr/>
        <w:tc>
          <w:tcPr>
            <w:tcW w:w="75" w:type="dxa"/>
            <w:tcBorders/>
            <w:vAlign w:val="center"/>
          </w:tcPr>
          <w:p>
            <w:pPr>
              <w:pStyle w:val="TableContents"/>
              <w:bidi w:val="0"/>
              <w:spacing w:before="0" w:after="283"/>
              <w:jc w:val="left"/>
              <w:rPr/>
            </w:pPr>
            <w:r>
              <w:rPr/>
              <w:t> </w:t>
            </w:r>
          </w:p>
        </w:tc>
        <w:tc>
          <w:tcPr>
            <w:tcW w:w="341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r>
      <w:tr>
        <w:trPr/>
        <w:tc>
          <w:tcPr>
            <w:tcW w:w="75" w:type="dxa"/>
            <w:tcBorders/>
            <w:vAlign w:val="center"/>
          </w:tcPr>
          <w:p>
            <w:pPr>
              <w:pStyle w:val="TableContents"/>
              <w:bidi w:val="0"/>
              <w:spacing w:before="0" w:after="283"/>
              <w:jc w:val="left"/>
              <w:rPr/>
            </w:pPr>
            <w:r>
              <w:rPr/>
              <w:t> </w:t>
            </w:r>
          </w:p>
        </w:tc>
        <w:tc>
          <w:tcPr>
            <w:tcW w:w="34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CID Holdco, Inc.</w:t>
            </w:r>
            <w:r>
              <w:rPr>
                <w:rFonts w:ascii="Times New Roman;Times;Serif" w:hAnsi="Times New Roman;Times;Serif"/>
                <w:sz w:val="20"/>
              </w:rPr>
              <w:t>, a Delaware corporation</w:t>
            </w:r>
          </w:p>
        </w:tc>
      </w:tr>
      <w:tr>
        <w:trPr/>
        <w:tc>
          <w:tcPr>
            <w:tcW w:w="75" w:type="dxa"/>
            <w:tcBorders/>
            <w:vAlign w:val="center"/>
          </w:tcPr>
          <w:p>
            <w:pPr>
              <w:pStyle w:val="TableContents"/>
              <w:bidi w:val="0"/>
              <w:spacing w:before="0" w:after="283"/>
              <w:jc w:val="left"/>
              <w:rPr/>
            </w:pPr>
            <w:r>
              <w:rPr/>
              <w:t> </w:t>
            </w:r>
          </w:p>
        </w:tc>
        <w:tc>
          <w:tcPr>
            <w:tcW w:w="34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61" w:type="dxa"/>
            <w:tcBorders>
              <w:bottom w:val="single" w:sz="12" w:space="0" w:color="000000"/>
            </w:tcBorders>
            <w:tcMar>
              <w:bottom w:w="28" w:type="dxa"/>
            </w:tcMar>
            <w:vAlign w:val="center"/>
          </w:tcPr>
          <w:p>
            <w:pPr>
              <w:pStyle w:val="TableContents"/>
              <w:bidi w:val="0"/>
              <w:spacing w:before="0" w:after="283"/>
              <w:jc w:val="left"/>
              <w:rPr/>
            </w:pPr>
            <w:r>
              <w:rPr/>
              <w:t>/s/ Phyllis Newhouse        </w:t>
            </w:r>
          </w:p>
        </w:tc>
      </w:tr>
      <w:tr>
        <w:trPr/>
        <w:tc>
          <w:tcPr>
            <w:tcW w:w="75"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761" w:type="dxa"/>
            <w:tcBorders/>
            <w:vAlign w:val="center"/>
          </w:tcPr>
          <w:p>
            <w:pPr>
              <w:pStyle w:val="TableContents"/>
              <w:bidi w:val="0"/>
              <w:spacing w:before="0" w:after="283"/>
              <w:jc w:val="left"/>
              <w:rPr/>
            </w:pPr>
            <w:r>
              <w:rPr/>
              <w:t>Phyllis Newhouse</w:t>
            </w:r>
          </w:p>
        </w:tc>
      </w:tr>
      <w:tr>
        <w:trPr/>
        <w:tc>
          <w:tcPr>
            <w:tcW w:w="75"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61"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Signature Page of Company to Registration Rights and Lock-Up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29" w:type="dxa"/>
        <w:jc w:val="left"/>
        <w:tblInd w:w="0" w:type="dxa"/>
        <w:tblLayout w:type="fixed"/>
        <w:tblCellMar>
          <w:top w:w="0" w:type="dxa"/>
          <w:left w:w="0" w:type="dxa"/>
          <w:bottom w:w="0" w:type="dxa"/>
          <w:right w:w="0" w:type="dxa"/>
        </w:tblCellMar>
      </w:tblPr>
      <w:tblGrid>
        <w:gridCol w:w="75"/>
        <w:gridCol w:w="776"/>
        <w:gridCol w:w="2978"/>
      </w:tblGrid>
      <w:tr>
        <w:trPr/>
        <w:tc>
          <w:tcPr>
            <w:tcW w:w="75"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HOLDERS:</w:t>
            </w:r>
          </w:p>
        </w:tc>
      </w:tr>
      <w:tr>
        <w:trPr/>
        <w:tc>
          <w:tcPr>
            <w:tcW w:w="75"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ShoulderUp Technology Sponsor LLC</w:t>
            </w:r>
          </w:p>
        </w:tc>
      </w:tr>
      <w:tr>
        <w:trPr/>
        <w:tc>
          <w:tcPr>
            <w:tcW w:w="75"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By:</w:t>
            </w:r>
          </w:p>
        </w:tc>
        <w:tc>
          <w:tcPr>
            <w:tcW w:w="2978" w:type="dxa"/>
            <w:tcBorders>
              <w:bottom w:val="single" w:sz="12" w:space="0" w:color="000000"/>
            </w:tcBorders>
            <w:tcMar>
              <w:bottom w:w="28" w:type="dxa"/>
            </w:tcMar>
            <w:vAlign w:val="center"/>
          </w:tcPr>
          <w:p>
            <w:pPr>
              <w:pStyle w:val="TableContents"/>
              <w:bidi w:val="0"/>
              <w:spacing w:before="0" w:after="283"/>
              <w:jc w:val="left"/>
              <w:rPr/>
            </w:pPr>
            <w:r>
              <w:rPr/>
              <w:t>/s/ Phyllis Newhouse</w:t>
            </w:r>
          </w:p>
        </w:tc>
      </w:tr>
      <w:tr>
        <w:trPr/>
        <w:tc>
          <w:tcPr>
            <w:tcW w:w="75"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Name:</w:t>
            </w:r>
          </w:p>
        </w:tc>
        <w:tc>
          <w:tcPr>
            <w:tcW w:w="2978" w:type="dxa"/>
            <w:tcBorders/>
            <w:vAlign w:val="center"/>
          </w:tcPr>
          <w:p>
            <w:pPr>
              <w:pStyle w:val="TableContents"/>
              <w:bidi w:val="0"/>
              <w:spacing w:before="0" w:after="283"/>
              <w:jc w:val="left"/>
              <w:rPr/>
            </w:pPr>
            <w:r>
              <w:rPr/>
              <w:t>Phyllis Newhouse</w:t>
            </w:r>
          </w:p>
        </w:tc>
      </w:tr>
      <w:tr>
        <w:trPr/>
        <w:tc>
          <w:tcPr>
            <w:tcW w:w="75"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54" w:type="dxa"/>
            <w:gridSpan w:val="2"/>
            <w:tcBorders>
              <w:bottom w:val="single" w:sz="12" w:space="0" w:color="000000"/>
            </w:tcBorders>
            <w:tcMar>
              <w:bottom w:w="28" w:type="dxa"/>
            </w:tcMar>
            <w:vAlign w:val="center"/>
          </w:tcPr>
          <w:p>
            <w:pPr>
              <w:pStyle w:val="TableContents"/>
              <w:bidi w:val="0"/>
              <w:spacing w:before="0" w:after="283"/>
              <w:jc w:val="left"/>
              <w:rPr/>
            </w:pPr>
            <w:r>
              <w:rPr/>
              <w:t>/s/ William Renny</w:t>
            </w:r>
          </w:p>
        </w:tc>
      </w:tr>
      <w:tr>
        <w:trPr/>
        <w:tc>
          <w:tcPr>
            <w:tcW w:w="75"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978" w:type="dxa"/>
            <w:tcBorders/>
            <w:vAlign w:val="center"/>
          </w:tcPr>
          <w:p>
            <w:pPr>
              <w:pStyle w:val="TableContents"/>
              <w:bidi w:val="0"/>
              <w:spacing w:before="0" w:after="283"/>
              <w:jc w:val="left"/>
              <w:rPr/>
            </w:pPr>
            <w:r>
              <w:rPr/>
              <w:t>William Renny                 </w:t>
            </w:r>
          </w:p>
        </w:tc>
      </w:tr>
      <w:tr>
        <w:trPr/>
        <w:tc>
          <w:tcPr>
            <w:tcW w:w="75"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54" w:type="dxa"/>
            <w:gridSpan w:val="2"/>
            <w:tcBorders>
              <w:bottom w:val="single" w:sz="12" w:space="0" w:color="000000"/>
            </w:tcBorders>
            <w:tcMar>
              <w:bottom w:w="28" w:type="dxa"/>
            </w:tcMar>
            <w:vAlign w:val="center"/>
          </w:tcPr>
          <w:p>
            <w:pPr>
              <w:pStyle w:val="TableContents"/>
              <w:bidi w:val="0"/>
              <w:spacing w:before="0" w:after="283"/>
              <w:jc w:val="left"/>
              <w:rPr/>
            </w:pPr>
            <w:r>
              <w:rPr/>
              <w:t>/s/ Charles Maddox</w:t>
            </w:r>
          </w:p>
        </w:tc>
      </w:tr>
      <w:tr>
        <w:trPr/>
        <w:tc>
          <w:tcPr>
            <w:tcW w:w="75"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78" w:type="dxa"/>
            <w:tcBorders/>
            <w:vAlign w:val="center"/>
          </w:tcPr>
          <w:p>
            <w:pPr>
              <w:pStyle w:val="TableContents"/>
              <w:bidi w:val="0"/>
              <w:spacing w:before="0" w:after="283"/>
              <w:jc w:val="left"/>
              <w:rPr/>
            </w:pPr>
            <w:r>
              <w:rPr/>
              <w:t>Charles Maddox</w:t>
            </w:r>
          </w:p>
        </w:tc>
      </w:tr>
      <w:tr>
        <w:trPr/>
        <w:tc>
          <w:tcPr>
            <w:tcW w:w="75"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54" w:type="dxa"/>
            <w:gridSpan w:val="2"/>
            <w:tcBorders>
              <w:bottom w:val="single" w:sz="12" w:space="0" w:color="000000"/>
            </w:tcBorders>
            <w:tcMar>
              <w:bottom w:w="28" w:type="dxa"/>
            </w:tcMar>
            <w:vAlign w:val="center"/>
          </w:tcPr>
          <w:p>
            <w:pPr>
              <w:pStyle w:val="TableContents"/>
              <w:bidi w:val="0"/>
              <w:spacing w:before="0" w:after="283"/>
              <w:jc w:val="left"/>
              <w:rPr/>
            </w:pPr>
            <w:r>
              <w:rPr/>
              <w:t>/s/ Edmund Nabrotzky</w:t>
            </w:r>
          </w:p>
        </w:tc>
      </w:tr>
      <w:tr>
        <w:trPr/>
        <w:tc>
          <w:tcPr>
            <w:tcW w:w="75"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78" w:type="dxa"/>
            <w:tcBorders/>
            <w:vAlign w:val="center"/>
          </w:tcPr>
          <w:p>
            <w:pPr>
              <w:pStyle w:val="TableContents"/>
              <w:bidi w:val="0"/>
              <w:spacing w:before="0" w:after="283"/>
              <w:jc w:val="left"/>
              <w:rPr/>
            </w:pPr>
            <w:r>
              <w:rPr/>
              <w:t>Edmund Nabrotzky</w:t>
            </w:r>
          </w:p>
        </w:tc>
      </w:tr>
      <w:tr>
        <w:trPr/>
        <w:tc>
          <w:tcPr>
            <w:tcW w:w="75"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54" w:type="dxa"/>
            <w:gridSpan w:val="2"/>
            <w:tcBorders>
              <w:bottom w:val="single" w:sz="12" w:space="0" w:color="000000"/>
            </w:tcBorders>
            <w:tcMar>
              <w:bottom w:w="28" w:type="dxa"/>
            </w:tcMar>
            <w:vAlign w:val="center"/>
          </w:tcPr>
          <w:p>
            <w:pPr>
              <w:pStyle w:val="TableContents"/>
              <w:bidi w:val="0"/>
              <w:spacing w:before="0" w:after="283"/>
              <w:jc w:val="left"/>
              <w:rPr/>
            </w:pPr>
            <w:r>
              <w:rPr/>
              <w:t>/s/ Sheldon Paul</w:t>
            </w:r>
          </w:p>
        </w:tc>
      </w:tr>
      <w:tr>
        <w:trPr/>
        <w:tc>
          <w:tcPr>
            <w:tcW w:w="75"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78" w:type="dxa"/>
            <w:tcBorders/>
            <w:vAlign w:val="center"/>
          </w:tcPr>
          <w:p>
            <w:pPr>
              <w:pStyle w:val="TableContents"/>
              <w:bidi w:val="0"/>
              <w:spacing w:before="0" w:after="283"/>
              <w:jc w:val="left"/>
              <w:rPr/>
            </w:pPr>
            <w:r>
              <w:rPr/>
              <w:t>Sheldon Paul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Signature Page of Holders to Registration Rights and Lock-Up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w:t>
      </w:r>
    </w:p>
    <w:p>
      <w:pPr>
        <w:pStyle w:val="TextBody"/>
        <w:bidi w:val="0"/>
        <w:spacing w:before="0" w:after="0"/>
        <w:ind w:left="0" w:right="0" w:hanging="0"/>
        <w:jc w:val="center"/>
        <w:rPr>
          <w:caps w:val="false"/>
          <w:smallCaps w:val="false"/>
        </w:rPr>
      </w:pPr>
      <w:r>
        <w:rPr>
          <w:caps w:val="false"/>
          <w:smallCaps w:val="false"/>
        </w:rPr>
        <w:t> </w:t>
      </w:r>
    </w:p>
    <w:tbl>
      <w:tblPr>
        <w:tblW w:w="4015" w:type="dxa"/>
        <w:jc w:val="left"/>
        <w:tblInd w:w="-10" w:type="dxa"/>
        <w:tblLayout w:type="fixed"/>
        <w:tblCellMar>
          <w:top w:w="28" w:type="dxa"/>
          <w:left w:w="28" w:type="dxa"/>
          <w:bottom w:w="28" w:type="dxa"/>
          <w:right w:w="28" w:type="dxa"/>
        </w:tblCellMar>
      </w:tblPr>
      <w:tblGrid>
        <w:gridCol w:w="2465"/>
        <w:gridCol w:w="1550"/>
      </w:tblGrid>
      <w:tr>
        <w:trPr/>
        <w:tc>
          <w:tcPr>
            <w:tcW w:w="246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and Address of Holder</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w:t>
            </w:r>
          </w:p>
        </w:tc>
      </w:tr>
      <w:tr>
        <w:trPr/>
        <w:tc>
          <w:tcPr>
            <w:tcW w:w="2465" w:type="dxa"/>
            <w:tcBorders>
              <w:left w:val="single" w:sz="8" w:space="0" w:color="000000"/>
              <w:bottom w:val="single" w:sz="8" w:space="0" w:color="000000"/>
              <w:right w:val="single" w:sz="8" w:space="0" w:color="000000"/>
            </w:tcBorders>
            <w:tcMar>
              <w:top w:w="0" w:type="dxa"/>
              <w:bottom w:w="45" w:type="dxa"/>
            </w:tcMar>
            <w:vAlign w:val="center"/>
          </w:tcPr>
          <w:p>
            <w:pPr>
              <w:pStyle w:val="TableContents"/>
              <w:bidi w:val="0"/>
              <w:spacing w:before="0" w:after="283"/>
              <w:jc w:val="left"/>
              <w:rPr/>
            </w:pPr>
            <w:r>
              <w:rPr/>
              <w:t> </w:t>
            </w:r>
          </w:p>
        </w:tc>
        <w:tc>
          <w:tcPr>
            <w:tcW w:w="1550" w:type="dxa"/>
            <w:tcBorders>
              <w:bottom w:val="single" w:sz="8" w:space="0" w:color="000000"/>
              <w:right w:val="single" w:sz="8" w:space="0" w:color="000000"/>
            </w:tcBorders>
            <w:tcMar>
              <w:top w:w="0" w:type="dxa"/>
              <w:left w:w="0" w:type="dxa"/>
              <w:bottom w:w="45"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Schedule A to Registration Rights and 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9" w:name="ea024660701ex10-11_cidhold.htm"/>
      <w:bookmarkStart w:id="40" w:name="ksea024660701ex1011_cidhold"/>
      <w:bookmarkEnd w:id="39"/>
      <w:bookmarkEnd w:id="40"/>
      <w:r>
        <w:rPr>
          <w:rFonts w:ascii="Times New Roman;Times;Serif" w:hAnsi="Times New Roman;Times;Serif"/>
          <w:b/>
          <w:i w:val="false"/>
          <w:caps w:val="false"/>
          <w:smallCaps w:val="false"/>
          <w:sz w:val="20"/>
        </w:rPr>
        <w:t>Exhibit 10.11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SHARE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Share Purchase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June 18, 2025, is made by and between New Circle Principal Investments LLC, a Delaware limited liability company (the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and CID HoldCo,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Investor and the Company may be referred to herein individually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desire that, upon the terms and subject to the conditions contained herein, the Company shall have the right to issue and sell to the Investor, from time to time as provided herein, and the Investor shall purchase from the Company, up to $50 million in aggregate gross purchase price of newly issued fully paid shares of the Company’s Common Stock, par value $0.0001 per share (the “</w:t>
      </w:r>
      <w:r>
        <w:rPr>
          <w:rFonts w:ascii="Times New Roman;Times;Serif" w:hAnsi="Times New Roman;Times;Serif"/>
          <w:b w:val="false"/>
          <w:i w:val="false"/>
          <w:caps w:val="false"/>
          <w:smallCaps w:val="false"/>
          <w:sz w:val="20"/>
          <w:u w:val="single"/>
        </w:rPr>
        <w:t>Common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has entered into a business combination agreement, dated as of March 18, 2024, by and among ShoulderUp Technology Acquisition Corp., a Delaware corporation (“</w:t>
      </w:r>
      <w:r>
        <w:rPr>
          <w:rFonts w:ascii="Times New Roman;Times;Serif" w:hAnsi="Times New Roman;Times;Serif"/>
          <w:b w:val="false"/>
          <w:i w:val="false"/>
          <w:caps w:val="false"/>
          <w:smallCaps w:val="false"/>
          <w:sz w:val="20"/>
          <w:u w:val="single"/>
        </w:rPr>
        <w:t>SUAC</w:t>
      </w:r>
      <w:r>
        <w:rPr>
          <w:rFonts w:ascii="Times New Roman;Times;Serif" w:hAnsi="Times New Roman;Times;Serif"/>
          <w:b w:val="false"/>
          <w:i w:val="false"/>
          <w:caps w:val="false"/>
          <w:smallCaps w:val="false"/>
          <w:sz w:val="20"/>
        </w:rPr>
        <w:t>”), and certain other parties thereto, pursuant to which the Company intends to consummate a business combination as set forth in the business combination agreement (the “</w:t>
      </w:r>
      <w:r>
        <w:rPr>
          <w:rFonts w:ascii="Times New Roman;Times;Serif" w:hAnsi="Times New Roman;Times;Serif"/>
          <w:b w:val="false"/>
          <w:i w:val="false"/>
          <w:caps w:val="false"/>
          <w:smallCaps w:val="false"/>
          <w:sz w:val="20"/>
          <w:u w:val="single"/>
        </w:rPr>
        <w:t>Business Combination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has applied to list the Common Shares for trading on the Nasdaq Stock Market under the symbol “DAIC;”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offer and sale of the Common Shares issuable hereunder will be made in reliance upon Section 4(a)(2) and/or Rule 506(b) of Regulation D promulgated by the Securities and Exchange Commission (“</w:t>
      </w:r>
      <w:r>
        <w:rPr>
          <w:rFonts w:ascii="Times New Roman;Times;Serif" w:hAnsi="Times New Roman;Times;Serif"/>
          <w:b w:val="false"/>
          <w:i w:val="false"/>
          <w:caps w:val="false"/>
          <w:smallCaps w:val="false"/>
          <w:sz w:val="20"/>
          <w:u w:val="single"/>
        </w:rPr>
        <w:t>Regulation D</w:t>
      </w:r>
      <w:r>
        <w:rPr>
          <w:rFonts w:ascii="Times New Roman;Times;Serif" w:hAnsi="Times New Roman;Times;Serif"/>
          <w:b w:val="false"/>
          <w:i w:val="false"/>
          <w:caps w:val="false"/>
          <w:smallCaps w:val="false"/>
          <w:sz w:val="20"/>
        </w:rPr>
        <w:t>”) under the Securities Act of 1933, as amended, and the rules and regulations promulgated thereunder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or upon such other exemption from the registration requirements of the Securities Act as may be available with respect to any or all of the transactions to be made hereunder;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are concurrently entering into a Registration Rights Agreement in the form attached as Exhibit A hereto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pursuant to which the Company shall register the resale of the Registrable Securities (as defined in the Registration Rights Agreement), upon the terms and subject to the conditions set forth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Certain 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in this Agreement shall have the meanings ascribed to such terms in Annex I hereto, and hereby made a part hereof, or as otherwise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Share Purchases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Share Purchases</w:t>
      </w:r>
      <w:r>
        <w:rPr>
          <w:rFonts w:ascii="Times New Roman;Times;Serif" w:hAnsi="Times New Roman;Times;Serif"/>
          <w:b w:val="false"/>
          <w:i w:val="false"/>
          <w:caps w:val="false"/>
          <w:smallCaps w:val="false"/>
          <w:sz w:val="20"/>
        </w:rPr>
        <w:t>. Upon the terms and subject to the conditions of this Agreement, during the Commitment Period, the Company, at its sole discretion, shall have the right, but not the obligation, to issue and sell to the Investor, and the Investor shall subscribe for and purchase from the Company, Shares by the delivery to the Investor of Purchase Notices on the following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Notice</w:t>
      </w:r>
      <w:r>
        <w:rPr>
          <w:rFonts w:ascii="Times New Roman;Times;Serif" w:hAnsi="Times New Roman;Times;Serif"/>
          <w:b w:val="false"/>
          <w:i w:val="false"/>
          <w:caps w:val="false"/>
          <w:smallCaps w:val="false"/>
          <w:sz w:val="20"/>
        </w:rPr>
        <w:t>. At any time during the Commitment Period, the Company may require the Investor to purchase Shares by (i) delivering a Purchase Notice to the Investor, subject to the satisfaction or waiver by the Investor of the conditions set forth in Annex II, and (ii) delivering an instruction letter to the transfer agent of the Company to initiate the DWAC of the number of shares indicated in such Purchase Notice to the brokerage account designated by the Investor, subject to adjustment pursuant to the Settlement Document (as defined below). The Company shall, in its sole discretion, select the number of Shares, not to exceed the Maximum Purchase Amount (unless otherwise agreed to in writing by the Company and the Investor), it desires to issue and sell to the Investor in each Purchase Notice and the Pricing Period to be used. There shall be no non-usages fee for not utilizing the Commitment Amount or any part thereof. Notwithstanding the foregoing, the Company shall not deliver any Purchase Notices during the PEA Period; at the time of delivering such Purchase Notice, there shall be no fundamental changes to the information set forth in the Registration Statement which would require the Company to file a post-effective amendment to the Registration Statement, and the Purchase Notice shall be automatically cancelled and void if any such fundamental changes to the information set forth in the Registration Statement shall have occurred during the applicable Pricing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Date of Delivery of Purchase Notice</w:t>
      </w:r>
      <w:r>
        <w:rPr>
          <w:rFonts w:ascii="Times New Roman;Times;Serif" w:hAnsi="Times New Roman;Times;Serif"/>
          <w:b w:val="false"/>
          <w:i w:val="false"/>
          <w:caps w:val="false"/>
          <w:smallCaps w:val="false"/>
          <w:sz w:val="20"/>
        </w:rPr>
        <w:t xml:space="preserve">. Purchase Notices shall be delivered in accordance with the instructions set forth on the bottom of Exhibit B attached hereto. A Purchase Notice shall be deemed delivered on (i)(A) the day it is received by the Investor, if such Purchase Notice is received by e-mail at or before 9:00 a.m. New York City time, and (B) the instruction letter has been delivered to the transfer agent (e-mail shall be sufficient) at or before 9:00 a.m. New York City time, or (ii) the immediately succeeding day if either the Purchase Notice or instruction letter is received by e-mail after 9:00 a.m. New York City time;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upon mutual written consent of the Company and the Investor, a Purchase Notice or instruction letter that is delivered after 9:00 AM Eastern Time may be deemed to have been delivered prior to 9:00 AM Eastern Time of such day. Upon receipt of a Purchase Notice and/or instruction letter, the Investor shall promptly provide written confirmation (which may be by e-mail) of receipt of such Purchase Notice and/or instruction letter. For the avoidance of doubt, if the instruction letter is adjusted pursuant to the Settlement Document, such instruction letter will be deemed to have been delivered at the time of the initial instruction letter that was so adjusted for purposes of this Section 2.01(b).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Purchase Notice Limitations</w:t>
      </w:r>
      <w:r>
        <w:rPr>
          <w:rFonts w:ascii="Times New Roman;Times;Serif" w:hAnsi="Times New Roman;Times;Serif"/>
          <w:b w:val="false"/>
          <w:i w:val="false"/>
          <w:caps w:val="false"/>
          <w:smallCaps w:val="false"/>
          <w:sz w:val="20"/>
        </w:rPr>
        <w:t>. Regardless of the number of Shares requested by the Company in a Purchase Notice, the final number of Shares to be issued and sold pursuant to such Purchase Notice shall be reduced (if at all) in accordance with each of the following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Ownership Limitation; Commitment Amount</w:t>
      </w:r>
      <w:r>
        <w:rPr>
          <w:rFonts w:ascii="Times New Roman;Times;Serif" w:hAnsi="Times New Roman;Times;Serif"/>
          <w:b w:val="false"/>
          <w:i w:val="false"/>
          <w:caps w:val="false"/>
          <w:smallCaps w:val="false"/>
          <w:sz w:val="20"/>
        </w:rPr>
        <w:t>. At the request of the Company, the Investor will inform the Company in writing (which may be by e-mail) of the number of Common Shares the Investor currently beneficially owns. At the request of the Investor, the Company shall promptly confirm in writing (which may be by e-mail) to the Investor the number of Common Shares then outstanding. Notwithstanding anything to the contrary contained in this Agreement, the Investor shall not be obligated to purchase or acquire, and shall not purchase or acquire, any Shares under this Agreement which, when aggregated with all other Common Shares beneficially owned by the Investor and its affiliates (as calculated pursuant to Section 13(d) of the Exchange Act and Rule 13d-3 promulgated thereunder), would result in the beneficial ownership by the Investor and its affiliates (on an aggregated basis) to exceed 4.99% of the then outstanding voting power or number of Common Shares (the “</w:t>
      </w:r>
      <w:r>
        <w:rPr>
          <w:rFonts w:ascii="Times New Roman;Times;Serif" w:hAnsi="Times New Roman;Times;Serif"/>
          <w:b w:val="false"/>
          <w:i w:val="false"/>
          <w:caps w:val="false"/>
          <w:smallCaps w:val="false"/>
          <w:sz w:val="20"/>
          <w:u w:val="single"/>
        </w:rPr>
        <w:t>Ownership Limitation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upon delivery of a written notice to the Company, Investor may from time to time increase (with such increase not effective until the sixty-first (61st) day after delivery of such notice) or decrease the Ownership Limitation to 9.99%;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 any such increase in the Ownership Limitation will not be effective until the sixty-first (61st) day after such notice is delivered to the Company. In connection with each Purchase Notice, any portion of Shares requested to be purchased in such Purchase Notice that would (i) cause the Investor to exceed the Ownership Limitation or (ii) cause the aggregate number of Shares issued and sold to the Investor hereunder to exceed the Commitment Amount shall automatically be withdrawn with no further action required by the Company or the Investor, and such Purchase Notice shall be deemed automatically modified to reduce the number of Shares requested to be purchased by an amount equal to such withdrawn portion;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the event of any such automatic withdrawal and automatic modification, the Investor will promptly notify the Company of such event, including the number of Shares affected by such withdrawal or modification.</w:t>
      </w:r>
    </w:p>
    <w:p>
      <w:pPr>
        <w:pStyle w:val="TextBody"/>
        <w:bidi w:val="0"/>
        <w:spacing w:before="0" w:after="0"/>
        <w:ind w:left="0" w:right="0" w:firstLine="4565"/>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Registration Limitation</w:t>
      </w:r>
      <w:r>
        <w:rPr>
          <w:rFonts w:ascii="Times New Roman;Times;Serif" w:hAnsi="Times New Roman;Times;Serif"/>
          <w:b w:val="false"/>
          <w:i w:val="false"/>
          <w:caps w:val="false"/>
          <w:smallCaps w:val="false"/>
          <w:sz w:val="20"/>
        </w:rPr>
        <w:t>. In no event shall the number of Shares included in a Purchase Notice exceed the number of Common Shares registered in respect of the transactions contemplated hereby under the Registration Statement then in effect (the “</w:t>
      </w:r>
      <w:r>
        <w:rPr>
          <w:rFonts w:ascii="Times New Roman;Times;Serif" w:hAnsi="Times New Roman;Times;Serif"/>
          <w:b w:val="false"/>
          <w:i w:val="false"/>
          <w:caps w:val="false"/>
          <w:smallCaps w:val="false"/>
          <w:sz w:val="20"/>
          <w:u w:val="single"/>
        </w:rPr>
        <w:t>Registration Limitation</w:t>
      </w:r>
      <w:r>
        <w:rPr>
          <w:rFonts w:ascii="Times New Roman;Times;Serif" w:hAnsi="Times New Roman;Times;Serif"/>
          <w:b w:val="false"/>
          <w:i w:val="false"/>
          <w:caps w:val="false"/>
          <w:smallCaps w:val="false"/>
          <w:sz w:val="20"/>
        </w:rPr>
        <w:t xml:space="preserve">”). In connection with each Purchase Notice, any portion of the number of Shares requested to be purchased that would exceed the Registration Limitation shall automatically be withdrawn with no further action required by the Company or the Investor, and such Purchase Notice shall be deemed automatically modified to reduce the aggregate amount of Shares requested in such Purchase Notice by an amount equal to such withdrawn portion;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of any such automatic withdrawal and automatic modification, the Investor will promptly notify the Company of such event, including the number of Shares affected by such withdrawal or modification.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Compliance with Rules of Principal Market</w:t>
      </w:r>
      <w:r>
        <w:rPr>
          <w:rFonts w:ascii="Times New Roman;Times;Serif" w:hAnsi="Times New Roman;Times;Serif"/>
          <w:b w:val="false"/>
          <w:i w:val="false"/>
          <w:caps w:val="false"/>
          <w:smallCaps w:val="false"/>
          <w:sz w:val="20"/>
        </w:rPr>
        <w:t>. Notwithstanding anything to the contrary herein, the Company shall not effect any sales under this Agreement and the Investor shall not have the obligation to purchase Common Shares under this Agreement to the extent (but only to the extent) that after giving effect to such purchase and sale the aggregate number of Common Shares issued under this Agreement would exceed 19.99% of the aggregate number of Common Shares issued and outstanding as of the Effective Date of this Agreement, which number shall be reduced, on a share-for-share basis, by the number of Common Shares issued or issuable pursuant to any transaction or series of transactions that may be aggregated with the transactions contemplated by this Agreement under the applicable rules of the Principal Market (such maximum number of shares, the “</w:t>
      </w:r>
      <w:r>
        <w:rPr>
          <w:rFonts w:ascii="Times New Roman;Times;Serif" w:hAnsi="Times New Roman;Times;Serif"/>
          <w:b w:val="false"/>
          <w:i w:val="false"/>
          <w:caps w:val="false"/>
          <w:smallCaps w:val="false"/>
          <w:sz w:val="20"/>
          <w:u w:val="single"/>
        </w:rPr>
        <w:t>Exchange Cap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Exchange Cap will not apply if (a) the Company’s stockholders have approved the issuance of Common Shares pursuant to this Agreement in excess of the Exchange Cap in accordance with the applicable rules of the Principal Market, (b) the approval of the Company’s stockholders of the issuance of Common Shares pursuant to this Agreement in excess of the Exchange Cap is not required pursuant to the rules of the Principal Market, or (c) the Average Price of all applicable sales of Common Shares hereunder (including any sales covered by a Purchase Notice that has been delivered prior to the determination of whether this clause (c) applies) equals or exceeds the lower of (i) the Nasdaq Official Closing Price (as reflected on Nasdaq.com) immediately preceding the Effective Date; or (ii) the average Nasdaq Official Closing Price for the five Trading Days immediately preceding the Effective Date. In connection with each Purchase Notice, any portion of the number of Shares requested to be purchased that would exceed the Exchange Cap shall automatically be withdrawn with no further action required by the Company or the Investor, and such Purchase Notice shall be deemed automatically modified to reduce the aggregate amount of Shares requested in such Purchase Notice by an amount equal to such withdrawn portion in respect of each Purchase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Unconditional Contract</w:t>
      </w:r>
      <w:r>
        <w:rPr>
          <w:rFonts w:ascii="Times New Roman;Times;Serif" w:hAnsi="Times New Roman;Times;Serif"/>
          <w:b w:val="false"/>
          <w:i w:val="false"/>
          <w:caps w:val="false"/>
          <w:smallCaps w:val="false"/>
          <w:sz w:val="20"/>
        </w:rPr>
        <w:t xml:space="preserve">. Notwithstanding any other provision in this Agreement, the Company and the Investor acknowledge and agree that upon the Investor’s receipt of a valid Purchase Notice from the Company the Parties shall be deemed to have entered into an unconditional contract binding on both Parties for the purchase and sale of Shares pursuant to such Purchase Notice in accordance with the terms of this Agreement and (i) subject to Applicable Laws and (ii) subject to </w:t>
      </w:r>
      <w:r>
        <w:rPr>
          <w:rFonts w:ascii="Times New Roman;Times;Serif" w:hAnsi="Times New Roman;Times;Serif"/>
          <w:b w:val="false"/>
          <w:i w:val="false"/>
          <w:caps w:val="false"/>
          <w:smallCaps w:val="false"/>
          <w:sz w:val="20"/>
          <w:u w:val="single"/>
        </w:rPr>
        <w:t>Section 6.19</w:t>
      </w:r>
      <w:r>
        <w:rPr>
          <w:rFonts w:ascii="Times New Roman;Times;Serif" w:hAnsi="Times New Roman;Times;Serif"/>
          <w:b w:val="false"/>
          <w:i w:val="false"/>
          <w:caps w:val="false"/>
          <w:smallCaps w:val="false"/>
          <w:sz w:val="20"/>
        </w:rPr>
        <w:t>, the Investor may sell Common Shares after receipt of a Purchase Notice, including during a Pricing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val="false"/>
          <w:caps w:val="false"/>
          <w:smallCaps w:val="false"/>
          <w:sz w:val="20"/>
          <w:u w:val="single"/>
        </w:rPr>
        <w:t>Closings</w:t>
      </w:r>
      <w:r>
        <w:rPr>
          <w:rFonts w:ascii="Times New Roman;Times;Serif" w:hAnsi="Times New Roman;Times;Serif"/>
          <w:b w:val="false"/>
          <w:i w:val="false"/>
          <w:caps w:val="false"/>
          <w:smallCaps w:val="false"/>
          <w:sz w:val="20"/>
        </w:rPr>
        <w:t>. The sale and purchase of Shares pursuant to a Purchase Notice (each, a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take place as soon as practicable on each applicable Purchase Date in accordance with the procedures set forth below. The Company acknowledges that the Purchase Price is not known at the time a Purchase Notice is delivered but shall be determined on each Closing based on the daily prices of the Common Shares that are the inputs to the determination of the Purchase Price. In connection with each Closing, the Company and the Investor shall fulfill each of its obligations as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Purchase Date, the Investor shall deliver to the Company a written document, in the form attached hereto as Exhibit C (each a “</w:t>
      </w:r>
      <w:r>
        <w:rPr>
          <w:rFonts w:ascii="Times New Roman;Times;Serif" w:hAnsi="Times New Roman;Times;Serif"/>
          <w:b w:val="false"/>
          <w:i w:val="false"/>
          <w:caps w:val="false"/>
          <w:smallCaps w:val="false"/>
          <w:sz w:val="20"/>
          <w:u w:val="single"/>
        </w:rPr>
        <w:t>Settlement Document</w:t>
      </w:r>
      <w:r>
        <w:rPr>
          <w:rFonts w:ascii="Times New Roman;Times;Serif" w:hAnsi="Times New Roman;Times;Serif"/>
          <w:b w:val="false"/>
          <w:i w:val="false"/>
          <w:caps w:val="false"/>
          <w:smallCaps w:val="false"/>
          <w:sz w:val="20"/>
        </w:rPr>
        <w:t>”), setting forth the final number of Shares to be purchased by the Investor (taking into account any adjustments pursuant to the terms hereof), the Market Price, the Purchase Price, the aggregate proceeds to be paid by the Investor to the Company, and a report by Bloomberg, L.P. indicating the VWAP for each of the Trading Days during the Pricing Period (or, if not reported on Bloomberg, L.P., another reporting service reasonably agreed to by the parties), in each case in accordance with the terms and conditions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after receipt of the Settlement Document with respect to each Purchase Notice (and, in any event, not later than one Trading Day after such receipt), to the extent such Shares have not already been delivered to the Investor, the Company will, or will cause its transfer agent to, electronically transfer such number of Shares to be purchased by the Investor (as set forth in the Settlement Document) by crediting the Investor’s account or its designee’s account at the Depository Trust Company through its Deposit Withdrawal at Custodian System or by such other means of delivery as may be mutually agreed upon by the parties hereto, and transmit notification to the Investor that such share transfer has been requested. Promptly after delivery of the Settlement Document, or to the extent such Shares have not already been delivered to the Investor, promptly upon receipt of such Shares, the Investor shall pay to the Company the aggregate Purchase Price of the Shares (as set forth in the Settlement Document) in cash in immediately available funds to an account designated by the Company in writing and transmit notification to the Company that such funds transfer has been requested. No fractional shares shall be issued, and any fractional amounts shall be rounded to the next higher whole number of shares. To facilitate the transfer of the Common Shares by the Investor, the Common Shares will not bear any restrictive legends so long as there is an effective Registration Statement covering the resale of such Common Shares (it being understood and agreed by the Investor that notwithstanding the lack of restrictive legends, the Investor may only sell such Common Shares pursuant to the Plan of Distribution set forth in the Prospectus included in the Registration Statement and otherwise in compliance with the requirements of the Securities Act (including any applicable prospectus delivery requirements) or pursuant to an available exemption).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or prior to the Purchase Date, each of the Company and the Investor shall deliver to the other all documents, instruments and writings expressly required to be delivered by either of them pursuant to this Agreement in order to implement and effect the transactions contemplated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on any day during the Pricing Period (i) the Company notifies Investor that a Material Outside Event has occurred, or (ii) the Company notifies the Investor of a Black Out Period, the parties agree that any pending sale of Shares pursuant to a Purchase Notice shall end and the final number of Shares to be purchased by the Investor at the Closing for such Purchase Notice shall be equal to the number of Common Shares sold by the Investor during the applicable Pricing Period prior to the notification from the Company of a Material Outside Event or Black Out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val="false"/>
          <w:caps w:val="false"/>
          <w:smallCaps w:val="false"/>
          <w:sz w:val="20"/>
          <w:u w:val="single"/>
        </w:rPr>
        <w:t>Hardship</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the Investor sells Common Shares after receipt of a Purchase Notice and the Company fails to perform its obligations as mandated in this Agreement, the Company agrees that in addition to and in no way limiting the rights and obligations set forth in this Agreement and in addition to any other remedy to which the Investor is entitled at law or in equity, including, without limitation, specific performance, it will hold the Investor harmless against any loss, claim, damage, or expense (including reasonable and documented legal fees and expenses), as incurred, arising out of or in connection with such default by the Company and acknowledges that irreparable damage may occur in the event of any such default. It is accordingly agreed that the Investor shall be entitled to seek an injunction or injunctions to prevent such breaches of this Agreement and to specifically enforce (subject to Applicable Laws and the rules of the Principal Market), without the posting of a bond or other security, the terms and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Representations and Warranties of the Investor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hereby makes the following representations, warrants, and covenants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val="false"/>
          <w:caps w:val="false"/>
          <w:smallCaps w:val="false"/>
          <w:sz w:val="20"/>
          <w:u w:val="single"/>
        </w:rPr>
        <w:t>Organization and Authorization</w:t>
      </w:r>
      <w:r>
        <w:rPr>
          <w:rFonts w:ascii="Times New Roman;Times;Serif" w:hAnsi="Times New Roman;Times;Serif"/>
          <w:b w:val="false"/>
          <w:i w:val="false"/>
          <w:caps w:val="false"/>
          <w:smallCaps w:val="false"/>
          <w:sz w:val="20"/>
        </w:rPr>
        <w:t>. The Investor is duly organized, validly existing and in good standing under the laws of the state of Delaware and has the requisite limited liability company power and authority to enter into and perform its obligations under the Transaction Documents to which it is a party and to purchase or acquire the Shares in accordance with the terms hereof. The decision to invest and the execution and delivery of the Transaction Documents to which it is a party by the Investor, the performance by the Investor of its obligations hereunder and the consummation by the Investor of the transactions contemplated hereby have been duly authorized and require no other proceedings on the part of the Investor. The undersigned has the right, power and authority to execute and deliver the Transaction Documents to which it is a party and all other instruments on behalf of the Investor. This Agreement and the Transaction Documents to which it is a party have been duly executed and delivered by the Investor and, assuming the execution and delivery hereof and acceptance thereof by the Company, will constitute the legal, valid and binding obligations of the Investor, enforceable against the Investor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val="false"/>
          <w:caps w:val="false"/>
          <w:smallCaps w:val="false"/>
          <w:sz w:val="20"/>
          <w:u w:val="single"/>
        </w:rPr>
        <w:t>Evaluation of Risks</w:t>
      </w:r>
      <w:r>
        <w:rPr>
          <w:rFonts w:ascii="Times New Roman;Times;Serif" w:hAnsi="Times New Roman;Times;Serif"/>
          <w:b w:val="false"/>
          <w:i w:val="false"/>
          <w:caps w:val="false"/>
          <w:smallCaps w:val="false"/>
          <w:sz w:val="20"/>
        </w:rPr>
        <w:t>. The Investor has such knowledge and experience in financial, tax and business matters as to be capable of evaluating the merits and risks of, and bearing the economic risks entailed by, an investment in the Shares and of protecting its interests in connection with the transactions contemplated hereby. The Investor acknowledges and agrees that its investment in the Company involves a high degree of risk, and that the Investor may lose all or a part of its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val="false"/>
          <w:caps w:val="false"/>
          <w:smallCaps w:val="false"/>
          <w:sz w:val="20"/>
          <w:u w:val="single"/>
        </w:rPr>
        <w:t>No Legal, Investment or Tax Advice from the Company</w:t>
      </w:r>
      <w:r>
        <w:rPr>
          <w:rFonts w:ascii="Times New Roman;Times;Serif" w:hAnsi="Times New Roman;Times;Serif"/>
          <w:b w:val="false"/>
          <w:i w:val="false"/>
          <w:caps w:val="false"/>
          <w:smallCaps w:val="false"/>
          <w:sz w:val="20"/>
        </w:rPr>
        <w:t>. The Investor acknowledges that it had the opportunity to review the Transaction Documents and the transactions contemplated by the Transaction Documents with its own legal counsel and investment and tax advisors. The Investor is relying solely on such counsel and advisors and not on any statements or representations of the Company or any of the Company’s representatives or agents for legal, tax, investment or other advice with respect to the Investor’s acquisition of Shares hereunder, the transactions contemplated by this Agreement or the laws of any jurisdiction, and the Investor acknowledges that the Investor may lose all or a part of its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The Investor is acquiring the Shares for its own account, for investment purposes and not with a view towards, or for resale in connection with, the public sale or distribution thereof, in violation of the Securities Act; provided, however, that by making the representations herein, the Investor does not agree, or make any representation or warranty, to hold any of the Shares for any minimum or other specific term and reserves the right to dispose of the Shares at any time in accordance with, or pursuant to, a registration statement filed pursuant to the Registration Rights Agreement or an applicable exemption under the Securities Act. The Investor does not presently have any agreement or understanding, directly or indirectly, with any Person to sell or distribute any of the Shares. The Investor is acquiring the Shares hereunder in the ordinary course of its business. The Investor acknowledges that it will be disclosed as an “underwriter” and a “selling stockholder” in each Registration Statement and in any prospectus contained therein to the extent required by applicable law and to the extent the prospectus is related to the resale of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Investor is an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as that term is defined in Rule 501(a) of Regulation 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3.06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The Investor and its advisors (and its counsel), if any, have been furnished with all materials relating to the business, finances and operations of the Company and information the Investor deemed material to making an informed investment decision. The Investor and its advisors (and its counsel), if any, have been afforded the opportunity to ask questions of the Company and its management and have received answers to such questions to the Investor’s satisfaction. Neither such inquiries nor any other due diligence investigations conducted by the Investor or its advisors (and its counsel), if any, or its representatives shall modify, amend or affect the Investor’s right to rely on the Company’s representations and warranties contained in this Agreement. The Investor acknowledges and agrees that the Company has not made to the Investor, and the Investor acknowledges and agrees it has not relied upon, any representations and warranties of the Company, its employees or any third party other than the representations and warranties of the Company contained in this Agreement. The Investor understands that its investment involves a high degree of risk. The Investor has sought such accounting, legal and tax advice, as it has considered necessary to make an informed investment decision with respect to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3.07 </w:t>
      </w:r>
      <w:r>
        <w:rPr>
          <w:rFonts w:ascii="Times New Roman;Times;Serif" w:hAnsi="Times New Roman;Times;Serif"/>
          <w:b w:val="false"/>
          <w:i w:val="false"/>
          <w:caps w:val="false"/>
          <w:smallCaps w:val="false"/>
          <w:sz w:val="20"/>
          <w:u w:val="single"/>
        </w:rPr>
        <w:t>Not an Affiliate</w:t>
      </w:r>
      <w:r>
        <w:rPr>
          <w:rFonts w:ascii="Times New Roman;Times;Serif" w:hAnsi="Times New Roman;Times;Serif"/>
          <w:b w:val="false"/>
          <w:i w:val="false"/>
          <w:caps w:val="false"/>
          <w:smallCaps w:val="false"/>
          <w:sz w:val="20"/>
        </w:rPr>
        <w:t>. The Investor is not an officer, director or a person that directly, or indirectly through one or more intermediaries, controls or is controlled by, or is under common control with the Company or any affiliate of the Company (as that term is defined in Rule 405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3.08 </w:t>
      </w:r>
      <w:r>
        <w:rPr>
          <w:rFonts w:ascii="Times New Roman;Times;Serif" w:hAnsi="Times New Roman;Times;Serif"/>
          <w:b w:val="false"/>
          <w:i w:val="false"/>
          <w:caps w:val="false"/>
          <w:smallCaps w:val="false"/>
          <w:sz w:val="20"/>
          <w:u w:val="single"/>
        </w:rPr>
        <w:t>General Solicitation</w:t>
      </w:r>
      <w:r>
        <w:rPr>
          <w:rFonts w:ascii="Times New Roman;Times;Serif" w:hAnsi="Times New Roman;Times;Serif"/>
          <w:b w:val="false"/>
          <w:i w:val="false"/>
          <w:caps w:val="false"/>
          <w:smallCaps w:val="false"/>
          <w:sz w:val="20"/>
        </w:rPr>
        <w:t>. The Investor is not purchasing or acquiring the Shares as a result of any form of general solicitation or general advertising (within the meaning of Regulation D) in connection with the offer or sale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3.09 </w:t>
      </w:r>
      <w:r>
        <w:rPr>
          <w:rFonts w:ascii="Times New Roman;Times;Serif" w:hAnsi="Times New Roman;Times;Serif"/>
          <w:b w:val="false"/>
          <w:i w:val="false"/>
          <w:caps w:val="false"/>
          <w:smallCaps w:val="false"/>
          <w:sz w:val="20"/>
          <w:u w:val="single"/>
        </w:rPr>
        <w:t>Trading Activities</w:t>
      </w:r>
      <w:r>
        <w:rPr>
          <w:rFonts w:ascii="Times New Roman;Times;Serif" w:hAnsi="Times New Roman;Times;Serif"/>
          <w:b w:val="false"/>
          <w:i w:val="false"/>
          <w:caps w:val="false"/>
          <w:smallCaps w:val="false"/>
          <w:sz w:val="20"/>
        </w:rPr>
        <w:t>. The Investor has not directly or indirectly, nor has any Person acting on behalf of or pursuant to any understanding with the Investor, engaged in any transactions in the securities of the Company (including, without limitation, any Short Sales (as defined below) involving the Company’s securities) during the period commencing as of the time that the Investor first contacted the Company or the Company’s agents regarding the specific investment in the Company contemplated by this Agreement and ending immediately prior to the execution of this Agreement by the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val="false"/>
          <w:caps w:val="false"/>
          <w:smallCaps w:val="false"/>
          <w:sz w:val="20"/>
          <w:u w:val="single"/>
        </w:rPr>
        <w:t>Reliance on Exemptions; Resale of Shares</w:t>
      </w:r>
      <w:r>
        <w:rPr>
          <w:rFonts w:ascii="Times New Roman;Times;Serif" w:hAnsi="Times New Roman;Times;Serif"/>
          <w:b w:val="false"/>
          <w:i w:val="false"/>
          <w:caps w:val="false"/>
          <w:smallCaps w:val="false"/>
          <w:sz w:val="20"/>
        </w:rPr>
        <w:t xml:space="preserve">. The Investor understands that the Shares are being offered and sold to it in reliance on specific exemptions from the registration requirements of U.S. federal and state securities laws and that the Company is relying in part upon the truth and accuracy of, and the Investor’s compliance with, the representations, warranties, agreements, acknowledgements and understandings of the Investor set forth herein in order to determine the availability of such exemptions and the eligibility of the Investor to acquire the Shares. The Investor represents, warrants and covenants that it will resell Shares purchased or acquired by the Investor from the Company pursuant to this Agreement only pursuant to the Registration Statement in which the resale of such Shares is registered under the Securities Act, in a manner described under the caption “Plan of Distribution” in such Registration Statement, and in a manner in compliance with all applicable U.S. federal and applicable state securities laws, rules and regulations. The Investor further acknowledges that the removal of the restrictive legend from certificate(s) or book-entry statement(s) representing the Shares (including the Commitment Shares) is predicated, in part, upon the upon the truth and accuracy of, and the Investor’s compliance with, the representations, warranties and covenants of the Investor set forth in this </w:t>
      </w:r>
      <w:r>
        <w:rPr>
          <w:rFonts w:ascii="Times New Roman;Times;Serif" w:hAnsi="Times New Roman;Times;Serif"/>
          <w:b w:val="false"/>
          <w:i w:val="false"/>
          <w:caps w:val="false"/>
          <w:smallCaps w:val="false"/>
          <w:sz w:val="20"/>
          <w:u w:val="single"/>
        </w:rPr>
        <w:t>Section 3.10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t>Representations and Warranties of the Company AND SUAC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disclosure schedule delivered by the Company and SUAC to the Investor concurrently with this Agreement (which is hereby incorporated by reference in, and constitutes an integral part of, this Agreement) (the “</w:t>
      </w:r>
      <w:r>
        <w:rPr>
          <w:rFonts w:ascii="Times New Roman;Times;Serif" w:hAnsi="Times New Roman;Times;Serif"/>
          <w:b w:val="false"/>
          <w:i w:val="false"/>
          <w:caps w:val="false"/>
          <w:smallCaps w:val="false"/>
          <w:sz w:val="20"/>
          <w:u w:val="single"/>
        </w:rPr>
        <w:t>Disclosure Schedule</w:t>
      </w:r>
      <w:r>
        <w:rPr>
          <w:rFonts w:ascii="Times New Roman;Times;Serif" w:hAnsi="Times New Roman;Times;Serif"/>
          <w:b w:val="false"/>
          <w:i w:val="false"/>
          <w:caps w:val="false"/>
          <w:smallCaps w:val="false"/>
          <w:sz w:val="20"/>
        </w:rPr>
        <w:t>”), or where specifically set forth below with respect to certain specified representations and warranties, the SEC Documents, each of the Company and SUAC severally (as to itself and not jointly), hereby makes the following representations, warranties and covenants to the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Each of the Company, SUAC, and their respective Subsidiaries is entities duly formed, validly existing and in good standing under the laws of the jurisdiction in which they are formed and have the requisite power and authority to own their properties and to carry on their business as now being conducted. Each of the Company, SUAC, and their respective Subsidiaries is duly qualified to do business and is in good standing in every jurisdiction in which the nature of the business conducted by it makes such qualification necessary, except to the extent that the failure to be so qualified or be in good standing would not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val="false"/>
          <w:caps w:val="false"/>
          <w:smallCaps w:val="false"/>
          <w:sz w:val="20"/>
          <w:u w:val="single"/>
        </w:rPr>
        <w:t>Authorization, Enforcement, Compliance with Other Instruments</w:t>
      </w:r>
      <w:r>
        <w:rPr>
          <w:rFonts w:ascii="Times New Roman;Times;Serif" w:hAnsi="Times New Roman;Times;Serif"/>
          <w:b w:val="false"/>
          <w:i w:val="false"/>
          <w:caps w:val="false"/>
          <w:smallCaps w:val="false"/>
          <w:sz w:val="20"/>
        </w:rPr>
        <w:t>. Each of the Company and SUAC has the requisite corporate power and authority to enter into and perform its obligations under this Agreement and the other Transaction Documents and to issue the Shares in accordance with the terms hereof and thereof. The execution and delivery by the Company and SUAC of this Agreement and the other Transaction Documents, and the consummation by the Company and SUAC of the transactions contemplated hereby and thereby (including, without limitation, the issuance of the Shares) have been or (with respect to consummation) will be duly authorized by the Company’s and SUAC’s board of directors and no further consent or authorization will be required by the Company or SUAC or their respective boards of directors except for the approval of the Company’s stockholders. This Agreement and the other Transaction Documents to which the Company or SUAC is a party have been (or, when executed and delivered, will be) duly executed and delivered by the Company and/or SUAC and, assuming the execution and delivery thereof and acceptance by the Investor, constitute (or, when duly executed and delivered, will be) the legal, valid and binding obligations of the Company and/or SUAC, enforceable against the Company and SUAC (as applicable) in accordance with their respective terms, except as such enforceability may be limited by general principles of equity or applicable bankruptcy, insolvency, reorganization, moratorium, liquidation or other laws relating to, or affecting generally, the enforcement of applicable creditors’ rights and remedies and except as rights to indemnification and to contribution may be limited by federal or state securities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Authorization of the Shares</w:t>
      </w:r>
      <w:r>
        <w:rPr>
          <w:rFonts w:ascii="Times New Roman;Times;Serif" w:hAnsi="Times New Roman;Times;Serif"/>
          <w:b w:val="false"/>
          <w:i w:val="false"/>
          <w:caps w:val="false"/>
          <w:smallCaps w:val="false"/>
          <w:sz w:val="20"/>
        </w:rPr>
        <w:t>. The Shares to be issued under this Agreement have been, or with respect to Shares to be purchased by the Investor pursuant to a Purchase Notice, will be, when issued and delivered pursuant to the terms approved by the board of directors of the Company or a duly authorized committee thereof, or a duly authorized executive committee, against payment therefor as provided herein, duly and validly authorized and issued and fully paid and nonassessable, free and clear of any pledge, lien, encumbrance, security interest or other claim, including any statutory or contractual preemptive rights, resale rights, rights of first refusal or other similar rights, and the resale of such Shares will be registered pursuant to Section 12 of the Exchange Act. The Shares, when issued, will conform to the description thereof set forth in or incorporated into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The execution, delivery and performance of the Transaction Documents by the Company and SUAC (as applicable) and the consummation by the Company and SUAC (as applicable) of the transactions contemplated hereby and thereby (including, without limitation, the issuance of the Shares) will not (i) result in a violation of the certificate of incorporation or other organizational documents of the Company, SUAC or their respective Subsidiaries (with respect to consummation, as the same may be amended prior to the date on which any of the transactions contemplated hereby are consummated), (ii) conflict with, or constitute a default (or an event which with notice or lapse of time or both would become a default) under, or give to others any rights of termination, amendment, acceleration or cancellation of, any agreement, indenture or instrument to which the Company, SUAC or their respective Subsidiaries is a party, or (iii) result in a violation of any law, rule, regulation, order, judgment or decree (including federal and state securities laws and regulations) applicable to the Company or its Subsidiaries or by which any property or asset of the Company, SUAC or their respective Subsidiaries is bound or affected except, in the case of clause (ii) or (iii) above, to the extent such violations that would not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Except as otherwise disclosed in Section 4.05 of the Disclosure Schedules, each of the Company and SUAC has timely filed (giving effect to permissible extensions in accordance with Rule 12b-25 under the Exchange Act) all SEC Documents required to be filed since January 1, 2023. Each of the Company and SUAC has delivered or made available to the Investor through the SEC’s website at http://www.sec.gov, true and complete copies of the SEC Documents, as applicable. Except as disclosed in amendments or subsequent filings to the SEC Documents, as of its filing date (or, if amended or superseded by a filing prior to the date hereof, on the date of such amended or superseded filing), each of the SEC Documents complied in all material respects with the requirements of the Exchange Act or the Securities Act, as applicable, and the rules and regulations of the SEC promulgated thereunder applicable to the SEC Documents, and did not contain any untrue statement of a material fact or omitted to state a material fact required to be stated therein or necessary in order to make the statements therein, in the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xml:space="preserve">. The consolidated financial statements of the Company and SUAC included or incorporated by reference in the SEC Documents, together with the related notes and schedules, present fairly, in all material respects, the consolidated financial position of the Company, SUAC and their respective Subsidiaries as of the dates indicated and the consolidated results of operations, cash flows and changes in stockholders’ equity of the Company and SUAC for the periods specified </w:t>
      </w:r>
      <w:r>
        <w:rPr>
          <w:rFonts w:ascii="Times New Roman;Times;Serif" w:hAnsi="Times New Roman;Times;Serif"/>
          <w:b w:val="false"/>
          <w:i w:val="false"/>
          <w:caps w:val="false"/>
          <w:smallCaps w:val="false"/>
          <w:sz w:val="20"/>
          <w:shd w:fill="FFFFFF" w:val="clear"/>
        </w:rPr>
        <w:t xml:space="preserve">(subject, in the case of unaudited statements, to normal year-end audit adjustments which will not be material, either individually or in the aggregate) </w:t>
      </w:r>
      <w:r>
        <w:rPr>
          <w:rFonts w:ascii="Times New Roman;Times;Serif" w:hAnsi="Times New Roman;Times;Serif"/>
          <w:b w:val="false"/>
          <w:i w:val="false"/>
          <w:caps w:val="false"/>
          <w:smallCaps w:val="false"/>
          <w:sz w:val="20"/>
        </w:rPr>
        <w:t>and have been prepared in compliance with the requirements of the Securities Act and Exchange Act, as applicable, and in conformity with generally accepted accounting principles as issued by the Financial Accounting Standards Board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xml:space="preserve">”) applied on a consistent basis </w:t>
      </w:r>
      <w:r>
        <w:rPr>
          <w:rFonts w:ascii="Times New Roman;Times;Serif" w:hAnsi="Times New Roman;Times;Serif"/>
          <w:b w:val="false"/>
          <w:i w:val="false"/>
          <w:caps w:val="false"/>
          <w:smallCaps w:val="false"/>
          <w:sz w:val="20"/>
          <w:shd w:fill="FFFFFF" w:val="clear"/>
        </w:rPr>
        <w:t xml:space="preserve">(except (i) for such adjustments to accounting standards and practices as are noted therein and (ii) in the case of unaudited interim statements, to the extent they may exclude footnotes or may be condensed or summary statements) </w:t>
      </w:r>
      <w:r>
        <w:rPr>
          <w:rFonts w:ascii="Times New Roman;Times;Serif" w:hAnsi="Times New Roman;Times;Serif"/>
          <w:b w:val="false"/>
          <w:i w:val="false"/>
          <w:caps w:val="false"/>
          <w:smallCaps w:val="false"/>
          <w:sz w:val="20"/>
        </w:rPr>
        <w:t>during the periods involved; the other financial and statistical data with respect to the Company, SUAC and each of their respective Subsidiaries contained or incorporated by reference in the SEC Documents are accurately and fairly presented and prepared on a basis consistent with the financial statements and books and records of the Company and SUAC (as applicable); there are no financial statements (historical or pro forma) that are required to be included or incorporated by reference in the SEC Documents that are not included or incorporated by reference as required; the Company, SUAC and each of their respective Subsidiaries do not have any material liabilities or obligations, direct or contingent (including any off-balance sheet obligations), not described in the SEC Documents (excluding the exhibits thereto) that are required to be described in the SEC Documents; and all disclosures contained or incorporated by reference in the SEC Documents regarding “non-GAAP financial measures” (as such term is defined by the rules and regulations of the SEC) comply in all material respects with Regulation G of the Exchange Act and Item 10 of Regulation S-K under the Securities Act, to the extent applicable. The interactive data in eXtensible Business Reporting Language included or incorporated by reference in the SEC Documents fairly presents the information called for in all material respects and has been prepared in accordance with the SEC’s rules and guidelines applicable thereto. The Company and SUAC are in compliance with all applicable provisions of the Sarbanes-Oxley Act of 2002, as amended, and the rules and regulations thereunder, which are applicable to it as of the date hereof. Each of the Company’s and SUACs accountants are set forth in the SEC Documents and such accountants are an independent registered public accounting firm as required by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val="false"/>
          <w:caps w:val="false"/>
          <w:smallCaps w:val="false"/>
          <w:sz w:val="20"/>
          <w:u w:val="single"/>
        </w:rPr>
        <w:t>Registration Statement and Prospectus</w:t>
      </w:r>
      <w:r>
        <w:rPr>
          <w:rFonts w:ascii="Times New Roman;Times;Serif" w:hAnsi="Times New Roman;Times;Serif"/>
          <w:b w:val="false"/>
          <w:i w:val="false"/>
          <w:caps w:val="false"/>
          <w:smallCaps w:val="false"/>
          <w:sz w:val="20"/>
        </w:rPr>
        <w:t>. The Company and the transactions contemplated by this Agreement meet the requirements for and comply with the conditions for the use of Form S-1 under the Securities Act. Each Registration Statement and the offer and sale of Shares as contemplated hereby, if and when filed, will meet the requirements of Rule 415 under the Securities Act and comply in all material respects with said rule. Any statutes, regulations, contracts or other documents that are required to be described in a Registration Statement or a Prospectus, or to be filed as exhibits to a Registration Statement have been so described or filed. Copies of each Registration Statement, any Prospectus, and any such amendments or supplements thereto and all documents incorporated by reference therein that were filed with the SEC on or prior to the date of this Agreement have been delivered, or are available through EDGAR, to the Investor and its counsel. Each of the Company and SUAC has not distributed and, prior to the later to occur of each Share Purchase Notice Date and completion of the distribution of the Shares, will not distribute any offering material in connection with the offering or sale of the Shares other than a Registration Statement and the Prospectus to which the Investor has consented.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4.08 </w:t>
      </w:r>
      <w:r>
        <w:rPr>
          <w:rFonts w:ascii="Times New Roman;Times;Serif" w:hAnsi="Times New Roman;Times;Serif"/>
          <w:b w:val="false"/>
          <w:i w:val="false"/>
          <w:caps w:val="false"/>
          <w:smallCaps w:val="false"/>
          <w:sz w:val="20"/>
          <w:u w:val="single"/>
        </w:rPr>
        <w:t>No Misstatement or Omission</w:t>
      </w:r>
      <w:r>
        <w:rPr>
          <w:rFonts w:ascii="Times New Roman;Times;Serif" w:hAnsi="Times New Roman;Times;Serif"/>
          <w:b w:val="false"/>
          <w:i w:val="false"/>
          <w:caps w:val="false"/>
          <w:smallCaps w:val="false"/>
          <w:sz w:val="20"/>
        </w:rPr>
        <w:t>. Each Registration Statement, when it became or becomes effective, and any Prospectus, on the date of such Prospectus or amendment or supplement, conformed and will conform in all material respects with the requirements of the Securities Act. At each Share Purchase Notice Date, the Registration Statement, and the Prospectus, as of such date, will conform in all material respects with the requirements of the Securities Act. Each Registration Statement, when it became or becomes effective, did not, and will not, contain an untrue statement of a material fact or omit to state a material fact required to be stated therein or necessary to make the statements therein not misleading. Each Prospectus did not, or will not, include an untrue statement of a material fact or omit to state a material fact necessary to make the statements therein, in light of the circumstances under which they were made, not misleading. The documents incorporated by reference in a Prospectus or any Prospectus Supplement did not, and any further documents filed and incorporated by reference therein will not, when filed with the SEC,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or SUAC by the Investor specifically for use in the preparation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4.09 </w:t>
      </w:r>
      <w:r>
        <w:rPr>
          <w:rFonts w:ascii="Times New Roman;Times;Serif" w:hAnsi="Times New Roman;Times;Serif"/>
          <w:b w:val="false"/>
          <w:i w:val="false"/>
          <w:caps w:val="false"/>
          <w:smallCaps w:val="false"/>
          <w:sz w:val="20"/>
          <w:u w:val="single"/>
        </w:rPr>
        <w:t>Conformity with Securities Act and Exchange Act</w:t>
      </w:r>
      <w:r>
        <w:rPr>
          <w:rFonts w:ascii="Times New Roman;Times;Serif" w:hAnsi="Times New Roman;Times;Serif"/>
          <w:b w:val="false"/>
          <w:i w:val="false"/>
          <w:caps w:val="false"/>
          <w:smallCaps w:val="false"/>
          <w:sz w:val="20"/>
        </w:rPr>
        <w:t>. Each Registration Statement, each Prospectus, or any amendment or supplement thereto, and the documents incorporated by reference in each Registration Statement, Prospectus or any amendment or supplement thereto, when such documents were or are filed with the SEC under the Securities Act or the Exchange Act or became or become effective under the Securities Act, as the case may be, conformed or will conform in all material respects with the requirements of the Securities Act and the Exchange Act,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val="false"/>
          <w:caps w:val="false"/>
          <w:smallCaps w:val="false"/>
          <w:sz w:val="20"/>
          <w:u w:val="single"/>
        </w:rPr>
        <w:t>Equity 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Authorized and Outstanding Capital Stock</w:t>
      </w:r>
      <w:r>
        <w:rPr>
          <w:rFonts w:ascii="Times New Roman;Times;Serif" w:hAnsi="Times New Roman;Times;Serif"/>
          <w:b w:val="false"/>
          <w:i w:val="false"/>
          <w:caps w:val="false"/>
          <w:smallCaps w:val="false"/>
          <w:sz w:val="20"/>
        </w:rPr>
        <w:t>. As of the date hereof, the authorized capital stock of the Company consists of: (a) 290,000,000 Common Shares and (b) 10,000,000 shares of preferred stock, par value $0.0001 per share, and [_] issued and outstanding. The Common Shares shall be registered pursuant to Section 12(b) of the Exchange Act and upon the consummation of the Business Combination, listed on a Principal Market under the trading symbol “DAIC”. The Company has taken no action designed to, or likely to have the effect of, terminating the registration of the Common Shares under the Exchange Act, delisting the Common Shares from the Principal Market, nor has the Company received any notification that the SEC or the Principal Market is contemplating terminating such registration or listing, except as disclosed in the SEC Documents. Except as disclosed in Section 4.10(a) of the Disclosure Schedule, the Company is in compliance with all applicable listing requirements of the Principal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Valid Issuance; Available Shares</w:t>
      </w:r>
      <w:r>
        <w:rPr>
          <w:rFonts w:ascii="Times New Roman;Times;Serif" w:hAnsi="Times New Roman;Times;Serif"/>
          <w:b w:val="false"/>
          <w:i w:val="false"/>
          <w:caps w:val="false"/>
          <w:smallCaps w:val="false"/>
          <w:sz w:val="20"/>
        </w:rPr>
        <w:t>. All of such issued and outstanding shares are duly authorized and have been validly issued and are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Existing Securities; Obligations</w:t>
      </w:r>
      <w:r>
        <w:rPr>
          <w:rFonts w:ascii="Times New Roman;Times;Serif" w:hAnsi="Times New Roman;Times;Serif"/>
          <w:b w:val="false"/>
          <w:i w:val="false"/>
          <w:caps w:val="false"/>
          <w:smallCaps w:val="false"/>
          <w:sz w:val="20"/>
        </w:rPr>
        <w:t>. Except as disclosed in Section 4.10(c) of the Disclosure Schedule: (A) none of the Company’s, SUAC’s or any of their respective Subsidiary’s shares, interests or capital stock is subject to preemptive rights or any other similar rights or liens suffered or permitted by the Company, SUAC or any of their respective Subsidiaries; (B) there are no outstanding options, warrants, scrip, rights to subscribe to, calls or commitments of any character whatsoever relating to, or securities or rights convertible into, or exercisable or exchangeable for, any shares, interests or capital stock of the Company, SUAC or any of their respective Subsidiaries, or contracts, commitments, understandings or arrangements by which the Company, SUAC or any of their respective Subsidiaries is or may become bound to issue additional shares, interests or capital stock of the Company, SUAC or any of their respective Subsidiaries or options, warrants, scrip, rights to subscribe to, calls or commitments of any character whatsoever relating to, or securities or rights convertible into, or exercisable or exchangeable for, any shares, interests or capital stock of the Company, SUAC or any of their respective Subsidiaries; (C) there are no agreements or arrangements under which the Company, SUAC or any of their respective Subsidiaries is obligated to register the sale of any of their securities under the Securities Act (except pursuant to this Agreement and the Registration Rights Agreement); (D) there are no outstanding securities or instruments of the Company, SUAC or any of their respective Subsidiaries which contain any redemption or similar provisions, and there are no contracts, commitments, understandings or arrangements by which the Company, SUAC or any of their respective Subsidiaries is or may become bound to redeem a security of the Company, SUAC or any of their respective Subsidiaries; (E) there are no securities or instruments containing anti-dilution or similar provisions that will be triggered by the issuance of the Shares; and (G) none of the Company, SUAC or any of their respective Subsidiares has entered into any Variable Rate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The Company, SUAC and their respective Subsidiaries own or possess adequate rights or licenses to use all material trademarks, trade names, service marks, service mark registrations, service names, patents, patent rights, copyrights, inventions, licenses, approvals, governmental authorizations, trade secrets and rights, if any, necessary to conduct their respective businesses as now conducted, except as would not cause a Material Adverse Effect. The Company, SUAC and their respective Subsidiaries have not received written notice of any infringement by the Company, SUAC or any of their respective Subsidiaries of trademark, trade name rights, patents, patent rights, copyrights, inventions, licenses, service names, service marks, service mark registrations, or trade secrets, except as would not cause a Material Adverse Effect. To the knowledge of the Company and SUAC, there is no claim, action or proceeding being made or brought against, or to the Company’s or SUAC’s knowledge, being threatened against the Company, SUAC or their respective Subsidiaries regarding trademark, trade name, patents, patent rights, invention, copyright, license, service names, service marks, service mark registrations, trade secret or other infringement; and, except as would not cause a Material Adverse Effect, the Company and SUAC is not aware of any facts or circumstances which might give rise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val="false"/>
          <w:caps w:val="false"/>
          <w:smallCaps w:val="false"/>
          <w:sz w:val="20"/>
          <w:u w:val="single"/>
        </w:rPr>
        <w:t>Employee Relations</w:t>
      </w:r>
      <w:r>
        <w:rPr>
          <w:rFonts w:ascii="Times New Roman;Times;Serif" w:hAnsi="Times New Roman;Times;Serif"/>
          <w:b w:val="false"/>
          <w:i w:val="false"/>
          <w:caps w:val="false"/>
          <w:smallCaps w:val="false"/>
          <w:sz w:val="20"/>
        </w:rPr>
        <w:t>. None the Company, SUAC nor any of their respective Subsidiaries is involved in any labor dispute nor, to the knowledge of the Company, SUAC or any of their respective Subsidiaries, is any such dispute threatened, in each case which is reasonably likely to cause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SUAC and their respective Subsidiaries (i) have not received written notice alleging any failure to comply in all material respects with all Environmental Laws (as defined below), (ii) have received all permits, licenses or other approvals required of them under applicable Environmental Laws to conduct their respective businesses and (iii) have not received written notice alleging any failure to comply with all terms and conditions of any such permit, license or approval where, in each of the foregoing clauses (i), (ii) and (iii), the failure to so comply would be reasonably expected to have, individually or in the aggregate, a Material Adverse Effect. The term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all applicable federal, state and local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4.14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Except as would not cause a Material Adverse Effect, the Company and SUAC (or their respective Subsidiaries) has indefeasible fee simple or leasehold title to its properties and material assets owned by it, free and clear of any pledge, lien, security interest, encumbrance, claim or equitable interest other than such as are not material to the business of the Company or SUAC. Any real property and facilities held under lease by the Company, SUAC and their respective Subsidiaries are held by them under valid, subsisting and enforceable leases with such exceptions as are not material and do not interfere with the use made and proposed to be made of such property and buildings by the Company, SUAC and their respective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4.15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Each of the Company, SUAC and their respective Subsidiaries are insured by insurers of recognized financial responsibility against such losses and risks and in such amounts as management of the Company and SUAC (as applicable) believes to be reasonable and customary in the businesses in which the Company, SUAC and their respective Subsidiaries are engaged. To the Company’s and SUAC’s knowledge, there is no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4.16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Except as would not cause a Material Adverse Effect, the Company, SUAC and their respective Subsidiaries possess all material certificates, authorizations and permits issued by the appropriate federal, state or foreign regulatory authorities necessary to own their respective businesses, and none of the Company, SUAC nor any such Subsidiary has received any written notice of proceedings relating to the revocation or modification of any such certificate, authorization or permits.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4.17 </w:t>
      </w:r>
      <w:r>
        <w:rPr>
          <w:rFonts w:ascii="Times New Roman;Times;Serif" w:hAnsi="Times New Roman;Times;Serif"/>
          <w:b w:val="false"/>
          <w:i w:val="false"/>
          <w:caps w:val="false"/>
          <w:smallCaps w:val="false"/>
          <w:sz w:val="20"/>
          <w:u w:val="single"/>
        </w:rPr>
        <w:t>Internal Accounting Controls</w:t>
      </w:r>
      <w:r>
        <w:rPr>
          <w:rFonts w:ascii="Times New Roman;Times;Serif" w:hAnsi="Times New Roman;Times;Serif"/>
          <w:b w:val="false"/>
          <w:i w:val="false"/>
          <w:caps w:val="false"/>
          <w:smallCaps w:val="false"/>
          <w:sz w:val="20"/>
        </w:rPr>
        <w:t>. Except as disclosed in the SEC Documents, each of the Company and SUAC maintains a system of internal accounting controls sufficient to provide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and management is not aware of any material weaknesses that are not disclosed in the SEC Documents as and when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4.18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There is no action, suit, proceeding, inquiry or investigation before or by any court, public board, government agency, self-regulatory organization or body pending against or affecting the Company or SUAC, the Common Shares or any of the Company’s or SUAC’s Subsidiaries, wherein an unfavorable decision, ruling or finding would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4.19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the date of the Company’s and SUCA’s most recent audited financial statements contained in the SEC Documents, there has been no Material Adverse Effect, nor any event or occurrence specifically affecting the Company, SUAC or their respective Subsidiaries that would be reasonably expected to result in a Material Adverse Effect. Since the date of the Company’s and SUCA’s most recent audited financial statements contained in SEC Documents, none of the Company, SUAC nor any of their respective Subsidiaries has (i) declared or paid any dividends, (ii) sold any material assets, individually or in the aggregate, outside of the ordinary course of business, or (iii) made any material capital expenditures, individually or in the aggregate, outside of the ordinary course of business. None of the Company, SUAC nor any of their Subsidiaries has taken any steps to seek protection pursuant to any law or statute relating to bankruptcy, insolvency, reorganization, receivership, liquidation or winding up, nor does the Company, SUAC or any their respective Subsidiaries have any knowledge or reason to believe that any of their respective creditors intend to initiate involuntary bankruptcy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4.20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Other than as set forth in the SEC Documents, each of the Company and SUAC does not own or control, directly or indirectly, any interest in any other corporation, partnership, association or other business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4.21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Each of the Company, SUAC and their respective Subsidiaries (i) has timely made or filed all material foreign, federal and state income tax returns and all other material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Each of the Company and SUAC has not received written notification of any unpaid taxes in any material amount claimed to be due by the taxing authority of any jurisdiction, and the officers of the Company, SUAC and their Subsidiaries know of no basis for any such claim where failure to pay would cause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4.22 </w:t>
      </w:r>
      <w:r>
        <w:rPr>
          <w:rFonts w:ascii="Times New Roman;Times;Serif" w:hAnsi="Times New Roman;Times;Serif"/>
          <w:b w:val="false"/>
          <w:i w:val="false"/>
          <w:caps w:val="false"/>
          <w:smallCaps w:val="false"/>
          <w:sz w:val="20"/>
          <w:u w:val="single"/>
        </w:rPr>
        <w:t>Certain Transactions</w:t>
      </w:r>
      <w:r>
        <w:rPr>
          <w:rFonts w:ascii="Times New Roman;Times;Serif" w:hAnsi="Times New Roman;Times;Serif"/>
          <w:b w:val="false"/>
          <w:i w:val="false"/>
          <w:caps w:val="false"/>
          <w:smallCaps w:val="false"/>
          <w:sz w:val="20"/>
        </w:rPr>
        <w:t>. Except as not required to be disclosed pursuant to Applicable Laws, none of the officers or directors of the Company or SUAC is presently a party to any transaction with the Company or SUAC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or director, or to the knowledge of the Company, any corporation, partnership, trust or other entity in which any officer or director has a substantial interest or is an officer, director, trustee or partner.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4.23 </w:t>
      </w:r>
      <w:r>
        <w:rPr>
          <w:rFonts w:ascii="Times New Roman;Times;Serif" w:hAnsi="Times New Roman;Times;Serif"/>
          <w:b w:val="false"/>
          <w:i w:val="false"/>
          <w:caps w:val="false"/>
          <w:smallCaps w:val="false"/>
          <w:sz w:val="20"/>
          <w:u w:val="single"/>
        </w:rPr>
        <w:t>Rights of First Refusal</w:t>
      </w:r>
      <w:r>
        <w:rPr>
          <w:rFonts w:ascii="Times New Roman;Times;Serif" w:hAnsi="Times New Roman;Times;Serif"/>
          <w:b w:val="false"/>
          <w:i w:val="false"/>
          <w:caps w:val="false"/>
          <w:smallCaps w:val="false"/>
          <w:sz w:val="20"/>
        </w:rPr>
        <w:t>. Each of the Company and SUAC is not obligated to offer the Common Shares offered hereunder on a right of first refusal basis to any third parties including, but not limited to, current or former stockholders of the Company, SUAC, underwriters, brokers, agents or other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4.24 </w:t>
      </w:r>
      <w:r>
        <w:rPr>
          <w:rFonts w:ascii="Times New Roman;Times;Serif" w:hAnsi="Times New Roman;Times;Serif"/>
          <w:b w:val="false"/>
          <w:i w:val="false"/>
          <w:caps w:val="false"/>
          <w:smallCaps w:val="false"/>
          <w:sz w:val="20"/>
          <w:u w:val="single"/>
        </w:rPr>
        <w:t>Dilution</w:t>
      </w:r>
      <w:r>
        <w:rPr>
          <w:rFonts w:ascii="Times New Roman;Times;Serif" w:hAnsi="Times New Roman;Times;Serif"/>
          <w:b w:val="false"/>
          <w:i w:val="false"/>
          <w:caps w:val="false"/>
          <w:smallCaps w:val="false"/>
          <w:sz w:val="20"/>
        </w:rPr>
        <w:t>. Each of the Company and SUAC is aware and acknowledges that issuance of Common Shares hereunder could cause dilution to existing stockholders and could significantly increase the outstanding number of Common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4.25 </w:t>
      </w:r>
      <w:r>
        <w:rPr>
          <w:rFonts w:ascii="Times New Roman;Times;Serif" w:hAnsi="Times New Roman;Times;Serif"/>
          <w:b w:val="false"/>
          <w:i w:val="false"/>
          <w:caps w:val="false"/>
          <w:smallCaps w:val="false"/>
          <w:sz w:val="20"/>
          <w:u w:val="single"/>
        </w:rPr>
        <w:t>Acknowledgment Regarding Investor’s Purchase of Shares</w:t>
      </w:r>
      <w:r>
        <w:rPr>
          <w:rFonts w:ascii="Times New Roman;Times;Serif" w:hAnsi="Times New Roman;Times;Serif"/>
          <w:b w:val="false"/>
          <w:i w:val="false"/>
          <w:caps w:val="false"/>
          <w:smallCaps w:val="false"/>
          <w:sz w:val="20"/>
        </w:rPr>
        <w:t>. Each of the Company and SUAC acknowledges and agrees that the Investor is acting solely in the capacity of an arm’s length investor with respect to this Agreement and the transactions contemplated hereunder. Each of the Company and SUAC further acknowledges that the Investor is not acting as a financial advisor or fiduciary of the Company or SUAC (or in any similar capacity) with respect to this Agreement and the transactions contemplated hereunder and any advice given by the Investor or any of its representatives or agents in connection with this Agreement and the transactions contemplated hereunder is merely incidental to the Investor’s purchase of the Shares hereunder. Each of the Company and SUAC is aware and acknowledges that it shall not be able to submit a Purchase Notice under this Agreement if the Registration Statement is not effective or if any issuances of Common Shares pursuant to any Purchase Notice would violate any rules of the Principal Market. Each of the Company and SUAC acknowledges and agrees that it is capable of evaluating and understanding, and understands and accepts, the terms, risks and conditions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4.26 </w:t>
      </w:r>
      <w:r>
        <w:rPr>
          <w:rFonts w:ascii="Times New Roman;Times;Serif" w:hAnsi="Times New Roman;Times;Serif"/>
          <w:b w:val="false"/>
          <w:i w:val="false"/>
          <w:caps w:val="false"/>
          <w:smallCaps w:val="false"/>
          <w:sz w:val="20"/>
          <w:u w:val="single"/>
        </w:rPr>
        <w:t>Finder’s Fees</w:t>
      </w:r>
      <w:r>
        <w:rPr>
          <w:rFonts w:ascii="Times New Roman;Times;Serif" w:hAnsi="Times New Roman;Times;Serif"/>
          <w:b w:val="false"/>
          <w:i w:val="false"/>
          <w:caps w:val="false"/>
          <w:smallCaps w:val="false"/>
          <w:sz w:val="20"/>
        </w:rPr>
        <w:t>. None of the Company, SUAC nor any of their respective Subsidiaries has incurred any liability for any finder’s fees, brokerage commissions or similar payments in connection with the transactions herein contemplated.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4.27 </w:t>
      </w:r>
      <w:r>
        <w:rPr>
          <w:rFonts w:ascii="Times New Roman;Times;Serif" w:hAnsi="Times New Roman;Times;Serif"/>
          <w:b w:val="false"/>
          <w:i w:val="false"/>
          <w:caps w:val="false"/>
          <w:smallCaps w:val="false"/>
          <w:sz w:val="20"/>
          <w:u w:val="single"/>
        </w:rPr>
        <w:t>Relationship of the Parties</w:t>
      </w:r>
      <w:r>
        <w:rPr>
          <w:rFonts w:ascii="Times New Roman;Times;Serif" w:hAnsi="Times New Roman;Times;Serif"/>
          <w:b w:val="false"/>
          <w:i w:val="false"/>
          <w:caps w:val="false"/>
          <w:smallCaps w:val="false"/>
          <w:sz w:val="20"/>
        </w:rPr>
        <w:t>. None of the Company, SUAC nor any of their respective Subsidiaries, affiliates, nor, to the Company’s or SUAC’s knowledge, any person acting on its or their behalf is a client or customer of the Investor or any of its affiliates and, to the Company’s or SUAC’s knowledge, neither the Investor nor any of its affiliates has provided, or will provide, any services to the Company, SUAC or any of their respective affiliates or subsidiaries, or any person acting on its or their behalf. The Investor’s relationship to Company and SUAC is solely as investor as provided for in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4.28 </w:t>
      </w:r>
      <w:r>
        <w:rPr>
          <w:rFonts w:ascii="Times New Roman;Times;Serif" w:hAnsi="Times New Roman;Times;Serif"/>
          <w:b w:val="false"/>
          <w:i w:val="false"/>
          <w:caps w:val="false"/>
          <w:smallCaps w:val="false"/>
          <w:sz w:val="20"/>
          <w:u w:val="single"/>
        </w:rPr>
        <w:t>Operations</w:t>
      </w:r>
      <w:r>
        <w:rPr>
          <w:rFonts w:ascii="Times New Roman;Times;Serif" w:hAnsi="Times New Roman;Times;Serif"/>
          <w:b w:val="false"/>
          <w:i w:val="false"/>
          <w:caps w:val="false"/>
          <w:smallCaps w:val="false"/>
          <w:sz w:val="20"/>
        </w:rPr>
        <w:t>. Except as otherwise disclosed in the SEC Documents, the operations of the Company, SUAC and their respective Subsidiaries are and have been conducted at all times in compliance with the Applicable Laws and none of the Company, SUAC nor any of their respective Subsidiaries, nor any director, officer, or employee of the Company, SUAC or any of their respective Subsidiary nor, to the Company’s or SUAC’s knowledge, any agent, affiliate or other person acting on behalf of the Company, SUAC or any of their respective Subsidiary has, not complied with Applicable Law; and no action, suit or proceeding by or before any governmental authority involving the Company, SUAC or any of their respective Subsidiaries with respect to Applicable Laws is pending or, to the knowledge of the Company or SUAC,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4.29 </w:t>
      </w:r>
      <w:r>
        <w:rPr>
          <w:rFonts w:ascii="Times New Roman;Times;Serif" w:hAnsi="Times New Roman;Times;Serif"/>
          <w:b w:val="false"/>
          <w:i w:val="false"/>
          <w:caps w:val="false"/>
          <w:smallCaps w:val="false"/>
          <w:sz w:val="20"/>
          <w:u w:val="single"/>
        </w:rPr>
        <w:t>Forward-Looking Statements</w:t>
      </w:r>
      <w:r>
        <w:rPr>
          <w:rFonts w:ascii="Times New Roman;Times;Serif" w:hAnsi="Times New Roman;Times;Serif"/>
          <w:b w:val="false"/>
          <w:i w:val="false"/>
          <w:caps w:val="false"/>
          <w:smallCaps w:val="false"/>
          <w:sz w:val="20"/>
        </w:rPr>
        <w:t>. No forward-looking statement (within the meaning of Section 27A of the Securities Act and Section 21E of the Exchange Act) contained in the Registration Statement or a Prospectus has been made or reaffirmed without a reasonable basis or has been disclosed other than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4.30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Each of the Company, SUAC and their respective Subsidiaries is in compliance in all material respects with Applicable Laws; each of the Company and SUAC has not received a notice of non-compliance, nor knows of, nor has reasonable grounds to know of, any facts that any director, officer, or employee of the Company, SUAC or any of their respective Subsidiaries nor, to the Company’s or SUAC’s knowledge, any agent, affiliate or other person acting on behalf of the Company, SUAC or any of their respective Subsidiaries has, has not complied with Applicable Laws, or could give rise to a notice of non-compliance with Applicable Laws, and is not aware of any pending change or contemplated change to any applicable law or regulation or governmental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4.31 </w:t>
      </w:r>
      <w:r>
        <w:rPr>
          <w:rFonts w:ascii="Times New Roman;Times;Serif" w:hAnsi="Times New Roman;Times;Serif"/>
          <w:b w:val="false"/>
          <w:i w:val="false"/>
          <w:caps w:val="false"/>
          <w:smallCaps w:val="false"/>
          <w:sz w:val="20"/>
          <w:u w:val="single"/>
        </w:rPr>
        <w:t>Sanctions Matters</w:t>
      </w:r>
      <w:r>
        <w:rPr>
          <w:rFonts w:ascii="Times New Roman;Times;Serif" w:hAnsi="Times New Roman;Times;Serif"/>
          <w:b w:val="false"/>
          <w:i w:val="false"/>
          <w:caps w:val="false"/>
          <w:smallCaps w:val="false"/>
          <w:sz w:val="20"/>
        </w:rPr>
        <w:t>. None of the Company, SUAC nor any of their respective Subsidiaries or, to the knowledge of the Company, SUAC, any director, officer or controlled affiliate of the Company, SUAC or any their respective Subsidiaries, is a Person that is, or is owned or controlled by a Person that is (i) the subject of any sanctions administered or enforced by the U.S. Department of Treasury’s Office of Foreign Asset Control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the United Nations Security Council, the European Union, His Majesty’s Treasury, or other relevant sanctions authorities, including, without limitation, designation on OFAC’s Specially Designated Nationals and Blocked Persons List or OFAC’s Foreign Sanctions Evaders List or other relevant sanctions authority (collectively, “Sanctions”), or (ii) located, organized or resident in a country or territory that is the subject of Sanctions that broadly prohibit dealings with that country or territory (including, without limitation, the Crimea, Zaporizhzhia and Kherson regions, the Donetsk People’s Republic and Luhansk People’s Republic in Ukraine, Cuba, Iran, North Korea, Russia, Sudan and Syria (the “</w:t>
      </w:r>
      <w:r>
        <w:rPr>
          <w:rFonts w:ascii="Times New Roman;Times;Serif" w:hAnsi="Times New Roman;Times;Serif"/>
          <w:b w:val="false"/>
          <w:i w:val="false"/>
          <w:caps w:val="false"/>
          <w:smallCaps w:val="false"/>
          <w:sz w:val="20"/>
          <w:u w:val="single"/>
        </w:rPr>
        <w:t>Sanctioned Countries</w:t>
      </w:r>
      <w:r>
        <w:rPr>
          <w:rFonts w:ascii="Times New Roman;Times;Serif" w:hAnsi="Times New Roman;Times;Serif"/>
          <w:b w:val="false"/>
          <w:i w:val="false"/>
          <w:caps w:val="false"/>
          <w:smallCaps w:val="false"/>
          <w:sz w:val="20"/>
        </w:rPr>
        <w:t>”)). None of the Company, SUAC nor any of their respective Subsidiaries will, directly or indirectly, use the proceeds from the sale of Shares, or lend, contribute or otherwise make available such proceeds to any subsidiary, joint venture partner or other Person (a) for the purpose of funding or facilitating any activities or business of or with any Person or in any country or territory that, at the time of such funding or facilitation, is the subject of Sanctions or is a Sanctioned Country, or (b) in any other manner that will result in a violation of Sanctions or Applicable Laws by any Person (including any Person participating in the transactions contemplated by this Agreement, whether as underwriter, advisor, investor or otherwise). For the past five years, none of the Company, SUAC nor any of their respective Subsidiaries has engaged in, and is now not engaged in, any dealings or transactions with any Person, or in any country or territory, that at the time of the dealing or transaction is or was the subject of Sanctions or was a Sanctioned Country. None of the Company, SUAC nor any of their respective Subsidiaries, nor any director, officer or controlled affiliate of the Company, SUAC or any of their respective Subsidiaries, has ever had funds blocked by a United States bank or financial institution, temporarily or otherwise, as a result of OFAC concerns.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Indemnification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and the Company represent to the other the following with respect to itself: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Indemnification by the Company</w:t>
      </w:r>
      <w:r>
        <w:rPr>
          <w:rFonts w:ascii="Times New Roman;Times;Serif" w:hAnsi="Times New Roman;Times;Serif"/>
          <w:b w:val="false"/>
          <w:i w:val="false"/>
          <w:caps w:val="false"/>
          <w:smallCaps w:val="false"/>
          <w:sz w:val="20"/>
        </w:rPr>
        <w:t>. In consideration of the Investor’s execution and delivery of this Agreement and acquiring the Shares hereunder, and in addition to all of the Company’s other obligations under this Agreement, the Company shall defend, protect, indemnify and hold harmless the Investor and its officers, directors, managers, members, partners, employees and agents (including, without limitation, those retained in connection with the transactions contemplated by this Agreement) and each person who controls the Investor within the meaning of Section 15 of the Securities Act or Section 20 of the Exchange Act (collectively, the “</w:t>
      </w:r>
      <w:r>
        <w:rPr>
          <w:rFonts w:ascii="Times New Roman;Times;Serif" w:hAnsi="Times New Roman;Times;Serif"/>
          <w:b w:val="false"/>
          <w:i w:val="false"/>
          <w:caps w:val="false"/>
          <w:smallCaps w:val="false"/>
          <w:sz w:val="20"/>
          <w:u w:val="single"/>
        </w:rPr>
        <w:t>Investor Indemnitees</w:t>
      </w:r>
      <w:r>
        <w:rPr>
          <w:rFonts w:ascii="Times New Roman;Times;Serif" w:hAnsi="Times New Roman;Times;Serif"/>
          <w:b w:val="false"/>
          <w:i w:val="false"/>
          <w:caps w:val="false"/>
          <w:smallCaps w:val="false"/>
          <w:sz w:val="20"/>
        </w:rPr>
        <w:t>”) from and against any and all actions, causes of action, suits, claims, losses, costs, penalties, fees, liabilities and damages, and reasonable and documented expenses in connection therewith (irrespective of whether any such Investor Indemnitee is a party to the action for which indemnification hereunder is sought), and including reasonable and documented attorneys’ fees and disbursements (the “</w:t>
      </w:r>
      <w:r>
        <w:rPr>
          <w:rFonts w:ascii="Times New Roman;Times;Serif" w:hAnsi="Times New Roman;Times;Serif"/>
          <w:b w:val="false"/>
          <w:i w:val="false"/>
          <w:caps w:val="false"/>
          <w:smallCaps w:val="false"/>
          <w:sz w:val="20"/>
          <w:u w:val="single"/>
        </w:rPr>
        <w:t>Indemnified Liabilities</w:t>
      </w:r>
      <w:r>
        <w:rPr>
          <w:rFonts w:ascii="Times New Roman;Times;Serif" w:hAnsi="Times New Roman;Times;Serif"/>
          <w:b w:val="false"/>
          <w:i w:val="false"/>
          <w:caps w:val="false"/>
          <w:smallCaps w:val="false"/>
          <w:sz w:val="20"/>
        </w:rPr>
        <w:t xml:space="preserve">”), incurred by the Investor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the Investor specifically for inclusion therein; (b) any material misrepresentation or breach of any material representation or material warranty made by the Company in this Agreement or any other certificate, instrument or document contemplated hereby or thereby; or (c) any material breach of any material covenant, material agreement or material obligation of the Company contained in this Agreement or any other certificate, instrument or document contemplated hereby or thereby; provided, however, </w:t>
      </w:r>
      <w:r>
        <w:rPr>
          <w:rFonts w:ascii="Times New Roman;Times;Serif" w:hAnsi="Times New Roman;Times;Serif"/>
          <w:b w:val="false"/>
          <w:i w:val="false"/>
          <w:caps w:val="false"/>
          <w:smallCaps w:val="false"/>
          <w:sz w:val="20"/>
          <w:shd w:fill="FFFFFF" w:val="clear"/>
        </w:rPr>
        <w:t>that the foregoing indemnity shall not apply to any Indemnified Liabilities to the extent, but only to the extent, that such Indemnified Liabilities resulted directly and primarily from any acts or failures to act, undertaken or omitted to be taken by the Investor Indemnitee through its fraud, bad faith, gross negligence, or willful or reckless misconduct</w:t>
      </w:r>
      <w:r>
        <w:rPr>
          <w:rFonts w:ascii="Times New Roman;Times;Serif" w:hAnsi="Times New Roman;Times;Serif"/>
          <w:b w:val="false"/>
          <w:i w:val="false"/>
          <w:caps w:val="false"/>
          <w:smallCaps w:val="false"/>
          <w:sz w:val="20"/>
        </w:rPr>
        <w:t>. To the extent that the foregoing undertaking by the Company may be unenforceable under Applicable Law, the Company shall make the maximum contribution to the payment and satisfaction of each of the Indemnified Liabilities, which is permissible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val="false"/>
          <w:caps w:val="false"/>
          <w:smallCaps w:val="false"/>
          <w:sz w:val="20"/>
          <w:u w:val="single"/>
        </w:rPr>
        <w:t>Indemnification by the Investor</w:t>
      </w:r>
      <w:r>
        <w:rPr>
          <w:rFonts w:ascii="Times New Roman;Times;Serif" w:hAnsi="Times New Roman;Times;Serif"/>
          <w:b w:val="false"/>
          <w:i w:val="false"/>
          <w:caps w:val="false"/>
          <w:smallCaps w:val="false"/>
          <w:sz w:val="20"/>
        </w:rPr>
        <w:t>. In consideration of the Company’s execution and delivery of this Agreement, and in addition to all of the Investor’s other obligations under this Agreement, the Investor shall defend, protect, indemnify and hold harmless the Company, its Subsidiaries and all of its and their officers, directors, stockholders, employees and agents (including, without limitation, those retained in connection with the transactions contemplated by this Agreement) and each person who controls the Company within the meaning of Section 15 of the Securities Act or Section 20 of the Exchange Act (collectively, the “</w:t>
      </w:r>
      <w:r>
        <w:rPr>
          <w:rFonts w:ascii="Times New Roman;Times;Serif" w:hAnsi="Times New Roman;Times;Serif"/>
          <w:b w:val="false"/>
          <w:i w:val="false"/>
          <w:caps w:val="false"/>
          <w:smallCaps w:val="false"/>
          <w:sz w:val="20"/>
          <w:u w:val="single"/>
        </w:rPr>
        <w:t>Company Indemnitees</w:t>
      </w:r>
      <w:r>
        <w:rPr>
          <w:rFonts w:ascii="Times New Roman;Times;Serif" w:hAnsi="Times New Roman;Times;Serif"/>
          <w:b w:val="false"/>
          <w:i w:val="false"/>
          <w:caps w:val="false"/>
          <w:smallCaps w:val="false"/>
          <w:sz w:val="20"/>
        </w:rPr>
        <w:t xml:space="preserve">”) from and against any and all Indemnified Liabilities incurred by the Company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the Investor will only be liable for written information relating to the Investor furnished to the Company by or on behalf of the Investor specifically for inclusion in the documents referred to in the foregoing indemnity, and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Investor by or on behalf of the Company specifically for inclusion therein; (b) any misrepresentation or breach of any representation or warranty made by the Investor in this Agreement or any instrument or document contemplated hereby or thereby executed by the Investor; or (c) any breach of any covenant, agreement or obligation of the Investor contained in this Agreement or any other certificate, instrument or document contemplated hereby or thereby executed by the Investor; provided, however, that the foregoing indemnity shall not apply to any Indemnified Liabilities to the extent, but only to the extent, that such Indemnified Liabilities resulted directly and primarily from any acts or failures to act, undertaken or omitted to be taken by the Company Indemnitee through its fraud, bad faith, gross negligence, or willful or reckless misconduct. To the extent that the foregoing undertaking by the Investor may be unenforceable under Applicable Laws, the Investor shall make the maximum contribution to the payment and satisfaction of each of the Indemnified Liabilities, which is permissible under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val="false"/>
          <w:caps w:val="false"/>
          <w:smallCaps w:val="false"/>
          <w:sz w:val="20"/>
          <w:u w:val="single"/>
        </w:rPr>
        <w:t>Notice of Claim</w:t>
      </w:r>
      <w:r>
        <w:rPr>
          <w:rFonts w:ascii="Times New Roman;Times;Serif" w:hAnsi="Times New Roman;Times;Serif"/>
          <w:b w:val="false"/>
          <w:i w:val="false"/>
          <w:caps w:val="false"/>
          <w:smallCaps w:val="false"/>
          <w:sz w:val="20"/>
        </w:rPr>
        <w:t xml:space="preserve">. Promptly after receipt by an Investor Indemnitee or Company Indemnitee of notice of the commencement of any action or proceeding (including any governmental action or proceeding) involving an Indemnified Liability, such Investor Indemnitee or Company Indemnitee, as applicable, shall, if a claim for an Indemnified Liability in respect thereof is to be made against any indemnifying party under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deliver to the indemnifying party a written notice of the commencement thereof; but the failure to so notify the indemnifying party will not relieve it of liability under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except to the extent the indemnifying party is prejudiced by such failure. The indemnifying party shall have the right to participate in, and, to the extent the indemnifying party so desires, jointly with any other indemnifying party similarly noticed, to assume control of the defense thereof with counsel mutually reasonably satisfactory to the indemnifying party and the Investor Indemnitee or Company Indemnitee, as the case may be; provided, however, that an Investor Indemnitee or Company Indemnitee shall have the right to retain its own counsel with the actual and reasonable third party fees and expenses of not more than one counsel for such Investor Indemnitee or Company Indemnitee to be paid by the indemnifying party, if, in the reasonable opinion of counsel retained by the indemnifying party, the representation by such counsel of the Investor Indemnitee or Company Indemnitee and the indemnifying party would be inappropriate due to actual or potential differing interests between such Investor Indemnitee or Company Indemnitee and any other party represented by such counsel in such proceeding. The Investor Indemnitee or Company Indemnitee shall cooperate fully with the indemnifying party in connection with any negotiation or defense of any such action or claim by the indemnifying party and shall furnish to the indemnifying party all information reasonably available to the Investor Indemnitee or Company Indemnitee which relates to such action or claim. The indemnifying party shall keep the Investor Indemnitee or Company Indemnitee reasonably apprised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Investor Indemnitee or Company Indemnitee, consent to entry of any judgment or enter into any settlement or other compromise which does not include as an unconditional term thereof the giving by the claimant or plaintiff to such Investor Indemnitee or Company Indemnitee of a release from all liability in respect to such claim or litigation. Following indemnification as provided for hereunder, the indemnifying party shall be subrogated to all rights of the Investor Indemnitee or Company Indemnitee with respect to all third parties, firms or corporations relating to the matter for which indemnification has been made. The indemnification required by this </w:t>
      </w:r>
      <w:r>
        <w:rPr>
          <w:rFonts w:ascii="Times New Roman;Times;Serif" w:hAnsi="Times New Roman;Times;Serif"/>
          <w:b w:val="false"/>
          <w:i w:val="false"/>
          <w:caps w:val="false"/>
          <w:smallCaps w:val="false"/>
          <w:sz w:val="20"/>
          <w:u w:val="single"/>
        </w:rPr>
        <w:t xml:space="preserve">Article V </w:t>
      </w:r>
      <w:r>
        <w:rPr>
          <w:rFonts w:ascii="Times New Roman;Times;Serif" w:hAnsi="Times New Roman;Times;Serif"/>
          <w:b w:val="false"/>
          <w:i w:val="false"/>
          <w:caps w:val="false"/>
          <w:smallCaps w:val="false"/>
          <w:sz w:val="20"/>
        </w:rPr>
        <w:t>shall be made by periodic payments of the amount thereof during the course of the investigation or defense, as and when bills are received and payment therefor is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remedies provided for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are not exclusive and shall not limit any right or remedy which may be available to any indemnified person at law or equity. The obligations of the parties to indemnify or make contribution under this </w:t>
      </w:r>
      <w:r>
        <w:rPr>
          <w:rFonts w:ascii="Times New Roman;Times;Serif" w:hAnsi="Times New Roman;Times;Serif"/>
          <w:b w:val="false"/>
          <w:i w:val="false"/>
          <w:caps w:val="false"/>
          <w:smallCaps w:val="false"/>
          <w:sz w:val="20"/>
          <w:u w:val="single"/>
        </w:rPr>
        <w:t xml:space="preserve">Article V </w:t>
      </w:r>
      <w:r>
        <w:rPr>
          <w:rFonts w:ascii="Times New Roman;Times;Serif" w:hAnsi="Times New Roman;Times;Serif"/>
          <w:b w:val="false"/>
          <w:i w:val="false"/>
          <w:caps w:val="false"/>
          <w:smallCaps w:val="false"/>
          <w:sz w:val="20"/>
        </w:rPr>
        <w:t>shall survive expiration or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5.05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Notwithstanding the foregoing, no party shall seek, nor shall any be entitled to recover from the other party be liable for, special, incidental, indirect, consequential, punitive or exemplary damages.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b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with the Investor, and the Investor covenants with the Company, as follows, which covenants of one party are for the benefit of the other party, during the Commitment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val="false"/>
          <w:caps w:val="false"/>
          <w:smallCaps w:val="false"/>
          <w:sz w:val="20"/>
          <w:u w:val="single"/>
        </w:rPr>
        <w:t>Effective Registration Statement</w:t>
      </w:r>
      <w:r>
        <w:rPr>
          <w:rFonts w:ascii="Times New Roman;Times;Serif" w:hAnsi="Times New Roman;Times;Serif"/>
          <w:b w:val="false"/>
          <w:i w:val="false"/>
          <w:caps w:val="false"/>
          <w:smallCaps w:val="false"/>
          <w:sz w:val="20"/>
        </w:rPr>
        <w:t>. During the Commitment Period, the Company shall use its reasonable best efforts to maintain the continuous effectiveness of each Registration Statement filed with the SEC under the Securities Act pursuant to and in accordance with the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val="false"/>
          <w:caps w:val="false"/>
          <w:smallCaps w:val="false"/>
          <w:sz w:val="20"/>
          <w:u w:val="single"/>
        </w:rPr>
        <w:t>Registration and Listing</w:t>
      </w:r>
      <w:r>
        <w:rPr>
          <w:rFonts w:ascii="Times New Roman;Times;Serif" w:hAnsi="Times New Roman;Times;Serif"/>
          <w:b w:val="false"/>
          <w:i w:val="false"/>
          <w:caps w:val="false"/>
          <w:smallCaps w:val="false"/>
          <w:sz w:val="20"/>
        </w:rPr>
        <w:t>. The Company shall use its reasonable best efforts to cause the Common Shares to be, and after consummation of the Business Combination to continue to be, registered as a class of securities under Section 12(b) of the Exchange Act, and to comply with its reporting and filing obligations under the Exchange Act, and shall not take any action or file any document (whether or not permitted by the Securities Act or the Exchange Act) to terminate or suspend such registration or to terminate or suspend its reporting and filing obligations under the Exchange Act or Securities Act, except as permitted herein. The Company shall use its best efforts to receive approval from the Principal Market to list the Common Shares, and after consummation of the Business Combination, to continue the listing and trading of its Common Shares and the listing of the Shares purchased by the Investor hereunder on the Principal Market and to comply with the Company’s reporting, filing and other obligations under the rules and regulations of the Principal Market. If the Company receives any final and non-appealable notice that the listing or quotation of the Common Shares on the Principal Market shall be terminated on a date certain, the Company shall promptly (and in any case within 24 hours) notify the Investor of such fact in writing and shall use its commercially reasonable efforts to cause the Common Shares to be listed or quoted on another Principal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val="false"/>
          <w:caps w:val="false"/>
          <w:smallCaps w:val="false"/>
          <w:sz w:val="20"/>
          <w:u w:val="single"/>
        </w:rPr>
        <w:t>Blue Sky</w:t>
      </w:r>
      <w:r>
        <w:rPr>
          <w:rFonts w:ascii="Times New Roman;Times;Serif" w:hAnsi="Times New Roman;Times;Serif"/>
          <w:b w:val="false"/>
          <w:i w:val="false"/>
          <w:caps w:val="false"/>
          <w:smallCaps w:val="false"/>
          <w:sz w:val="20"/>
        </w:rPr>
        <w:t xml:space="preserve">. The Company shall take such action, if any, as is necessary by the Company in order to obtain an exemption for or to qualify the Shares for sale by the Company to the Investor pursuant to the Transaction Documents, and at the request of the Investor, the subsequent resale of Registrable Securities by the Investor, in each case, under applicable state securities or “Blue Sky” laws and shall provide evidence of any such action so taken to the Investor from time to time during the Commitment Period;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the Company shall not be required in connection therewith or as a condition thereto to (x) qualify to do business in any jurisdiction where it would not otherwise be required to qualify, (y) subject itself to general taxation in any such jurisdiction, or (z) file a general consent to service of process in any such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val="false"/>
          <w:caps w:val="false"/>
          <w:smallCaps w:val="false"/>
          <w:sz w:val="20"/>
          <w:u w:val="single"/>
        </w:rPr>
        <w:t>Suspension of 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Establishment of a Black Out Period</w:t>
      </w:r>
      <w:r>
        <w:rPr>
          <w:rFonts w:ascii="Times New Roman;Times;Serif" w:hAnsi="Times New Roman;Times;Serif"/>
          <w:b w:val="false"/>
          <w:i w:val="false"/>
          <w:caps w:val="false"/>
          <w:smallCaps w:val="false"/>
          <w:sz w:val="20"/>
        </w:rPr>
        <w:t>. During the Commitment Period, the Company from time to time may suspend the use of a Registration Statement by written notice to the Investor in the event that the Company determines in its sole discretion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Registration Statement or Prospectus so that such Registration Statement or Prospectus shall not include an untrue statement of a material fact or omit to state a material fact required to be stated therein or necessary to make the statements therein, in light of the circumstances under which they were made, not misleading (a “</w:t>
      </w:r>
      <w:r>
        <w:rPr>
          <w:rFonts w:ascii="Times New Roman;Times;Serif" w:hAnsi="Times New Roman;Times;Serif"/>
          <w:b w:val="false"/>
          <w:i w:val="false"/>
          <w:caps w:val="false"/>
          <w:smallCaps w:val="false"/>
          <w:sz w:val="20"/>
          <w:u w:val="single"/>
        </w:rPr>
        <w:t>Black Out Period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Sales by Investor During the Black Out Period</w:t>
      </w:r>
      <w:r>
        <w:rPr>
          <w:rFonts w:ascii="Times New Roman;Times;Serif" w:hAnsi="Times New Roman;Times;Serif"/>
          <w:b w:val="false"/>
          <w:i w:val="false"/>
          <w:caps w:val="false"/>
          <w:smallCaps w:val="false"/>
          <w:sz w:val="20"/>
        </w:rPr>
        <w:t>. During such Black Out Period, the Investor agrees not to sell any Common Shares of the Company pursuant to such Registration Statement, but may sell shares pursuant to an exemption from registration, if available, subject to the Investor’s compliance with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Limitations on the Black Out Period</w:t>
      </w:r>
      <w:r>
        <w:rPr>
          <w:rFonts w:ascii="Times New Roman;Times;Serif" w:hAnsi="Times New Roman;Times;Serif"/>
          <w:b w:val="false"/>
          <w:i w:val="false"/>
          <w:caps w:val="false"/>
          <w:smallCaps w:val="false"/>
          <w:sz w:val="20"/>
        </w:rPr>
        <w:t>. The Company shall not impose any Black Out Period that is longer than 20 business days or in a manner that is more restrictive (including, without limitation, as to duration) than the comparable restrictions that the Company may impose on transfers of the Company’s equity securities by its directors and senior executive officers. In addition, the Company shall not deliver any Purchase Notice during any Black Out Period. If the public announcement of such material, nonpublic information is made during a Black Out Period, the Black Out Period shall terminate immediately after such announcement, and the Company shall immediately notify the Investor of the termination of the Black Out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val="false"/>
          <w:i w:val="false"/>
          <w:caps w:val="false"/>
          <w:smallCaps w:val="false"/>
          <w:sz w:val="20"/>
          <w:u w:val="single"/>
        </w:rPr>
        <w:t>Listing of Common Shares</w:t>
      </w:r>
      <w:r>
        <w:rPr>
          <w:rFonts w:ascii="Times New Roman;Times;Serif" w:hAnsi="Times New Roman;Times;Serif"/>
          <w:b w:val="false"/>
          <w:i w:val="false"/>
          <w:caps w:val="false"/>
          <w:smallCaps w:val="false"/>
          <w:sz w:val="20"/>
        </w:rPr>
        <w:t>. As of each Share Purchase Date, the Shares to be sold by the Company from time to time hereunder will have been registered for resale under Section 12(b) of the Exchange Act and approved for listing on the Principal Market, subject to official notice of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6.06 </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Prior to the date of the delivery by the Company of the first Purchase Notice, the Investor shall have received an opinion letter and negative assurance letter from counsel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6.07 </w:t>
      </w:r>
      <w:r>
        <w:rPr>
          <w:rFonts w:ascii="Times New Roman;Times;Serif" w:hAnsi="Times New Roman;Times;Serif"/>
          <w:b w:val="false"/>
          <w:i w:val="false"/>
          <w:caps w:val="false"/>
          <w:smallCaps w:val="false"/>
          <w:sz w:val="20"/>
          <w:u w:val="single"/>
        </w:rPr>
        <w:t>Exchange Act Registration</w:t>
      </w:r>
      <w:r>
        <w:rPr>
          <w:rFonts w:ascii="Times New Roman;Times;Serif" w:hAnsi="Times New Roman;Times;Serif"/>
          <w:b w:val="false"/>
          <w:i w:val="false"/>
          <w:caps w:val="false"/>
          <w:smallCaps w:val="false"/>
          <w:sz w:val="20"/>
        </w:rPr>
        <w:t>. The Company will file in a timely manner all reports and other documents required of it as a reporting company under the Exchange Act and, during the Commitment Period, will not take any action or file any document (whether or not permitted by Exchange Act or the rules thereunder) to terminate or suspend its reporting and filing obligations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6.08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For any time while there is a Registration Statement in effect for this transaction, the Company shall (if required by the transfer agent for the Common Shares) deliver to the transfer agent for the Common Shares (with a copy to the Investor) instructions to issue Common Shares to the Investor free of restrictive legends upon each issuance of Shares pursuant to a Purchase Notice if the delivery of such instructions are consistent with Applicable Law, in each case supported as needed by an opinion from legal counsel for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6.09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The Company will use commercially reasonable efforts to preserve and continue the corporate existence of the Company during the Commitment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6.10 </w:t>
      </w:r>
      <w:r>
        <w:rPr>
          <w:rFonts w:ascii="Times New Roman;Times;Serif" w:hAnsi="Times New Roman;Times;Serif"/>
          <w:b w:val="false"/>
          <w:i w:val="false"/>
          <w:caps w:val="false"/>
          <w:smallCaps w:val="false"/>
          <w:sz w:val="20"/>
          <w:u w:val="single"/>
        </w:rPr>
        <w:t>Notice of Certain Events Affecting Registration; Suspension of Right to Submit a Purchase Notice</w:t>
      </w:r>
      <w:r>
        <w:rPr>
          <w:rFonts w:ascii="Times New Roman;Times;Serif" w:hAnsi="Times New Roman;Times;Serif"/>
          <w:b w:val="false"/>
          <w:i w:val="false"/>
          <w:caps w:val="false"/>
          <w:smallCaps w:val="false"/>
          <w:sz w:val="20"/>
        </w:rPr>
        <w:t>. The Company will promptly notify the Investor, and confirm in writing, upon its becoming aware of the occurrence of any of the following events in respect of a Registration Statement or related Prospectus: (i) receipt of any request for amendments or supplements to the Registration Statement or related Prospectus; (ii) the issuance by the SEC or any other Federal governmental authority of any stop order suspending the effectiveness of the Registration Statement or the initiation of any proceedings for that purpose; (iii) receipt of any notification with respect to the suspension of the qualification or exemption from qualification of any of the Common Shares for sale in any jurisdiction or the initiation or written threat of any proceeding for such purpose; (iv) the happening of any event that makes any statement made in the Registration Statement or related Prospectus or any document incorporated or deemed to be incorporated therein by reference untrue in any material respect or that requires the making of any changes in the Registration Statement, related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related Prospectus, it will not contain any untrue statement of a material fact or omit to state any material fact required to be stated therein or necessary to make the statements therein, in the light of the circumstances under which they were made, not misleading, or of the necessity to amend the Registration Statement or supplement a related Prospectus to comply with the Securities Act or any other law (and the Company will promptly make available to the Investor any such supplement or amendment to the related Prospectus). The Company shall not deliver to the Investor any Purchase Notice, and the Company shall not sell any Shares pursuant to any pending Purchase Notice (other than as required pursuant to Section 2.04(d)), during the continuation of any of the foregoing events (each of the events described in the immediately preceding clauses (i) through (iv), inclusive, a “</w:t>
      </w:r>
      <w:r>
        <w:rPr>
          <w:rFonts w:ascii="Times New Roman;Times;Serif" w:hAnsi="Times New Roman;Times;Serif"/>
          <w:b w:val="false"/>
          <w:i w:val="false"/>
          <w:caps w:val="false"/>
          <w:smallCaps w:val="false"/>
          <w:sz w:val="20"/>
          <w:u w:val="single"/>
        </w:rPr>
        <w:t>Material Outside Event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6.11 </w:t>
      </w:r>
      <w:r>
        <w:rPr>
          <w:rFonts w:ascii="Times New Roman;Times;Serif" w:hAnsi="Times New Roman;Times;Serif"/>
          <w:b w:val="false"/>
          <w:i w:val="false"/>
          <w:caps w:val="false"/>
          <w:smallCaps w:val="false"/>
          <w:sz w:val="20"/>
          <w:u w:val="single"/>
        </w:rPr>
        <w:t>Consolidation</w:t>
      </w:r>
      <w:r>
        <w:rPr>
          <w:rFonts w:ascii="Times New Roman;Times;Serif" w:hAnsi="Times New Roman;Times;Serif"/>
          <w:b w:val="false"/>
          <w:i w:val="false"/>
          <w:caps w:val="false"/>
          <w:smallCaps w:val="false"/>
          <w:sz w:val="20"/>
        </w:rPr>
        <w:t xml:space="preserve">. If a Purchase Notice has been delivered to the Investor, then the Company shall not effect any consolidation of the Company with or into, or a transfer of all or substantially all the assets of the Company to another entity before the transaction contemplated in such Purchase Notice has been closed in accordance with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hereof, and all Shares in connection with such Purchase Notice have been received by the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6.12 </w:t>
      </w:r>
      <w:r>
        <w:rPr>
          <w:rFonts w:ascii="Times New Roman;Times;Serif" w:hAnsi="Times New Roman;Times;Serif"/>
          <w:b w:val="false"/>
          <w:i w:val="false"/>
          <w:caps w:val="false"/>
          <w:smallCaps w:val="false"/>
          <w:sz w:val="20"/>
          <w:u w:val="single"/>
        </w:rPr>
        <w:t>Issuance of the Company’s Common Shares</w:t>
      </w:r>
      <w:r>
        <w:rPr>
          <w:rFonts w:ascii="Times New Roman;Times;Serif" w:hAnsi="Times New Roman;Times;Serif"/>
          <w:b w:val="false"/>
          <w:i w:val="false"/>
          <w:caps w:val="false"/>
          <w:smallCaps w:val="false"/>
          <w:sz w:val="20"/>
        </w:rPr>
        <w:t>. The issuance and sale of the Common Shares to the Investor hereunder shall be made in accordance with the provisions and requirements of Section 4(a)(2) and Regulation D of the Securities Act and any applicable state securities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6.13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Company, whether or not the transactions contemplated hereunder are consummated or this Agreement is terminated, will pay all expenses incident to the performance of its obligations hereunder, including but not limited to (i) the preparation, printing and filing of the Registration Statement and each amendment and supplement thereto, of each Prospectus and of each amendment and supplement thereto; (ii) the preparation, issuance and delivery of any Shares issued pursuant to this Agreement (including, for the avoidance of doubt, any fees associated with any DWAC of such Shares), (iii) all fees and disbursements of the Company’s counsel, accountants and other advisors (but not, for the avoidance doubt, the fees and disbursements of Investor’s counsel, accountants and other advisors), (iv) the qualification of the Shares under securities laws in accordance with the provisions of this Agreement, including filing fees in connection therewith, (v) the printing and delivery of copies of any Prospectus and any amendments or supplements thereto requested by the Investor, (vi) the fees and expenses incurred in connection with the listing or qualification of the Shares for trading on the Principal Market, or (vii) filing fees of the SEC and the Principal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6.14 </w:t>
      </w:r>
      <w:r>
        <w:rPr>
          <w:rFonts w:ascii="Times New Roman;Times;Serif" w:hAnsi="Times New Roman;Times;Serif"/>
          <w:b w:val="false"/>
          <w:i w:val="false"/>
          <w:caps w:val="false"/>
          <w:smallCaps w:val="false"/>
          <w:sz w:val="20"/>
          <w:u w:val="single"/>
        </w:rPr>
        <w:t>Current Report</w:t>
      </w:r>
      <w:r>
        <w:rPr>
          <w:rFonts w:ascii="Times New Roman;Times;Serif" w:hAnsi="Times New Roman;Times;Serif"/>
          <w:b w:val="false"/>
          <w:i w:val="false"/>
          <w:caps w:val="false"/>
          <w:smallCaps w:val="false"/>
          <w:sz w:val="20"/>
        </w:rPr>
        <w:t>. The Company and SUAC shall timely file with the SEC a current report on Form 8-K describing all the material terms of the transactions contemplated by the Transaction Documents in the form required by the Exchange Act and attaching all the material Transaction Documents (including any exhibits thereto, the “</w:t>
      </w:r>
      <w:r>
        <w:rPr>
          <w:rFonts w:ascii="Times New Roman;Times;Serif" w:hAnsi="Times New Roman;Times;Serif"/>
          <w:b w:val="false"/>
          <w:i w:val="false"/>
          <w:caps w:val="false"/>
          <w:smallCaps w:val="false"/>
          <w:sz w:val="20"/>
          <w:u w:val="single"/>
        </w:rPr>
        <w:t>Current Report</w:t>
      </w:r>
      <w:r>
        <w:rPr>
          <w:rFonts w:ascii="Times New Roman;Times;Serif" w:hAnsi="Times New Roman;Times;Serif"/>
          <w:b w:val="false"/>
          <w:i w:val="false"/>
          <w:caps w:val="false"/>
          <w:smallCaps w:val="false"/>
          <w:sz w:val="20"/>
        </w:rPr>
        <w:t>”). The Company and SUAC shall provide the Investor and its legal counsel a reasonable opportunity to comment on a draft of the Current Report prior to filing the Current Report with the SEC and shall give due consideration to all such comments. Notwithstanding anything contained in this Agreement to the contrary, each of the Company and SUAC expressly agrees that from and after the filing of the Current Report with the SEC, the Company and SUAC shall have publicly disclosed all material, nonpublic information provided to the Investor (or the Investor’s representatives or agents) by the Company, SUAC or any of their respective Subsidiaries, or any of their respective officers, directors, employees, agents or representatives in connection with the transactions contemplated by the Transaction Documents. The Company agrees to, upon request from the Investor, publicly disclose any and all material non-public information the Investor may have prior to the submission of any Purchase Notice. In addition, effective upon the filing of the Current Report, the Company acknowledges and agrees that any and all confidentiality or similar obligations under any agreement, whether written or oral, between the Company, any of its Subsidiaries or any of their respective officers, directors, affiliates, employees or agents, on the one hand, and the Investor or any of its respective officers, directors, affiliates, employees or agents, on the other hand shall terminate. The Company shall not, and the Company shall cause each of its Subsidiaries and each of its and their respective officers, directors, employees and agents not to, provide the Investor with any material, non-public information regarding the Company or any of its Subsidiaries without the express prior written consent of the Investor (which may be granted or withheld in the Investor’s sole discretion). The Company understands and confirms that the Investor will rely on the foregoing representations in effecting resales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6.15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Neither the Company nor any Subsidiary will, directly or indirectly, use the proceeds of the transactions contemplated herein to repay any advances or loans to any executives, directors, or employees of the Company or any Subsidiary or to make any payments in respect of any related party obligations, including without limitation any payables or notes payable to related parties of the Company or any Subsidiary whether or not such amounts are described on the balance sheets of the Company in any SEC Documents and any Subsidiary or described in any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section of any SEC Documents. Neither the Company nor any of its Subsidiaries will, directly or indirectly, use the proceeds from the transactions contemplated herein, or lend, contribute or otherwise make available such proceeds to any subsidiary, joint venture partner or other Person (a) for the purpose of funding or facilitating any activities or business of or with any Person or in any country or territory that, at the time of such funding or facilitation, is the subject of Sanctions or is a Sanctioned Country, or (b) in any other manner that will result in a violation of Sanctions or Applicable Laws by any Person (including any Person participating in the transactions contemplated by this Agreement, whether as underwriter, advisor, investor or otherwise</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6.16 </w:t>
      </w:r>
      <w:r>
        <w:rPr>
          <w:rFonts w:ascii="Times New Roman;Times;Serif" w:hAnsi="Times New Roman;Times;Serif"/>
          <w:b w:val="false"/>
          <w:i w:val="false"/>
          <w:caps w:val="false"/>
          <w:smallCaps w:val="false"/>
          <w:sz w:val="20"/>
          <w:u w:val="single"/>
        </w:rPr>
        <w:t>Purchase Notice Limitation</w:t>
      </w:r>
      <w:r>
        <w:rPr>
          <w:rFonts w:ascii="Times New Roman;Times;Serif" w:hAnsi="Times New Roman;Times;Serif"/>
          <w:b w:val="false"/>
          <w:i w:val="false"/>
          <w:caps w:val="false"/>
          <w:smallCaps w:val="false"/>
          <w:sz w:val="20"/>
        </w:rPr>
        <w:t>. The Company shall not deliver a Purchase Notice if a stockholder meeting or corporate action date, or the record date for any stockholder meeting or any corporate action, would fall during the period beginning two Trading Days prior to the date of delivery of such Purchase Notice and ending two Trading Days following the Closing of such Purchase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6.17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shall comply in all material respects with all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6.18 </w:t>
      </w:r>
      <w:r>
        <w:rPr>
          <w:rFonts w:ascii="Times New Roman;Times;Serif" w:hAnsi="Times New Roman;Times;Serif"/>
          <w:b w:val="false"/>
          <w:i w:val="false"/>
          <w:caps w:val="false"/>
          <w:smallCaps w:val="false"/>
          <w:sz w:val="20"/>
          <w:u w:val="single"/>
        </w:rPr>
        <w:t>Market Activities</w:t>
      </w:r>
      <w:r>
        <w:rPr>
          <w:rFonts w:ascii="Times New Roman;Times;Serif" w:hAnsi="Times New Roman;Times;Serif"/>
          <w:b w:val="false"/>
          <w:i w:val="false"/>
          <w:caps w:val="false"/>
          <w:smallCaps w:val="false"/>
          <w:sz w:val="20"/>
        </w:rPr>
        <w:t>. Neither the Company, nor any Subsidiary, nor any of their respective officers, directors or controlling persons will, directly or indirectly, (i) take any action designed to cause or result in, or that constitutes or might reasonably be expected to constitute or result, in the stabilization or manipulation of the price of any security of the Company to facilitate the sale or resale of Common Shares or (ii) sell, bid for, or purchase Common Shares in violation of Regulation M, or pay anyone any compensation for soliciting purchases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6.19 </w:t>
      </w:r>
      <w:r>
        <w:rPr>
          <w:rFonts w:ascii="Times New Roman;Times;Serif" w:hAnsi="Times New Roman;Times;Serif"/>
          <w:b w:val="false"/>
          <w:i w:val="false"/>
          <w:caps w:val="false"/>
          <w:smallCaps w:val="false"/>
          <w:sz w:val="20"/>
          <w:u w:val="single"/>
        </w:rPr>
        <w:t>Selling Restrictions</w:t>
      </w:r>
      <w:r>
        <w:rPr>
          <w:rFonts w:ascii="Times New Roman;Times;Serif" w:hAnsi="Times New Roman;Times;Serif"/>
          <w:b w:val="false"/>
          <w:i w:val="false"/>
          <w:caps w:val="false"/>
          <w:smallCaps w:val="false"/>
          <w:sz w:val="20"/>
        </w:rPr>
        <w:t xml:space="preserve">. Except as expressly set forth below, the Investor covenants that from and after the date hereof through and including the Trading Day next following the expiration or termination of this Agreement as provided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none of the Investor any of its officers, or any entity managed or controlled by the Investor (collectively, the “</w:t>
      </w:r>
      <w:r>
        <w:rPr>
          <w:rFonts w:ascii="Times New Roman;Times;Serif" w:hAnsi="Times New Roman;Times;Serif"/>
          <w:b w:val="false"/>
          <w:i w:val="false"/>
          <w:caps w:val="false"/>
          <w:smallCaps w:val="false"/>
          <w:sz w:val="20"/>
          <w:u w:val="single"/>
        </w:rPr>
        <w:t>Restricted Persons</w:t>
      </w:r>
      <w:r>
        <w:rPr>
          <w:rFonts w:ascii="Times New Roman;Times;Serif" w:hAnsi="Times New Roman;Times;Serif"/>
          <w:b w:val="false"/>
          <w:i w:val="false"/>
          <w:caps w:val="false"/>
          <w:smallCaps w:val="false"/>
          <w:sz w:val="20"/>
        </w:rPr>
        <w:t>” and each of the foregoing is referred to herein as a “</w:t>
      </w:r>
      <w:r>
        <w:rPr>
          <w:rFonts w:ascii="Times New Roman;Times;Serif" w:hAnsi="Times New Roman;Times;Serif"/>
          <w:b w:val="false"/>
          <w:i w:val="false"/>
          <w:caps w:val="false"/>
          <w:smallCaps w:val="false"/>
          <w:sz w:val="20"/>
          <w:u w:val="single"/>
        </w:rPr>
        <w:t>Restricted Person</w:t>
      </w:r>
      <w:r>
        <w:rPr>
          <w:rFonts w:ascii="Times New Roman;Times;Serif" w:hAnsi="Times New Roman;Times;Serif"/>
          <w:b w:val="false"/>
          <w:i w:val="false"/>
          <w:caps w:val="false"/>
          <w:smallCaps w:val="false"/>
          <w:sz w:val="20"/>
        </w:rPr>
        <w:t>”) shall, directly or indirectly, engage in any “Short Sale” (as such term is defined in Rule 200 of Regulation SHO of the Exchange Act) of the Common Shares, either for its own principal account or for the principal account of any other Restricted Person. Notwithstanding the foregoing, it is expressly understood and agreed that nothing contained herein shall (without implication that the contrary would otherwise be true) prohibit any Restricted Person during the Restricted Period from: (1) selling “long” (as defined under Rule 200 promulgated under Regulation SHO) any Common Shares; or (2) selling a number of Common Shares equal to the number of Shares that such Restricted Person is unconditionally obligated to purchase under a pending Purchase Notice but has not yet received from the Company or the transfer agent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6.20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This Agreement shall be binding upon and shall inure to the benefit of the Parties and their respective successors and permitted assigns. No Party shall have any power or any right to assign or transfer, in whole or in part, this Agreement, or any of its rights or any of its obligations hereunder, including, without limitation, any right to pursue any claim for damages pursuant to this Agreement or the transactions contemplated herein, or to pursue any claim for any breach or default of this Agreement, or any right arising from the purported assignor’s due performance of its obligations hereunder, without the prior written consent of the other Party and any such purported assignment in contravention of the provisions herein shall be null and void and of no force or effect. Without the consent of the Investor, the Company shall not have the right to assign or transfer any of its rights or provide any third party the right to bind or obligate the Company to deliver Purchase Notices or effect the sale of Shares pursuant to a Purchase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6.21 </w:t>
      </w:r>
      <w:r>
        <w:rPr>
          <w:rFonts w:ascii="Times New Roman;Times;Serif" w:hAnsi="Times New Roman;Times;Serif"/>
          <w:b w:val="false"/>
          <w:i w:val="false"/>
          <w:caps w:val="false"/>
          <w:smallCaps w:val="false"/>
          <w:sz w:val="20"/>
          <w:u w:val="single"/>
        </w:rPr>
        <w:t>No Frustration</w:t>
      </w:r>
      <w:r>
        <w:rPr>
          <w:rFonts w:ascii="Times New Roman;Times;Serif" w:hAnsi="Times New Roman;Times;Serif"/>
          <w:b w:val="false"/>
          <w:i w:val="false"/>
          <w:caps w:val="false"/>
          <w:smallCaps w:val="false"/>
          <w:sz w:val="20"/>
        </w:rPr>
        <w:t>. The Company shall not enter into, announce or recommend to its stockholders any agreement, plan, arrangement or transaction that would violate the terms of the Transaction Documents or prevent the Company from performing its obligations under the Transaction Documents to which it is a party, including, without limitation, the obligation of the Company to deliver the Shares to the Investor in respect of a Purchase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6.22 </w:t>
      </w:r>
      <w:r>
        <w:rPr>
          <w:rFonts w:ascii="Times New Roman;Times;Serif" w:hAnsi="Times New Roman;Times;Serif"/>
          <w:b w:val="false"/>
          <w:i w:val="false"/>
          <w:caps w:val="false"/>
          <w:smallCaps w:val="false"/>
          <w:sz w:val="20"/>
          <w:u w:val="single"/>
        </w:rPr>
        <w:t>Prohibited Transactions</w:t>
      </w:r>
      <w:r>
        <w:rPr>
          <w:rFonts w:ascii="Times New Roman;Times;Serif" w:hAnsi="Times New Roman;Times;Serif"/>
          <w:b w:val="false"/>
          <w:i w:val="false"/>
          <w:caps w:val="false"/>
          <w:smallCaps w:val="false"/>
          <w:sz w:val="20"/>
        </w:rPr>
        <w:t>. From the date hereof until the date this Agreement has been validly terminated in accordance with its terms, without the prior written consent of the Investor, the Company shall not enter into, agree to enter into, or effect any Variable Rate Transaction. For the avoidance of doubt, nothing in this Agreement or the Transaction Documents shall restrict or prevent the Company from issuing securities at a fixed price, including, but not limited to, a “private investment in public equity” or “underwritten follow-on offering,” or entering into any other transaction that does not qualify as a Variable Rate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br/>
        <w:t>Non-Exclusive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 xml:space="preserve">Section 6.22 </w:t>
      </w:r>
      <w:r>
        <w:rPr>
          <w:rFonts w:ascii="Times New Roman;Times;Serif" w:hAnsi="Times New Roman;Times;Serif"/>
          <w:b w:val="false"/>
          <w:i w:val="false"/>
          <w:caps w:val="false"/>
          <w:smallCaps w:val="false"/>
          <w:sz w:val="20"/>
        </w:rPr>
        <w:t>hereof, this Agreement and the rights awarded to the Investor hereunder are non-exclusive, and the Company may, at any time throughout the term of this Agreement and thereafter, issue and allot, or undertake to issue and allot, any shares and/or securities and/or convertible notes, bonds, debentures, options to acquire shares or other securities and/or other facilities which may be converted into or replaced by Common Shares or other securities of the Company, and to extend, renew and/or recycle any bonds and/or debentures, and/or grant any rights with respect to its existing and/or future share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br/>
        <w:t>Choice of Law/Jurisdiction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This Agreement, and any and all claims, proceedings or causes of action relating to this Agreement or arising from this Agreement or the transactions contemplated herein, including, without limitation, tort claims, statutory claims and contract claims, shall be interpreted, construed, governed and enforced under and solely in accordance with the substantive and procedural laws of the State of New York, in each case as in effect from time to time and as the same may be amended from time to time, and as applied to agreements performed wholly within the State of New York. The Parties further agree that any action between them shall be heard in New York County, New York and expressly consent to the jurisdiction and venue of the Supreme Court of New York sitting in New York County, New York and the United States District Court of the Southern District of New York, sitting in New York, New York, for the adjudication of any civil action asserted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HERETO HEREBY WAIVES, TO THE FULLEST EXTENT PERMITTED BY APPLICABLE LAW, ANY RIGHT IT MAY HAVE TO A TRIAL BY JURY IN ANY LEGAL PROCEEDING DIRECTLY OR INDIRECTLY ARISING OUT OF OR RELATING TO THIS AGREEMENT OR THE TRANSACTIONS CONTEMPLATED HEREIN, THE PERFORMANCE THEREOF OR THE FINANCINGS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PARTY HERETO HAVE BEEN INDUCED TO ENTER INTO THIS AGREEMENT BY, AMONG OTHER THINGS, THE MUTUAL WAIVERS AND CERTIFICATIONS IN THIS PARAGRAPH.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br/>
        <w:t>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earlier terminated as provided hereunder, this Agreement shall terminate automatically on the earliest of (i) the 36-month anniversary of the Effective Date, (ii) the date on which the Investor shall have made payment of Shares pursuant to Purchase Notices under this Agreement equal to the Commitment Amount or (iii) the date any statute, rule, regulation, executive order, decree, ruling or injunction shall have been enacted, entered, promulgated, withdrawn or endorsed by any court or governmental authority of competent jurisdiction, as applicable, (which shall include the Securities and Exchange Commission), the effect of which would prohibit any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terminate this Agreement effective upon five Trading Days’ prior written notice to the Investor; provided that (i) there are no outstanding Purchase Notices under which Common Shares have yet to be issued, and (ii) the Company has paid all amounts owed to the Investor pursuant to this Agreement. This Agreement may be terminated at any time by the mutual written consent of the parties, effective as of the date of such mutual written consent unless otherwise provided in such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Nothing in this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shall be deemed to release the Company or the Investor from any liability for any breach under this Agreement, or to impair the rights of the Company and the Investor to compel specific performance by the other party of its obligations under this Agreement. The indemnification provisions contained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shall survive termination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br/>
        <w:t>Notices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than with respect to Purchase Notices, which must be in writing and will be deemed delivered on the day set forth in </w:t>
      </w:r>
      <w:r>
        <w:rPr>
          <w:rFonts w:ascii="Times New Roman;Times;Serif" w:hAnsi="Times New Roman;Times;Serif"/>
          <w:b w:val="false"/>
          <w:i w:val="false"/>
          <w:caps w:val="false"/>
          <w:smallCaps w:val="false"/>
          <w:sz w:val="20"/>
          <w:u w:val="single"/>
        </w:rPr>
        <w:t>Section 2.01(b)</w:t>
      </w:r>
      <w:r>
        <w:rPr>
          <w:rFonts w:ascii="Times New Roman;Times;Serif" w:hAnsi="Times New Roman;Times;Serif"/>
          <w:b w:val="false"/>
          <w:i w:val="false"/>
          <w:caps w:val="false"/>
          <w:smallCaps w:val="false"/>
          <w:sz w:val="20"/>
        </w:rPr>
        <w:t>, any notices, consents, waivers, or other communications required or permitted to be given under the terms of this Agreement must be in writing and will be deemed to have been delivered (i) upon receipt, when delivered personally; (ii) upon receipt, when sent by e-mail if sent on a Trading Day, or, if not sent on a Trading Day, on the immediately following Trading Day; (iii) 5 days after being sent by U.S. certified mail, return receipt requested, (iv) 1 day after deposit with a nationally recognized overnight delivery service, in each case properly addressed to the party to receive the same. The addresses for such communications (except for Purchase Notices which shall be delivered in accordance with Exhibit B hereof) shall be:</w:t>
      </w:r>
    </w:p>
    <w:p>
      <w:pPr>
        <w:pStyle w:val="TextBody"/>
        <w:bidi w:val="0"/>
        <w:spacing w:before="0" w:after="0"/>
        <w:ind w:left="0" w:right="0" w:firstLine="720"/>
        <w:jc w:val="both"/>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6800"/>
        <w:gridCol w:w="60"/>
        <w:gridCol w:w="2405"/>
      </w:tblGrid>
      <w:tr>
        <w:trPr/>
        <w:tc>
          <w:tcPr>
            <w:tcW w:w="6800" w:type="dxa"/>
            <w:tcBorders/>
            <w:vAlign w:val="center"/>
          </w:tcPr>
          <w:p>
            <w:pPr>
              <w:pStyle w:val="TableContents"/>
              <w:bidi w:val="0"/>
              <w:spacing w:before="0" w:after="283"/>
              <w:jc w:val="both"/>
              <w:rPr/>
            </w:pPr>
            <w:r>
              <w:rPr/>
              <w:t>If to the Company, to: </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pPr>
            <w:r>
              <w:rPr/>
              <w:t>CID HoldCo, Inc.</w:t>
            </w:r>
          </w:p>
        </w:tc>
      </w:tr>
      <w:tr>
        <w:trPr/>
        <w:tc>
          <w:tcPr>
            <w:tcW w:w="6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pPr>
            <w:r>
              <w:rPr/>
              <w:t>[_]</w:t>
            </w:r>
          </w:p>
        </w:tc>
      </w:tr>
      <w:tr>
        <w:trPr/>
        <w:tc>
          <w:tcPr>
            <w:tcW w:w="6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 </w:t>
            </w:r>
          </w:p>
        </w:tc>
      </w:tr>
      <w:tr>
        <w:trPr/>
        <w:tc>
          <w:tcPr>
            <w:tcW w:w="6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pPr>
            <w:r>
              <w:rPr/>
              <w:t>Attention: [_]</w:t>
            </w:r>
          </w:p>
        </w:tc>
      </w:tr>
      <w:tr>
        <w:trPr/>
        <w:tc>
          <w:tcPr>
            <w:tcW w:w="6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pPr>
            <w:r>
              <w:rPr/>
              <w:t>Email: [_]</w:t>
            </w:r>
          </w:p>
        </w:tc>
      </w:tr>
      <w:tr>
        <w:trPr/>
        <w:tc>
          <w:tcPr>
            <w:tcW w:w="6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pPr>
            <w:r>
              <w:rPr/>
              <w:t> </w:t>
            </w:r>
          </w:p>
        </w:tc>
      </w:tr>
      <w:tr>
        <w:trPr/>
        <w:tc>
          <w:tcPr>
            <w:tcW w:w="6800" w:type="dxa"/>
            <w:tcBorders/>
            <w:vAlign w:val="center"/>
          </w:tcPr>
          <w:p>
            <w:pPr>
              <w:pStyle w:val="TableContents"/>
              <w:bidi w:val="0"/>
              <w:spacing w:before="0" w:after="283"/>
              <w:jc w:val="both"/>
              <w:rPr/>
            </w:pPr>
            <w:r>
              <w:rPr/>
              <w:t>With copies (which shall not constitute notice or delivery of process) to:</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pPr>
            <w:r>
              <w:rPr/>
              <w:t>[_]</w:t>
            </w:r>
          </w:p>
        </w:tc>
      </w:tr>
      <w:tr>
        <w:trPr/>
        <w:tc>
          <w:tcPr>
            <w:tcW w:w="6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pPr>
            <w:r>
              <w:rPr/>
              <w:t>[_]</w:t>
            </w:r>
          </w:p>
        </w:tc>
      </w:tr>
      <w:tr>
        <w:trPr/>
        <w:tc>
          <w:tcPr>
            <w:tcW w:w="6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pPr>
            <w:r>
              <w:rPr/>
              <w:t> </w:t>
            </w:r>
          </w:p>
        </w:tc>
      </w:tr>
      <w:tr>
        <w:trPr/>
        <w:tc>
          <w:tcPr>
            <w:tcW w:w="6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pPr>
            <w:r>
              <w:rPr/>
              <w:t>Attention: [_]</w:t>
            </w:r>
          </w:p>
        </w:tc>
      </w:tr>
      <w:tr>
        <w:trPr/>
        <w:tc>
          <w:tcPr>
            <w:tcW w:w="6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pPr>
            <w:r>
              <w:rPr/>
              <w:t>Email: [_]</w:t>
            </w:r>
          </w:p>
        </w:tc>
      </w:tr>
      <w:tr>
        <w:trPr/>
        <w:tc>
          <w:tcPr>
            <w:tcW w:w="6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pPr>
            <w:r>
              <w:rPr/>
              <w:t> </w:t>
            </w:r>
          </w:p>
        </w:tc>
      </w:tr>
      <w:tr>
        <w:trPr/>
        <w:tc>
          <w:tcPr>
            <w:tcW w:w="6800" w:type="dxa"/>
            <w:tcBorders/>
            <w:vAlign w:val="center"/>
          </w:tcPr>
          <w:p>
            <w:pPr>
              <w:pStyle w:val="TableContents"/>
              <w:bidi w:val="0"/>
              <w:spacing w:before="0" w:after="283"/>
              <w:jc w:val="both"/>
              <w:rPr/>
            </w:pPr>
            <w:r>
              <w:rPr/>
              <w:t>If to the Investor(s): </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pPr>
            <w:r>
              <w:rPr/>
              <w:t>New Circle Capital LLC</w:t>
            </w:r>
          </w:p>
        </w:tc>
      </w:tr>
      <w:tr>
        <w:trPr/>
        <w:tc>
          <w:tcPr>
            <w:tcW w:w="6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pPr>
            <w:r>
              <w:rPr/>
              <w:t>Attention: Walter Arnold</w:t>
            </w:r>
          </w:p>
        </w:tc>
      </w:tr>
      <w:tr>
        <w:trPr/>
        <w:tc>
          <w:tcPr>
            <w:tcW w:w="6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pPr>
            <w:r>
              <w:rPr/>
              <w:t xml:space="preserve">Email: </w:t>
            </w:r>
          </w:p>
        </w:tc>
      </w:tr>
      <w:tr>
        <w:trPr/>
        <w:tc>
          <w:tcPr>
            <w:tcW w:w="6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pPr>
            <w:r>
              <w:rPr/>
              <w:t> </w:t>
            </w:r>
          </w:p>
        </w:tc>
      </w:tr>
      <w:tr>
        <w:trPr/>
        <w:tc>
          <w:tcPr>
            <w:tcW w:w="6800" w:type="dxa"/>
            <w:tcBorders/>
            <w:vAlign w:val="center"/>
          </w:tcPr>
          <w:p>
            <w:pPr>
              <w:pStyle w:val="TableContents"/>
              <w:bidi w:val="0"/>
              <w:spacing w:before="0" w:after="283"/>
              <w:jc w:val="both"/>
              <w:rPr/>
            </w:pPr>
            <w:r>
              <w:rPr/>
              <w:t>With copies (which shall not constitute notice or delivery of process) to:</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pPr>
            <w:r>
              <w:rPr/>
              <w:t>Legal Department</w:t>
            </w:r>
          </w:p>
        </w:tc>
      </w:tr>
      <w:tr>
        <w:trPr/>
        <w:tc>
          <w:tcPr>
            <w:tcW w:w="6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pPr>
            <w:r>
              <w:rPr/>
              <w:t>New Circle Capital LLC</w:t>
            </w:r>
          </w:p>
        </w:tc>
      </w:tr>
      <w:tr>
        <w:trPr/>
        <w:tc>
          <w:tcPr>
            <w:tcW w:w="6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pPr>
            <w:r>
              <w:rPr/>
              <w:t xml:space="preserve">Email: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at such other address and/or e-mail and/or to the attention of such other person as the recipient party has specified by written notice given to each other party three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delivery in accordance with clause (i), (ii) or (iii) above,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w:t>
        <w:b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identical counterparts, both which shall be considered one and the same agreement and shall become effective when counterparts have been signed by each party and delivered to the other party. Facsimile or other electronically scanned and delivered signatures (including any electronic signature covered by the U.S. federal ESIGN Act of 2000, Uniform Electronic Transactions Act, the Electronic Signatures and Records Act or other applicable law,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www.docusign.com), including by e-mail attachment, shall be deemed to have been duly and validly delivered and be valid as originals and effective for all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11.02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supersedes all other prior oral or written agreements between the Investor, the Company, their respective affiliates and persons acting on their behalf with respect to the matters discussed herein, and this Agreement contains the entire understanding of the parties with respect to the matters covered herein and, except as specifically set forth herein, neither the Company nor the Investor makes any representation, warranty, covenant or undertaking with respect to such matters. No provision of this Agreement may be waived or amended other than by an instrument in writing signed by the parties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11.03 </w:t>
      </w:r>
      <w:r>
        <w:rPr>
          <w:rFonts w:ascii="Times New Roman;Times;Serif" w:hAnsi="Times New Roman;Times;Serif"/>
          <w:b w:val="false"/>
          <w:i w:val="false"/>
          <w:caps w:val="false"/>
          <w:smallCaps w:val="false"/>
          <w:sz w:val="20"/>
          <w:u w:val="single"/>
        </w:rPr>
        <w:t>Reporting Entity for Common Shares</w:t>
      </w:r>
      <w:r>
        <w:rPr>
          <w:rFonts w:ascii="Times New Roman;Times;Serif" w:hAnsi="Times New Roman;Times;Serif"/>
          <w:b w:val="false"/>
          <w:i w:val="false"/>
          <w:caps w:val="false"/>
          <w:smallCaps w:val="false"/>
          <w:sz w:val="20"/>
        </w:rPr>
        <w:t>. The reporting entity relied upon for the determination of the trading price or trading volume of the Common Shares on any given Trading Day for the purposes of this Agreement shall be Bloomberg, L.P. or any successor thereto. The written mutual consent of the Investor and the Company shall be required to employ any other reporting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11.04 </w:t>
      </w:r>
      <w:r>
        <w:rPr>
          <w:rFonts w:ascii="Times New Roman;Times;Serif" w:hAnsi="Times New Roman;Times;Serif"/>
          <w:b w:val="false"/>
          <w:i w:val="false"/>
          <w:caps w:val="false"/>
          <w:smallCaps w:val="false"/>
          <w:sz w:val="20"/>
          <w:u w:val="single"/>
        </w:rPr>
        <w:t>Commitment and Structuring Fee</w:t>
      </w:r>
      <w:r>
        <w:rPr>
          <w:rFonts w:ascii="Times New Roman;Times;Serif" w:hAnsi="Times New Roman;Times;Serif"/>
          <w:b w:val="false"/>
          <w:i w:val="false"/>
          <w:caps w:val="false"/>
          <w:smallCaps w:val="false"/>
          <w:sz w:val="20"/>
        </w:rPr>
        <w:t>. Each of the parties shall pay its own fees and expenses (including the fees of any attorneys, accountants, appraisers or others engaged by such party) in connection with this Agreement and the transactions contemplated hereby, except that the Company shall pay to the Investor a structuring fee in the amount of $25,000, which has been paid prior to the date hereof, and a legal fee in the amount of $25,000, which will be paid upon execution of this Agreement. The Company shall pay a commitment fee to the Investor in the form of Common Shares with an aggregate market value equal to $350,000 (the “</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the market value of which shall be determined based on the closing price of the Common Stock on the date the Registration Statement is declared effective by the SEC (the “</w:t>
      </w:r>
      <w:r>
        <w:rPr>
          <w:rFonts w:ascii="Times New Roman;Times;Serif" w:hAnsi="Times New Roman;Times;Serif"/>
          <w:b w:val="false"/>
          <w:i w:val="false"/>
          <w:caps w:val="false"/>
          <w:smallCaps w:val="false"/>
          <w:sz w:val="20"/>
          <w:u w:val="single"/>
        </w:rPr>
        <w:t>Commitment Shares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Company may, in its sole discretion, elect to pay any portion of the Commitment Fee in cash, so long as such amount is paid on or prior to the day of filing of the Registration Statement. The Commitment Shares issuable hereunder shall be included on the initial Registration Statement and the Company shall be required to promptly file additional registration statements for the issuance of additional Common Shares necessary to satisfy the Commitment Fee amount, if necessary. The Commitment Shares shall be issued to the Investor within one (1) Business Day of the date of effectiveness of the Registration Statement registering the Commitment Shares. The Commitment Fee shall be fully earned and non-refundable, regardless of whether any Purchase Notices are made or settled hereunder or any subsequent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11.05 </w:t>
      </w:r>
      <w:r>
        <w:rPr>
          <w:rFonts w:ascii="Times New Roman;Times;Serif" w:hAnsi="Times New Roman;Times;Serif"/>
          <w:b w:val="false"/>
          <w:i w:val="false"/>
          <w:caps w:val="false"/>
          <w:smallCaps w:val="false"/>
          <w:sz w:val="20"/>
          <w:u w:val="single"/>
        </w:rPr>
        <w:t>Brokerage</w:t>
      </w:r>
      <w:r>
        <w:rPr>
          <w:rFonts w:ascii="Times New Roman;Times;Serif" w:hAnsi="Times New Roman;Times;Serif"/>
          <w:b w:val="false"/>
          <w:i w:val="false"/>
          <w:caps w:val="false"/>
          <w:smallCaps w:val="false"/>
          <w:sz w:val="20"/>
        </w:rPr>
        <w:t>. Each of the parties hereto represents that it has had no dealings in connection with this transaction with any finder or broker who will demand payment of any fee or commission from the other party. The Company on the one hand, and the Investor, on the other hand, agree to indemnify the other against and hold the other harmless from any and all liabilities to any person claiming brokerage commissions or finder’s fees on account of services purported to have been rendered on behalf of the indemnifying party in connection with this Agreement or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[REMAINDER OF PAGE INTENTIONALLY LEFT BLANK]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Share Purchase Agreement to be executed by the undersigned, thereunto duly authorized, as of the date first set forth above.</w:t>
      </w:r>
    </w:p>
    <w:p>
      <w:pPr>
        <w:pStyle w:val="TextBody"/>
        <w:bidi w:val="0"/>
        <w:spacing w:before="0" w:after="0"/>
        <w:ind w:left="0" w:right="0" w:firstLine="72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25"/>
        <w:gridCol w:w="3305"/>
        <w:gridCol w:w="75"/>
      </w:tblGrid>
      <w:tr>
        <w:trPr/>
        <w:tc>
          <w:tcPr>
            <w:tcW w:w="4030" w:type="dxa"/>
            <w:gridSpan w:val="2"/>
            <w:tcBorders/>
            <w:vAlign w:val="center"/>
          </w:tcPr>
          <w:p>
            <w:pPr>
              <w:pStyle w:val="TableContents"/>
              <w:bidi w:val="0"/>
              <w:spacing w:before="0" w:after="283"/>
              <w:jc w:val="left"/>
              <w:rPr>
                <w:b/>
              </w:rPr>
            </w:pPr>
            <w:r>
              <w:rPr>
                <w:b/>
              </w:rPr>
              <w:t>COMPANY:</w:t>
            </w:r>
          </w:p>
        </w:tc>
        <w:tc>
          <w:tcPr>
            <w:tcW w:w="75" w:type="dxa"/>
            <w:tcBorders/>
            <w:vAlign w:val="center"/>
          </w:tcPr>
          <w:p>
            <w:pPr>
              <w:pStyle w:val="TableContents"/>
              <w:bidi w:val="0"/>
              <w:spacing w:before="0" w:after="283"/>
              <w:jc w:val="left"/>
              <w:rPr/>
            </w:pPr>
            <w:r>
              <w:rPr/>
              <w:t> </w:t>
            </w:r>
          </w:p>
        </w:tc>
      </w:tr>
      <w:tr>
        <w:trPr/>
        <w:tc>
          <w:tcPr>
            <w:tcW w:w="4030" w:type="dxa"/>
            <w:gridSpan w:val="2"/>
            <w:tcBorders/>
            <w:vAlign w:val="center"/>
          </w:tcPr>
          <w:p>
            <w:pPr>
              <w:pStyle w:val="TableContents"/>
              <w:bidi w:val="0"/>
              <w:spacing w:before="0" w:after="283"/>
              <w:jc w:val="left"/>
              <w:rPr>
                <w:b/>
              </w:rPr>
            </w:pPr>
            <w:r>
              <w:rPr>
                <w:b/>
              </w:rPr>
              <w:t>CID HOLDCO, INC.</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By:</w:t>
            </w:r>
          </w:p>
        </w:tc>
        <w:tc>
          <w:tcPr>
            <w:tcW w:w="3305" w:type="dxa"/>
            <w:tcBorders>
              <w:bottom w:val="single" w:sz="12" w:space="0" w:color="000000"/>
            </w:tcBorders>
            <w:tcMar>
              <w:bottom w:w="28" w:type="dxa"/>
            </w:tcMar>
            <w:vAlign w:val="center"/>
          </w:tcPr>
          <w:p>
            <w:pPr>
              <w:pStyle w:val="TableContents"/>
              <w:bidi w:val="0"/>
              <w:spacing w:before="0" w:after="283"/>
              <w:jc w:val="left"/>
              <w:rPr/>
            </w:pPr>
            <w:r>
              <w:rPr/>
              <w:t>/s/ Edmund Nabrotzky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 </w:t>
            </w:r>
          </w:p>
        </w:tc>
        <w:tc>
          <w:tcPr>
            <w:tcW w:w="3305" w:type="dxa"/>
            <w:tcBorders/>
            <w:vAlign w:val="center"/>
          </w:tcPr>
          <w:p>
            <w:pPr>
              <w:pStyle w:val="TableContents"/>
              <w:bidi w:val="0"/>
              <w:spacing w:before="0" w:after="283"/>
              <w:jc w:val="left"/>
              <w:rPr/>
            </w:pPr>
            <w:r>
              <w:rPr/>
              <w:t>Edmund Nabrotzky</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330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5554" w:type="dxa"/>
        <w:jc w:val="left"/>
        <w:tblInd w:w="0" w:type="dxa"/>
        <w:tblLayout w:type="fixed"/>
        <w:tblCellMar>
          <w:top w:w="0" w:type="dxa"/>
          <w:left w:w="0" w:type="dxa"/>
          <w:bottom w:w="0" w:type="dxa"/>
          <w:right w:w="0" w:type="dxa"/>
        </w:tblCellMar>
      </w:tblPr>
      <w:tblGrid>
        <w:gridCol w:w="1281"/>
        <w:gridCol w:w="4198"/>
        <w:gridCol w:w="75"/>
      </w:tblGrid>
      <w:tr>
        <w:trPr/>
        <w:tc>
          <w:tcPr>
            <w:tcW w:w="5479" w:type="dxa"/>
            <w:gridSpan w:val="2"/>
            <w:tcBorders/>
            <w:vAlign w:val="center"/>
          </w:tcPr>
          <w:p>
            <w:pPr>
              <w:pStyle w:val="TableContents"/>
              <w:bidi w:val="0"/>
              <w:spacing w:before="0" w:after="283"/>
              <w:jc w:val="left"/>
              <w:rPr>
                <w:b/>
              </w:rPr>
            </w:pPr>
            <w:r>
              <w:rPr>
                <w:b/>
              </w:rPr>
              <w:t>INVESTOR:</w:t>
            </w:r>
          </w:p>
        </w:tc>
        <w:tc>
          <w:tcPr>
            <w:tcW w:w="75" w:type="dxa"/>
            <w:tcBorders/>
            <w:vAlign w:val="center"/>
          </w:tcPr>
          <w:p>
            <w:pPr>
              <w:pStyle w:val="TableContents"/>
              <w:bidi w:val="0"/>
              <w:spacing w:before="0" w:after="283"/>
              <w:jc w:val="left"/>
              <w:rPr/>
            </w:pPr>
            <w:r>
              <w:rPr/>
              <w:t> </w:t>
            </w:r>
          </w:p>
        </w:tc>
      </w:tr>
      <w:tr>
        <w:trPr/>
        <w:tc>
          <w:tcPr>
            <w:tcW w:w="5479" w:type="dxa"/>
            <w:gridSpan w:val="2"/>
            <w:tcBorders/>
            <w:vAlign w:val="center"/>
          </w:tcPr>
          <w:p>
            <w:pPr>
              <w:pStyle w:val="TableContents"/>
              <w:bidi w:val="0"/>
              <w:spacing w:before="0" w:after="283"/>
              <w:jc w:val="left"/>
              <w:rPr>
                <w:b/>
              </w:rPr>
            </w:pPr>
            <w:r>
              <w:rPr>
                <w:b/>
              </w:rPr>
              <w:t>NEW CIRCLE PRINCIPAL INVESTMENTS LLC</w:t>
            </w:r>
          </w:p>
        </w:tc>
        <w:tc>
          <w:tcPr>
            <w:tcW w:w="75" w:type="dxa"/>
            <w:tcBorders/>
            <w:vAlign w:val="center"/>
          </w:tcPr>
          <w:p>
            <w:pPr>
              <w:pStyle w:val="TableContents"/>
              <w:bidi w:val="0"/>
              <w:spacing w:before="0" w:after="283"/>
              <w:jc w:val="left"/>
              <w:rPr/>
            </w:pPr>
            <w:r>
              <w:rPr/>
              <w:t> </w:t>
            </w:r>
          </w:p>
        </w:tc>
      </w:tr>
      <w:tr>
        <w:trPr/>
        <w:tc>
          <w:tcPr>
            <w:tcW w:w="1281" w:type="dxa"/>
            <w:tcBorders/>
            <w:vAlign w:val="center"/>
          </w:tcPr>
          <w:p>
            <w:pPr>
              <w:pStyle w:val="TableContents"/>
              <w:bidi w:val="0"/>
              <w:spacing w:before="0" w:after="283"/>
              <w:jc w:val="left"/>
              <w:rPr/>
            </w:pPr>
            <w:r>
              <w:rPr/>
              <w:t> </w:t>
            </w:r>
          </w:p>
        </w:tc>
        <w:tc>
          <w:tcPr>
            <w:tcW w:w="4198"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281" w:type="dxa"/>
            <w:tcBorders/>
            <w:vAlign w:val="center"/>
          </w:tcPr>
          <w:p>
            <w:pPr>
              <w:pStyle w:val="TableContents"/>
              <w:bidi w:val="0"/>
              <w:spacing w:before="0" w:after="283"/>
              <w:jc w:val="left"/>
              <w:rPr/>
            </w:pPr>
            <w:r>
              <w:rPr/>
              <w:t>By:</w:t>
            </w:r>
          </w:p>
        </w:tc>
        <w:tc>
          <w:tcPr>
            <w:tcW w:w="4198" w:type="dxa"/>
            <w:tcBorders/>
            <w:vAlign w:val="center"/>
          </w:tcPr>
          <w:p>
            <w:pPr>
              <w:pStyle w:val="TableContents"/>
              <w:bidi w:val="0"/>
              <w:spacing w:before="0" w:after="283"/>
              <w:jc w:val="both"/>
              <w:rPr/>
            </w:pPr>
            <w:r>
              <w:rPr/>
              <w:t>New Circle Capital LLC</w:t>
            </w:r>
          </w:p>
        </w:tc>
        <w:tc>
          <w:tcPr>
            <w:tcW w:w="75" w:type="dxa"/>
            <w:tcBorders/>
            <w:vAlign w:val="center"/>
          </w:tcPr>
          <w:p>
            <w:pPr>
              <w:pStyle w:val="TableContents"/>
              <w:bidi w:val="0"/>
              <w:spacing w:before="0" w:after="283"/>
              <w:jc w:val="left"/>
              <w:rPr/>
            </w:pPr>
            <w:r>
              <w:rPr/>
              <w:t> </w:t>
            </w:r>
          </w:p>
        </w:tc>
      </w:tr>
      <w:tr>
        <w:trPr/>
        <w:tc>
          <w:tcPr>
            <w:tcW w:w="1281" w:type="dxa"/>
            <w:tcBorders/>
            <w:vAlign w:val="center"/>
          </w:tcPr>
          <w:p>
            <w:pPr>
              <w:pStyle w:val="TableContents"/>
              <w:bidi w:val="0"/>
              <w:spacing w:before="0" w:after="283"/>
              <w:jc w:val="left"/>
              <w:rPr/>
            </w:pPr>
            <w:r>
              <w:rPr/>
              <w:t>Its:</w:t>
            </w:r>
          </w:p>
        </w:tc>
        <w:tc>
          <w:tcPr>
            <w:tcW w:w="4198" w:type="dxa"/>
            <w:tcBorders/>
            <w:vAlign w:val="center"/>
          </w:tcPr>
          <w:p>
            <w:pPr>
              <w:pStyle w:val="TableContents"/>
              <w:bidi w:val="0"/>
              <w:spacing w:before="0" w:after="283"/>
              <w:jc w:val="both"/>
              <w:rPr/>
            </w:pPr>
            <w:r>
              <w:rPr/>
              <w:t>Sole Member</w:t>
            </w:r>
          </w:p>
        </w:tc>
        <w:tc>
          <w:tcPr>
            <w:tcW w:w="75" w:type="dxa"/>
            <w:tcBorders/>
            <w:vAlign w:val="center"/>
          </w:tcPr>
          <w:p>
            <w:pPr>
              <w:pStyle w:val="TableContents"/>
              <w:bidi w:val="0"/>
              <w:spacing w:before="0" w:after="283"/>
              <w:jc w:val="left"/>
              <w:rPr/>
            </w:pPr>
            <w:r>
              <w:rPr/>
              <w:t> </w:t>
            </w:r>
          </w:p>
        </w:tc>
      </w:tr>
      <w:tr>
        <w:trPr/>
        <w:tc>
          <w:tcPr>
            <w:tcW w:w="1281" w:type="dxa"/>
            <w:tcBorders/>
            <w:vAlign w:val="center"/>
          </w:tcPr>
          <w:p>
            <w:pPr>
              <w:pStyle w:val="TableContents"/>
              <w:bidi w:val="0"/>
              <w:spacing w:before="0" w:after="283"/>
              <w:jc w:val="left"/>
              <w:rPr/>
            </w:pPr>
            <w:r>
              <w:rPr/>
              <w:t> </w:t>
            </w:r>
          </w:p>
        </w:tc>
        <w:tc>
          <w:tcPr>
            <w:tcW w:w="4198"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281" w:type="dxa"/>
            <w:tcBorders/>
            <w:vAlign w:val="center"/>
          </w:tcPr>
          <w:p>
            <w:pPr>
              <w:pStyle w:val="TableContents"/>
              <w:bidi w:val="0"/>
              <w:spacing w:before="0" w:after="283"/>
              <w:jc w:val="left"/>
              <w:rPr/>
            </w:pPr>
            <w:r>
              <w:rPr/>
              <w:t>By:</w:t>
            </w:r>
          </w:p>
        </w:tc>
        <w:tc>
          <w:tcPr>
            <w:tcW w:w="4198" w:type="dxa"/>
            <w:tcBorders>
              <w:bottom w:val="single" w:sz="12" w:space="0" w:color="000000"/>
            </w:tcBorders>
            <w:tcMar>
              <w:bottom w:w="28" w:type="dxa"/>
            </w:tcMar>
            <w:vAlign w:val="center"/>
          </w:tcPr>
          <w:p>
            <w:pPr>
              <w:pStyle w:val="TableContents"/>
              <w:bidi w:val="0"/>
              <w:spacing w:before="0" w:after="283"/>
              <w:jc w:val="left"/>
              <w:rPr/>
            </w:pPr>
            <w:r>
              <w:rPr/>
              <w:t>/s/ Walter Arnold</w:t>
            </w:r>
          </w:p>
        </w:tc>
        <w:tc>
          <w:tcPr>
            <w:tcW w:w="75" w:type="dxa"/>
            <w:tcBorders/>
            <w:vAlign w:val="center"/>
          </w:tcPr>
          <w:p>
            <w:pPr>
              <w:pStyle w:val="TableContents"/>
              <w:bidi w:val="0"/>
              <w:spacing w:before="0" w:after="283"/>
              <w:jc w:val="left"/>
              <w:rPr/>
            </w:pPr>
            <w:r>
              <w:rPr/>
              <w:t> </w:t>
            </w:r>
          </w:p>
        </w:tc>
      </w:tr>
      <w:tr>
        <w:trPr/>
        <w:tc>
          <w:tcPr>
            <w:tcW w:w="1281" w:type="dxa"/>
            <w:tcBorders/>
            <w:vAlign w:val="center"/>
          </w:tcPr>
          <w:p>
            <w:pPr>
              <w:pStyle w:val="TableContents"/>
              <w:bidi w:val="0"/>
              <w:spacing w:before="0" w:after="283"/>
              <w:jc w:val="left"/>
              <w:rPr/>
            </w:pPr>
            <w:r>
              <w:rPr/>
              <w:t>Name: </w:t>
            </w:r>
          </w:p>
        </w:tc>
        <w:tc>
          <w:tcPr>
            <w:tcW w:w="4198" w:type="dxa"/>
            <w:tcBorders/>
            <w:vAlign w:val="center"/>
          </w:tcPr>
          <w:p>
            <w:pPr>
              <w:pStyle w:val="TableContents"/>
              <w:bidi w:val="0"/>
              <w:spacing w:before="0" w:after="283"/>
              <w:jc w:val="both"/>
              <w:rPr/>
            </w:pPr>
            <w:r>
              <w:rPr/>
              <w:t>Walter Arnold</w:t>
            </w:r>
          </w:p>
        </w:tc>
        <w:tc>
          <w:tcPr>
            <w:tcW w:w="75" w:type="dxa"/>
            <w:tcBorders/>
            <w:vAlign w:val="center"/>
          </w:tcPr>
          <w:p>
            <w:pPr>
              <w:pStyle w:val="TableContents"/>
              <w:bidi w:val="0"/>
              <w:spacing w:before="0" w:after="283"/>
              <w:jc w:val="left"/>
              <w:rPr/>
            </w:pPr>
            <w:r>
              <w:rPr/>
              <w:t> </w:t>
            </w:r>
          </w:p>
        </w:tc>
      </w:tr>
      <w:tr>
        <w:trPr/>
        <w:tc>
          <w:tcPr>
            <w:tcW w:w="1281" w:type="dxa"/>
            <w:tcBorders/>
            <w:vAlign w:val="center"/>
          </w:tcPr>
          <w:p>
            <w:pPr>
              <w:pStyle w:val="TableContents"/>
              <w:bidi w:val="0"/>
              <w:spacing w:before="0" w:after="283"/>
              <w:jc w:val="left"/>
              <w:rPr/>
            </w:pPr>
            <w:r>
              <w:rPr/>
              <w:t>Title:</w:t>
            </w:r>
          </w:p>
        </w:tc>
        <w:tc>
          <w:tcPr>
            <w:tcW w:w="4198" w:type="dxa"/>
            <w:tcBorders/>
            <w:vAlign w:val="center"/>
          </w:tcPr>
          <w:p>
            <w:pPr>
              <w:pStyle w:val="TableContents"/>
              <w:bidi w:val="0"/>
              <w:spacing w:before="0" w:after="283"/>
              <w:jc w:val="both"/>
              <w:rPr/>
            </w:pPr>
            <w:r>
              <w:rPr/>
              <w:t>Managing Partner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Acknowledged and Agreed.</w:t>
      </w:r>
    </w:p>
    <w:p>
      <w:pPr>
        <w:pStyle w:val="TextBody"/>
        <w:bidi w:val="0"/>
        <w:spacing w:before="0" w:after="0"/>
        <w:ind w:left="0" w:right="0" w:firstLine="720"/>
        <w:jc w:val="both"/>
        <w:rPr>
          <w:caps w:val="false"/>
          <w:smallCaps w:val="false"/>
        </w:rPr>
      </w:pPr>
      <w:r>
        <w:rPr>
          <w:caps w:val="false"/>
          <w:smallCaps w:val="false"/>
        </w:rPr>
        <w:t> </w:t>
      </w:r>
    </w:p>
    <w:tbl>
      <w:tblPr>
        <w:tblW w:w="6139" w:type="dxa"/>
        <w:jc w:val="left"/>
        <w:tblInd w:w="0" w:type="dxa"/>
        <w:tblLayout w:type="fixed"/>
        <w:tblCellMar>
          <w:top w:w="0" w:type="dxa"/>
          <w:left w:w="0" w:type="dxa"/>
          <w:bottom w:w="0" w:type="dxa"/>
          <w:right w:w="0" w:type="dxa"/>
        </w:tblCellMar>
      </w:tblPr>
      <w:tblGrid>
        <w:gridCol w:w="1067"/>
        <w:gridCol w:w="4997"/>
        <w:gridCol w:w="75"/>
      </w:tblGrid>
      <w:tr>
        <w:trPr/>
        <w:tc>
          <w:tcPr>
            <w:tcW w:w="6064" w:type="dxa"/>
            <w:gridSpan w:val="2"/>
            <w:tcBorders/>
            <w:vAlign w:val="center"/>
          </w:tcPr>
          <w:p>
            <w:pPr>
              <w:pStyle w:val="TableContents"/>
              <w:bidi w:val="0"/>
              <w:spacing w:before="0" w:after="283"/>
              <w:jc w:val="left"/>
              <w:rPr>
                <w:b/>
              </w:rPr>
            </w:pPr>
            <w:r>
              <w:rPr>
                <w:b/>
              </w:rPr>
              <w:t>SUAC:</w:t>
            </w:r>
          </w:p>
        </w:tc>
        <w:tc>
          <w:tcPr>
            <w:tcW w:w="75" w:type="dxa"/>
            <w:tcBorders/>
            <w:vAlign w:val="center"/>
          </w:tcPr>
          <w:p>
            <w:pPr>
              <w:pStyle w:val="TableContents"/>
              <w:bidi w:val="0"/>
              <w:spacing w:before="0" w:after="283"/>
              <w:jc w:val="left"/>
              <w:rPr/>
            </w:pPr>
            <w:r>
              <w:rPr/>
              <w:t> </w:t>
            </w:r>
          </w:p>
        </w:tc>
      </w:tr>
      <w:tr>
        <w:trPr/>
        <w:tc>
          <w:tcPr>
            <w:tcW w:w="6064" w:type="dxa"/>
            <w:gridSpan w:val="2"/>
            <w:tcBorders/>
            <w:vAlign w:val="center"/>
          </w:tcPr>
          <w:p>
            <w:pPr>
              <w:pStyle w:val="TableContents"/>
              <w:bidi w:val="0"/>
              <w:spacing w:before="0" w:after="283"/>
              <w:jc w:val="left"/>
              <w:rPr>
                <w:b/>
              </w:rPr>
            </w:pPr>
            <w:r>
              <w:rPr>
                <w:b/>
              </w:rPr>
              <w:t>SHOULDERUP TECHNOLOGY ACQUISITION CORP.</w:t>
            </w:r>
          </w:p>
        </w:tc>
        <w:tc>
          <w:tcPr>
            <w:tcW w:w="75" w:type="dxa"/>
            <w:tcBorders/>
            <w:vAlign w:val="center"/>
          </w:tcPr>
          <w:p>
            <w:pPr>
              <w:pStyle w:val="TableContents"/>
              <w:bidi w:val="0"/>
              <w:spacing w:before="0" w:after="283"/>
              <w:jc w:val="left"/>
              <w:rPr/>
            </w:pPr>
            <w:r>
              <w:rPr/>
              <w:t> </w:t>
            </w:r>
          </w:p>
        </w:tc>
      </w:tr>
      <w:tr>
        <w:trPr/>
        <w:tc>
          <w:tcPr>
            <w:tcW w:w="1067" w:type="dxa"/>
            <w:tcBorders/>
            <w:vAlign w:val="center"/>
          </w:tcPr>
          <w:p>
            <w:pPr>
              <w:pStyle w:val="TableContents"/>
              <w:bidi w:val="0"/>
              <w:spacing w:before="0" w:after="283"/>
              <w:jc w:val="left"/>
              <w:rPr/>
            </w:pPr>
            <w:r>
              <w:rPr/>
              <w:t> </w:t>
            </w:r>
          </w:p>
        </w:tc>
        <w:tc>
          <w:tcPr>
            <w:tcW w:w="4997"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067" w:type="dxa"/>
            <w:tcBorders/>
            <w:vAlign w:val="center"/>
          </w:tcPr>
          <w:p>
            <w:pPr>
              <w:pStyle w:val="TableContents"/>
              <w:bidi w:val="0"/>
              <w:spacing w:before="0" w:after="283"/>
              <w:jc w:val="left"/>
              <w:rPr/>
            </w:pPr>
            <w:r>
              <w:rPr/>
              <w:t>By:</w:t>
            </w:r>
          </w:p>
        </w:tc>
        <w:tc>
          <w:tcPr>
            <w:tcW w:w="4997" w:type="dxa"/>
            <w:tcBorders>
              <w:bottom w:val="single" w:sz="12" w:space="0" w:color="000000"/>
            </w:tcBorders>
            <w:tcMar>
              <w:bottom w:w="28" w:type="dxa"/>
            </w:tcMar>
            <w:vAlign w:val="center"/>
          </w:tcPr>
          <w:p>
            <w:pPr>
              <w:pStyle w:val="TableContents"/>
              <w:bidi w:val="0"/>
              <w:spacing w:before="0" w:after="283"/>
              <w:jc w:val="left"/>
              <w:rPr/>
            </w:pPr>
            <w:r>
              <w:rPr/>
              <w:t>/s/ Phyllis Newhouse                       </w:t>
            </w:r>
          </w:p>
        </w:tc>
        <w:tc>
          <w:tcPr>
            <w:tcW w:w="75" w:type="dxa"/>
            <w:tcBorders/>
            <w:vAlign w:val="center"/>
          </w:tcPr>
          <w:p>
            <w:pPr>
              <w:pStyle w:val="TableContents"/>
              <w:bidi w:val="0"/>
              <w:spacing w:before="0" w:after="283"/>
              <w:jc w:val="left"/>
              <w:rPr/>
            </w:pPr>
            <w:r>
              <w:rPr/>
              <w:t> </w:t>
            </w:r>
          </w:p>
        </w:tc>
      </w:tr>
      <w:tr>
        <w:trPr/>
        <w:tc>
          <w:tcPr>
            <w:tcW w:w="1067" w:type="dxa"/>
            <w:tcBorders/>
            <w:vAlign w:val="center"/>
          </w:tcPr>
          <w:p>
            <w:pPr>
              <w:pStyle w:val="TableContents"/>
              <w:bidi w:val="0"/>
              <w:spacing w:before="0" w:after="283"/>
              <w:jc w:val="left"/>
              <w:rPr/>
            </w:pPr>
            <w:r>
              <w:rPr/>
              <w:t>Name: </w:t>
            </w:r>
          </w:p>
        </w:tc>
        <w:tc>
          <w:tcPr>
            <w:tcW w:w="4997" w:type="dxa"/>
            <w:tcBorders/>
            <w:vAlign w:val="center"/>
          </w:tcPr>
          <w:p>
            <w:pPr>
              <w:pStyle w:val="TableContents"/>
              <w:bidi w:val="0"/>
              <w:spacing w:before="0" w:after="283"/>
              <w:jc w:val="left"/>
              <w:rPr/>
            </w:pPr>
            <w:r>
              <w:rPr/>
              <w:t>Phyllis Newhouse</w:t>
            </w:r>
          </w:p>
        </w:tc>
        <w:tc>
          <w:tcPr>
            <w:tcW w:w="75" w:type="dxa"/>
            <w:tcBorders/>
            <w:vAlign w:val="center"/>
          </w:tcPr>
          <w:p>
            <w:pPr>
              <w:pStyle w:val="TableContents"/>
              <w:bidi w:val="0"/>
              <w:spacing w:before="0" w:after="283"/>
              <w:jc w:val="left"/>
              <w:rPr/>
            </w:pPr>
            <w:r>
              <w:rPr/>
              <w:t> </w:t>
            </w:r>
          </w:p>
        </w:tc>
      </w:tr>
      <w:tr>
        <w:trPr/>
        <w:tc>
          <w:tcPr>
            <w:tcW w:w="1067" w:type="dxa"/>
            <w:tcBorders/>
            <w:vAlign w:val="center"/>
          </w:tcPr>
          <w:p>
            <w:pPr>
              <w:pStyle w:val="TableContents"/>
              <w:bidi w:val="0"/>
              <w:spacing w:before="0" w:after="283"/>
              <w:jc w:val="left"/>
              <w:rPr/>
            </w:pPr>
            <w:r>
              <w:rPr/>
              <w:t>Title:</w:t>
            </w:r>
          </w:p>
        </w:tc>
        <w:tc>
          <w:tcPr>
            <w:tcW w:w="4997"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ANNEX I TO THE</w:t>
        <w:br/>
        <w:t>SHARE PURCHASE AGREEMENT</w:t>
        <w:br/>
      </w:r>
      <w:r>
        <w:rPr>
          <w:rFonts w:ascii="Times New Roman;Times;Serif" w:hAnsi="Times New Roman;Times;Serif"/>
          <w:b/>
          <w:i w:val="false"/>
          <w:caps/>
          <w:sz w:val="20"/>
          <w:u w:val="single"/>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3.07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have the meaning set forth in the preamble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shall mean all applicable laws, statutes, rules, regulations, orders, executive orders, directives, policies, guidelines and codes having the force of law, whether local, national, or international, as amended from time to time, including without limitation (i) all applicable laws that relate to money laundering, terrorist financing, financial record keeping and reporting, (ii) all applicable laws that relate to anti-bribery, anti-corruption, books and records and internal controls, including the United States Foreign Corrupt Practices Act of 1977, and (iii) any Sanctions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Average Price</w:t>
      </w:r>
      <w:r>
        <w:rPr>
          <w:rFonts w:ascii="Times New Roman;Times;Serif" w:hAnsi="Times New Roman;Times;Serif"/>
          <w:b w:val="false"/>
          <w:i w:val="false"/>
          <w:caps w:val="false"/>
          <w:smallCaps w:val="false"/>
          <w:sz w:val="20"/>
        </w:rPr>
        <w:t>” shall mean a price per Share equal to the quotient obtained by dividing (i) the aggregate gross purchase price paid by the Investor for all Shares purchased pursuant to this Agreement, by (ii) the aggregate number of Shares issued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Black Out Period</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Amount</w:t>
      </w:r>
      <w:r>
        <w:rPr>
          <w:rFonts w:ascii="Times New Roman;Times;Serif" w:hAnsi="Times New Roman;Times;Serif"/>
          <w:b w:val="false"/>
          <w:i w:val="false"/>
          <w:caps w:val="false"/>
          <w:smallCaps w:val="false"/>
          <w:sz w:val="20"/>
        </w:rPr>
        <w:t>” shall mean $50,000,000 of Common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Shares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Period</w:t>
      </w:r>
      <w:r>
        <w:rPr>
          <w:rFonts w:ascii="Times New Roman;Times;Serif" w:hAnsi="Times New Roman;Times;Serif"/>
          <w:b w:val="false"/>
          <w:i w:val="false"/>
          <w:caps w:val="false"/>
          <w:smallCaps w:val="false"/>
          <w:sz w:val="20"/>
        </w:rPr>
        <w:t xml:space="preserve">” shall mean the period commencing on the Effective Date and expiring upon the date of termination of this Agreement in accordance with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Shares</w:t>
      </w:r>
      <w:r>
        <w:rPr>
          <w:rFonts w:ascii="Times New Roman;Times;Serif" w:hAnsi="Times New Roman;Times;Serif"/>
          <w:b w:val="false"/>
          <w:i w:val="false"/>
          <w:caps w:val="false"/>
          <w:smallCaps w:val="false"/>
          <w:sz w:val="20"/>
        </w:rPr>
        <w:t>” shall have the meaning set forth in the recitals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have the meaning set forth in the preamble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Indemnitees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Condition Satisfaction Date</w:t>
      </w:r>
      <w:r>
        <w:rPr>
          <w:rFonts w:ascii="Times New Roman;Times;Serif" w:hAnsi="Times New Roman;Times;Serif"/>
          <w:b w:val="false"/>
          <w:i w:val="false"/>
          <w:caps w:val="false"/>
          <w:smallCaps w:val="false"/>
          <w:sz w:val="20"/>
        </w:rPr>
        <w:t>” shall have the meaning set forth in Annex 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Schedule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shall mean The Depository Trust Company, or any successor performing substantially the same function for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DTC/FAST Program</w:t>
      </w:r>
      <w:r>
        <w:rPr>
          <w:rFonts w:ascii="Times New Roman;Times;Serif" w:hAnsi="Times New Roman;Times;Serif"/>
          <w:b w:val="false"/>
          <w:i w:val="false"/>
          <w:caps w:val="false"/>
          <w:smallCaps w:val="false"/>
          <w:sz w:val="20"/>
        </w:rPr>
        <w:t>” shall mean the DTC’s Fast Automated Securities Transfer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shall mean Deposit Withdrawal at Custodian as defined by the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DWAC Eligible</w:t>
      </w:r>
      <w:r>
        <w:rPr>
          <w:rFonts w:ascii="Times New Roman;Times;Serif" w:hAnsi="Times New Roman;Times;Serif"/>
          <w:b w:val="false"/>
          <w:i w:val="false"/>
          <w:caps w:val="false"/>
          <w:smallCaps w:val="false"/>
          <w:sz w:val="20"/>
        </w:rPr>
        <w:t>” shall mean (a) the Common Shares are eligible at DTC for full services pursuant to DTC’s Operational Arrangements, including, without limitation, transfer through DTC’s DWAC system, (b) the Company has been approved (without revocation) by DTC’s underwriting department, (c) the transfer agent of the Company is approved as an agent in the DTC/FAST Program, (d) the Common Shares are otherwise eligible for delivery via DWAC, and (e) the transfer agent does not have a policy prohibiting or limiting delivery of the Common Shares, as applicable, via DWAC.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shall mean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U.S. Securities Exchange Act of 1934,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Cap</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2.02(c)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Liabilities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shall have the meaning set forth in the preamble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 Indemnitees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Market Price</w:t>
      </w:r>
      <w:r>
        <w:rPr>
          <w:rFonts w:ascii="Times New Roman;Times;Serif" w:hAnsi="Times New Roman;Times;Serif"/>
          <w:b w:val="false"/>
          <w:i w:val="false"/>
          <w:caps w:val="false"/>
          <w:smallCaps w:val="false"/>
          <w:sz w:val="20"/>
        </w:rPr>
        <w:t>” shall mean the Option 1 Market Price or the Option 2 Market Price, as applicable with respect to the applicable Share Purchase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mean any event, occurrence or condition that has had or would reasonably be expected to have (i) a material adverse effect on the legality, validity or enforceability of this Agreement or the transactions contemplated herein, (ii) a material adverse effect on the results of operations, assets, business or condition (financial or otherwise) of the Company and its Subsidiaries, taken as a whole, or (iii) a material adverse effect on the Company’s ability to perform in any material respect on a timely basis its obligations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Outside Event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Purchase Amount</w:t>
      </w:r>
      <w:r>
        <w:rPr>
          <w:rFonts w:ascii="Times New Roman;Times;Serif" w:hAnsi="Times New Roman;Times;Serif"/>
          <w:b w:val="false"/>
          <w:i w:val="false"/>
          <w:caps w:val="false"/>
          <w:smallCaps w:val="false"/>
          <w:sz w:val="20"/>
        </w:rPr>
        <w:t>” in respect of each Purchase Notice means no greater than an amount of Common Shares equal to thirty percent (30%) of the average daily trading volume of the Common Stock of the Company during the five (5) Trading Days immediately preceding a Purchase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4.31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1 Market Price</w:t>
      </w:r>
      <w:r>
        <w:rPr>
          <w:rFonts w:ascii="Times New Roman;Times;Serif" w:hAnsi="Times New Roman;Times;Serif"/>
          <w:b w:val="false"/>
          <w:i w:val="false"/>
          <w:caps w:val="false"/>
          <w:smallCaps w:val="false"/>
          <w:sz w:val="20"/>
        </w:rPr>
        <w:t>” shall mean the lowest daily VWAP of the Common Shares during the Option 1 Pricing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2 Market Price</w:t>
      </w:r>
      <w:r>
        <w:rPr>
          <w:rFonts w:ascii="Times New Roman;Times;Serif" w:hAnsi="Times New Roman;Times;Serif"/>
          <w:b w:val="false"/>
          <w:i w:val="false"/>
          <w:caps w:val="false"/>
          <w:smallCaps w:val="false"/>
          <w:sz w:val="20"/>
        </w:rPr>
        <w:t>” shall mean the VWAP of the Common Shares during the Option 2 Pricing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1 Pricing Period</w:t>
      </w:r>
      <w:r>
        <w:rPr>
          <w:rFonts w:ascii="Times New Roman;Times;Serif" w:hAnsi="Times New Roman;Times;Serif"/>
          <w:b w:val="false"/>
          <w:i w:val="false"/>
          <w:caps w:val="false"/>
          <w:smallCaps w:val="false"/>
          <w:sz w:val="20"/>
        </w:rPr>
        <w:t>” shall mean the three consecutive Trading Days commencing on the Trading Day immediately following the Share Purchase Notice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2 Pricing Period</w:t>
      </w:r>
      <w:r>
        <w:rPr>
          <w:rFonts w:ascii="Times New Roman;Times;Serif" w:hAnsi="Times New Roman;Times;Serif"/>
          <w:b w:val="false"/>
          <w:i w:val="false"/>
          <w:caps w:val="false"/>
          <w:smallCaps w:val="false"/>
          <w:sz w:val="20"/>
        </w:rPr>
        <w:t xml:space="preserve">” shall mean the period on the applicable Share Purchase Notice Date with respect to a Purchase Notice selecting an Option 2 Pricing Period commencing (i) if submitted to the Investor prior to 9:00 AM Eastern Time on a Trading Day, the open of trading on such day, or (ii) if submitted to the Investor after 9:00 AM Eastern Time on a Trading Day, the open of trading on the immediately succeeding Trading Day, and in each case, ending on 4:00 PM Eastern Time on such applicable Trading Day;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upon mutual consent of the Company and the Investor, a Purchase Notice selecting an Option 2 Pricing Period that is delivered after 9:00 AM Eastern Time may be deemed to have been delivered prior to 9:00 AM Eastern Time of such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Ownership Limitation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2.02(a)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PEA Period</w:t>
      </w:r>
      <w:r>
        <w:rPr>
          <w:rFonts w:ascii="Times New Roman;Times;Serif" w:hAnsi="Times New Roman;Times;Serif"/>
          <w:b w:val="false"/>
          <w:i w:val="false"/>
          <w:caps w:val="false"/>
          <w:smallCaps w:val="false"/>
          <w:sz w:val="20"/>
        </w:rPr>
        <w:t>” means the period commencing at 9:30 a.m., Eastern time, on the tenth (10th) Business Day immediately prior to the filing of any post-effective amendment to the Registration Statement or any subsequent Registration Statement, and ending at 9:30 a.m., Eastern time, on the Business Day immediately following, the effective date of any post-effective amendment to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 individual, a corporation, a partnership, a limited liability company, a trust or other entity or organization, including a government or political subdivision or an agency or instrumentality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 of Distribution</w:t>
      </w:r>
      <w:r>
        <w:rPr>
          <w:rFonts w:ascii="Times New Roman;Times;Serif" w:hAnsi="Times New Roman;Times;Serif"/>
          <w:b w:val="false"/>
          <w:i w:val="false"/>
          <w:caps w:val="false"/>
          <w:smallCaps w:val="false"/>
          <w:sz w:val="20"/>
        </w:rPr>
        <w:t>” shall mean the section of a Registration Statement disclosing the plan of distribution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Pricing Period</w:t>
      </w:r>
      <w:r>
        <w:rPr>
          <w:rFonts w:ascii="Times New Roman;Times;Serif" w:hAnsi="Times New Roman;Times;Serif"/>
          <w:b w:val="false"/>
          <w:i w:val="false"/>
          <w:caps w:val="false"/>
          <w:smallCaps w:val="false"/>
          <w:sz w:val="20"/>
        </w:rPr>
        <w:t>” shall mean the Option 1 Pricing Period or Option 2 Pricing Period,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 Market</w:t>
      </w:r>
      <w:r>
        <w:rPr>
          <w:rFonts w:ascii="Times New Roman;Times;Serif" w:hAnsi="Times New Roman;Times;Serif"/>
          <w:b w:val="false"/>
          <w:i w:val="false"/>
          <w:caps w:val="false"/>
          <w:smallCaps w:val="false"/>
          <w:sz w:val="20"/>
        </w:rPr>
        <w:t>” shall mean the Nasdaq Stock Market; provided however, that in the event the Common Shares are ever listed or traded on the New York Stock Exchange, or the NYSE American, then the “Principal Market” shall mean such exchange (as applicable) to the extent such other market or exchange is the principal trading market or exchange for the Common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shall mean any prospectus (including, without limitation, all amendments and supplements thereto) used by the Company in connection with a Registration Statement, including documents incorporated by reference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shall mean any prospectus supplement to a Prospectus filed with the SEC pursuant to Rule 424(b) under the Securities Act, including documents incorporated by reference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Date</w:t>
      </w:r>
      <w:r>
        <w:rPr>
          <w:rFonts w:ascii="Times New Roman;Times;Serif" w:hAnsi="Times New Roman;Times;Serif"/>
          <w:b w:val="false"/>
          <w:i w:val="false"/>
          <w:caps w:val="false"/>
          <w:smallCaps w:val="false"/>
          <w:sz w:val="20"/>
        </w:rPr>
        <w:t>” shall mean the first Trading Day after expiration of the applicable Pricing Period for each validly issued Purchase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Notice</w:t>
      </w:r>
      <w:r>
        <w:rPr>
          <w:rFonts w:ascii="Times New Roman;Times;Serif" w:hAnsi="Times New Roman;Times;Serif"/>
          <w:b w:val="false"/>
          <w:i w:val="false"/>
          <w:caps w:val="false"/>
          <w:smallCaps w:val="false"/>
          <w:sz w:val="20"/>
        </w:rPr>
        <w:t>” shall mean a written notice in the form of Exhibit B attached hereto to the Investor executed by an officer of the Company and setting forth the number of Shares that the Company desires to issue and sell to the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shall mean the price per Share obtained by multiplying the applicable Market Price by (i) 97.0% of the lowest daily VWAP of the Common Shares during the Option 1 Pricing Period in respect of a Purchase Notice with an Option 1 Pricing Period, and (ii) the greater of (a) 85.0% of the VWAP of the Common Shares during the Option 2 Pricing Period and (b) the lowest sale price of the Common Shares during the Option 2 Pricing Period, in respect of a Purchase Notice with an Option 2 Pricing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Limitation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2.02(b)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shall have the meaning set forth in the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shall have the meaning set forth in the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D</w:t>
      </w:r>
      <w:r>
        <w:rPr>
          <w:rFonts w:ascii="Times New Roman;Times;Serif" w:hAnsi="Times New Roman;Times;Serif"/>
          <w:b w:val="false"/>
          <w:i w:val="false"/>
          <w:caps w:val="false"/>
          <w:smallCaps w:val="false"/>
          <w:sz w:val="20"/>
        </w:rPr>
        <w:t>” shall mean the provisions of Regulation D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4.31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Countries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4.31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 Purchase Notice Date</w:t>
      </w:r>
      <w:r>
        <w:rPr>
          <w:rFonts w:ascii="Times New Roman;Times;Serif" w:hAnsi="Times New Roman;Times;Serif"/>
          <w:b w:val="false"/>
          <w:i w:val="false"/>
          <w:caps w:val="false"/>
          <w:smallCaps w:val="false"/>
          <w:sz w:val="20"/>
        </w:rPr>
        <w:t xml:space="preserve">” shall mean each date the Company is deemed to have delivered (in accordance with </w:t>
      </w:r>
      <w:r>
        <w:rPr>
          <w:rFonts w:ascii="Times New Roman;Times;Serif" w:hAnsi="Times New Roman;Times;Serif"/>
          <w:b w:val="false"/>
          <w:i w:val="false"/>
          <w:caps w:val="false"/>
          <w:smallCaps w:val="false"/>
          <w:sz w:val="20"/>
          <w:u w:val="single"/>
        </w:rPr>
        <w:t>Section 2.01(b)</w:t>
      </w:r>
      <w:r>
        <w:rPr>
          <w:rFonts w:ascii="Times New Roman;Times;Serif" w:hAnsi="Times New Roman;Times;Serif"/>
          <w:b w:val="false"/>
          <w:i w:val="false"/>
          <w:caps w:val="false"/>
          <w:smallCaps w:val="false"/>
          <w:sz w:val="20"/>
        </w:rPr>
        <w:t xml:space="preserve"> of this Agreement) a Purchase Notice to the Investor, subject to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shall mean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Documents</w:t>
      </w:r>
      <w:r>
        <w:rPr>
          <w:rFonts w:ascii="Times New Roman;Times;Serif" w:hAnsi="Times New Roman;Times;Serif"/>
          <w:b w:val="false"/>
          <w:i w:val="false"/>
          <w:caps w:val="false"/>
          <w:smallCaps w:val="false"/>
          <w:sz w:val="20"/>
        </w:rPr>
        <w:t>” shall mean (1) any registration statement on Form S-4 filed by the Company or SUAC with the SEC, including the financial statements, schedules, exhibits and all other documents filed as a part thereof or incorporated therein and all information deemed to be a part thereof as of the effective date of such registration statement under the Securities Act, (2) any proxy statement or prospectus filed by the Company or SUAC with the SEC, including all documents incorporated or deemed incorporated therein by reference, whether or not included in a registration statement on Form S-4, in the form in which such proxy statement or prospectus has most recently been filed with the SEC pursuant to Rule 424(b) under the Securities Act, (3) all reports, schedules, registrations, forms, statements, information and other documents filed with or furnished to the SEC by the Company or SUAC pursuant to Section 13(a), 13(c), 14 or 15(d) of the Exchange Act since January 1, 2023, including, without limitation, the Current Report, (4) each Registration Statement, as the same may be amended from time to time, the Prospectus contained therein and each Prospectus Supplement thereto and (5) all information contained in such filings and all documents and disclosures that have been and heretofore shall be incorporated by reference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have the meaning set forth in the recitals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Settlement Document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2.02(a)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shall mean Common Shares that the Company shall issue and sell to the Investor pursuant to a Purchase Notice under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shall mean any Person in which the Company, directly or indirectly, (x) owns a majority of the outstanding capital stock or holds a majority of the equity or similar interest of such Person or (y) controls or operates all or substantially all of the business, operations or administration of such Person, and the foregoing are collectively referred to herein as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shall mean any day during which the Principal Market shall be open for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collectively, this Agreement, the Registration Rights Agreement, and each of the other agreements and instruments entered into or delivered by any of the parties hereto in connection with the transactions contemplated hereby and thereby, as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shall mean a transaction in which the Company (i) issues or sells any equity securities that are convertible into, exchangeable or exercisable for, or include the right to receive additional Common Shares either (A) at a conversion price, exercise price, exchange rate or other price that is based upon and/or varies with the trading prices of or quotations for the Common Shares at any time after the initial issuance of such equity securities,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Common Shares (including, without limitation, any “full ratchet” or “weighted average” anti-dilution provisions, but not including any standard anti-dilution protection for any reorganization, recapitalization, non-cash dividend, stock split or other similar transaction), (ii) enters into an “equity line of credit,” or other continuous offering or similar offering of Common Shares that has sale price, exercise price, exchange rate or other price that is based upon and/or varies with the trading prices of or quotations for the Common Shares at any time after the execution of such arrangements or consummation of such offerings, as applicable, or (iii) enters into or effects any forward purchase agreement, equity pre-paid forward transaction or other similar offering of securities where the purchaser of securities of the Company receives an upfront or periodic payment of all, or a portion of, the value of the securities so purchased, and the Company receives proceeds from such purchaser based on a price or value that varies with the trading prices of the Common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shall mean for any Trading Day, the daily volume weighted average price of the Common Shares for such Trading Day on the Principal Market during regular trading hours as reported by Bloomberg L.P.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ANNEX II TO THE</w:t>
        <w:br/>
        <w:t>SHARE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CONDITIONS PRECEDENT TO THE RIGHT OF THE COMPANY TO DELIVER A PURCHASE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of the Company to deliver a Purchase Notice and the obligations of the Investor hereunder with respect to the purchase of Shares pursuant to a Purchase Notice are subject to the satisfaction or waiver, on each Share Purchase Notice Date (a “</w:t>
      </w:r>
      <w:r>
        <w:rPr>
          <w:rFonts w:ascii="Times New Roman;Times;Serif" w:hAnsi="Times New Roman;Times;Serif"/>
          <w:b w:val="false"/>
          <w:i w:val="false"/>
          <w:caps w:val="false"/>
          <w:smallCaps w:val="false"/>
          <w:sz w:val="20"/>
          <w:u w:val="single"/>
        </w:rPr>
        <w:t>Condition Satisfaction Date</w:t>
      </w:r>
      <w:r>
        <w:rPr>
          <w:rFonts w:ascii="Times New Roman;Times;Serif" w:hAnsi="Times New Roman;Times;Serif"/>
          <w:b w:val="false"/>
          <w:i w:val="false"/>
          <w:caps w:val="false"/>
          <w:smallCaps w:val="false"/>
          <w:sz w:val="20"/>
        </w:rPr>
        <w:t>”), of each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Accuracy of the Company’s Representations and Warranties</w:t>
      </w:r>
      <w:r>
        <w:rPr>
          <w:rFonts w:ascii="Times New Roman;Times;Serif" w:hAnsi="Times New Roman;Times;Serif"/>
          <w:b w:val="false"/>
          <w:i w:val="false"/>
          <w:caps w:val="false"/>
          <w:smallCaps w:val="false"/>
          <w:sz w:val="20"/>
        </w:rPr>
        <w:t>. The representations and warranties of the Company in this Agreement shall be true and correct in all material respects as of the Share Purchase Notice Date, except to the extent such representations and warranties are as of another date, in which case such representations and warranties shall be true and correct as of such other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xml:space="preserve">. The Company shall have issued to the Investor the Commitment Shares, or shall have paid the Commitment Fee in cash, and shall have paid the initial structuring fee and legal fee, each in accordance with </w:t>
      </w:r>
      <w:r>
        <w:rPr>
          <w:rFonts w:ascii="Times New Roman;Times;Serif" w:hAnsi="Times New Roman;Times;Serif"/>
          <w:b w:val="false"/>
          <w:i w:val="false"/>
          <w:caps w:val="false"/>
          <w:smallCaps w:val="false"/>
          <w:sz w:val="20"/>
          <w:u w:val="single"/>
        </w:rPr>
        <w:t>Section 11.04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Registration of the Common Shares with the SEC</w:t>
      </w:r>
      <w:r>
        <w:rPr>
          <w:rFonts w:ascii="Times New Roman;Times;Serif" w:hAnsi="Times New Roman;Times;Serif"/>
          <w:b w:val="false"/>
          <w:i w:val="false"/>
          <w:caps w:val="false"/>
          <w:smallCaps w:val="false"/>
          <w:sz w:val="20"/>
        </w:rPr>
        <w:t>. There is an effective Registration Statement pursuant to which the Investor is permitted to utilize the prospectus thereunder to resell all of the Common Shares issuable pursuant to such Purchase Notice and no stop order with respect to such Registration Statement shall be pending or threatened by the SEC. The Current Report shall have been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The Company shall have obtained all permits and qualifications required by any applicable state for the offer and sale of all the Common Shares issuable pursuant to such Purchase Notice, or shall have the availability of exemptions therefrom. The sale and issuance of such Common Shares shall be legally permitted by all laws and regulations to which the Company is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The board of directors of the Company has approved the transactions contemplated by the Transaction Documents; said approval has not been amended, rescinded or modified and remains in full force and effect as of the date hereof. The Company shall have delivered to the Investor a secretary’s certificate executed by the Secretary of the Company, dated as of the Effective Date, in the form attached hereto as Exhibit 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 Material Outside Event</w:t>
      </w:r>
      <w:r>
        <w:rPr>
          <w:rFonts w:ascii="Times New Roman;Times;Serif" w:hAnsi="Times New Roman;Times;Serif"/>
          <w:b w:val="false"/>
          <w:i w:val="false"/>
          <w:caps w:val="false"/>
          <w:smallCaps w:val="false"/>
          <w:sz w:val="20"/>
        </w:rPr>
        <w:t>. No Material Outside Event shall have occurred and be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Performance by the Company</w:t>
      </w:r>
      <w:r>
        <w:rPr>
          <w:rFonts w:ascii="Times New Roman;Times;Serif" w:hAnsi="Times New Roman;Times;Serif"/>
          <w:b w:val="false"/>
          <w:i w:val="false"/>
          <w:caps w:val="false"/>
          <w:smallCaps w:val="false"/>
          <w:sz w:val="20"/>
        </w:rPr>
        <w:t>. The Company shall have performed, satisfied and complied in all material respects with all covenants, agreements and conditions required by this Agreement to be performed, satisfied or complied with by the Company at or prior the applicable Condition Satisfaction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Injunction; Regulation</w:t>
      </w:r>
      <w:r>
        <w:rPr>
          <w:rFonts w:ascii="Times New Roman;Times;Serif" w:hAnsi="Times New Roman;Times;Serif"/>
          <w:b w:val="false"/>
          <w:i w:val="false"/>
          <w:caps w:val="false"/>
          <w:smallCaps w:val="false"/>
          <w:sz w:val="20"/>
        </w:rPr>
        <w:t>. No statute, rule, regulation, executive order, decree, ruling or injunction shall have been enacted, entered, promulgated, endorsed or withdrawn by any court or governmental authority of competent jurisdiction that prohibits or directly, materially and adversely affects any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Suspension of Trading in or Delisting of Common Shares</w:t>
      </w:r>
      <w:r>
        <w:rPr>
          <w:rFonts w:ascii="Times New Roman;Times;Serif" w:hAnsi="Times New Roman;Times;Serif"/>
          <w:b w:val="false"/>
          <w:i w:val="false"/>
          <w:caps w:val="false"/>
          <w:smallCaps w:val="false"/>
          <w:sz w:val="20"/>
        </w:rPr>
        <w:t>. The Business Combination shall have been consummated, trading in the Common Shares shall not have been suspended by the SEC, the Principal Market or FINRA, the Common Shares shall be listed on the Principal Market and the Company shall not have received any final and non-appealable notice that the listing or quotation of the Common Shares on the Principal Market shall be terminated on a date certain (unless, prior to such date certain, the Common Shares is listed or quoted on any subsequent Principal Market), nor shall there have been imposed any suspension of, or restriction on, accepting additional deposits of the Common Shares, electronic trading or book-entry services by DTC with respect to the Common Shares that is continuing, the Company shall not have received any notice from DTC to the effect that a suspension of, or restriction on, accepting additional deposits of the Common Shares, electronic trading or book-entry services by DTC with respect to the Common Shares is being imposed or is contemplated (unless, prior to such suspension or restriction, DTC shall have notified the Company in writing that DTC has determined not to impose any such suspension or restriction).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Authorized</w:t>
      </w:r>
      <w:r>
        <w:rPr>
          <w:rFonts w:ascii="Times New Roman;Times;Serif" w:hAnsi="Times New Roman;Times;Serif"/>
          <w:b w:val="false"/>
          <w:i w:val="false"/>
          <w:caps w:val="false"/>
          <w:smallCaps w:val="false"/>
          <w:sz w:val="20"/>
        </w:rPr>
        <w:t>. All of the Shares issuable pursuant to the applicable Purchase Notice shall have been duly authorized by all necessary corporate action of the Company. All Shares relating to all prior Purchase Notices required to have been received by the Investor under this Agreement shall have been delivered to the Investor in accordance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Executed Purchase Notice</w:t>
      </w:r>
      <w:r>
        <w:rPr>
          <w:rFonts w:ascii="Times New Roman;Times;Serif" w:hAnsi="Times New Roman;Times;Serif"/>
          <w:b w:val="false"/>
          <w:i w:val="false"/>
          <w:caps w:val="false"/>
          <w:smallCaps w:val="false"/>
          <w:sz w:val="20"/>
        </w:rPr>
        <w:t>. The representations contained in the applicable Purchase Notice shall be true and correct in all material respects as of the applicable Condition Satisfaction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MNPI</w:t>
      </w:r>
      <w:r>
        <w:rPr>
          <w:rFonts w:ascii="Times New Roman;Times;Serif" w:hAnsi="Times New Roman;Times;Serif"/>
          <w:b w:val="false"/>
          <w:i w:val="false"/>
          <w:caps w:val="false"/>
          <w:smallCaps w:val="false"/>
          <w:sz w:val="20"/>
        </w:rPr>
        <w:t>. The Company shall have publicly disclosed any and all material non-public information the Investor may have received prior to the submission of the Purchase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PEA Period</w:t>
      </w:r>
      <w:r>
        <w:rPr>
          <w:rFonts w:ascii="Times New Roman;Times;Serif" w:hAnsi="Times New Roman;Times;Serif"/>
          <w:b w:val="false"/>
          <w:i w:val="false"/>
          <w:caps w:val="false"/>
          <w:smallCaps w:val="false"/>
          <w:sz w:val="20"/>
        </w:rPr>
        <w:t>. There shall not be an active PEA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DWAC Eligible</w:t>
      </w:r>
      <w:r>
        <w:rPr>
          <w:rFonts w:ascii="Times New Roman;Times;Serif" w:hAnsi="Times New Roman;Times;Serif"/>
          <w:b w:val="false"/>
          <w:i w:val="false"/>
          <w:caps w:val="false"/>
          <w:smallCaps w:val="false"/>
          <w:sz w:val="20"/>
        </w:rPr>
        <w:t>. The Common Shares shall be DWAC Eligible.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Opinions</w:t>
      </w:r>
      <w:r>
        <w:rPr>
          <w:rFonts w:ascii="Times New Roman;Times;Serif" w:hAnsi="Times New Roman;Times;Serif"/>
          <w:b w:val="false"/>
          <w:i w:val="false"/>
          <w:caps w:val="false"/>
          <w:smallCaps w:val="false"/>
          <w:sz w:val="20"/>
        </w:rPr>
        <w:t>. The Investor shall have received the opinion and negative assurance letter of the Company’s counsel, in form and substance satisfactory to the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The Company shall have delivered to the Investor a certificate evidencing the incorporation and good standing of the Company in the State of Delaware issued by the Secretary of State of the State of Delaware within ten (10) Business Days of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Purchase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CID HOLDCO, INC.</w:t>
      </w:r>
    </w:p>
    <w:p>
      <w:pPr>
        <w:pStyle w:val="TextBody"/>
        <w:bidi w:val="0"/>
        <w:spacing w:before="0" w:after="0"/>
        <w:ind w:left="0" w:right="0" w:hanging="0"/>
        <w:jc w:val="center"/>
        <w:rPr>
          <w:caps/>
        </w:rPr>
      </w:pPr>
      <w:r>
        <w:rPr>
          <w:caps/>
        </w:rPr>
        <w:t> </w:t>
      </w:r>
    </w:p>
    <w:tbl>
      <w:tblPr>
        <w:tblW w:w="6880" w:type="dxa"/>
        <w:jc w:val="left"/>
        <w:tblInd w:w="0" w:type="dxa"/>
        <w:tblLayout w:type="fixed"/>
        <w:tblCellMar>
          <w:top w:w="0" w:type="dxa"/>
          <w:left w:w="0" w:type="dxa"/>
          <w:bottom w:w="0" w:type="dxa"/>
          <w:right w:w="0" w:type="dxa"/>
        </w:tblCellMar>
      </w:tblPr>
      <w:tblGrid>
        <w:gridCol w:w="2465"/>
        <w:gridCol w:w="4415"/>
      </w:tblGrid>
      <w:tr>
        <w:trPr/>
        <w:tc>
          <w:tcPr>
            <w:tcW w:w="2465" w:type="dxa"/>
            <w:tcBorders/>
            <w:vAlign w:val="center"/>
          </w:tcPr>
          <w:p>
            <w:pPr>
              <w:pStyle w:val="TableContents"/>
              <w:bidi w:val="0"/>
              <w:spacing w:before="0" w:after="283"/>
              <w:jc w:val="left"/>
              <w:rPr>
                <w:b/>
              </w:rPr>
            </w:pPr>
            <w:r>
              <w:rPr>
                <w:b/>
              </w:rPr>
              <w:t>Dated: ______________</w:t>
            </w:r>
          </w:p>
        </w:tc>
        <w:tc>
          <w:tcPr>
            <w:tcW w:w="4415" w:type="dxa"/>
            <w:tcBorders/>
            <w:vAlign w:val="center"/>
          </w:tcPr>
          <w:p>
            <w:pPr>
              <w:pStyle w:val="TableContents"/>
              <w:bidi w:val="0"/>
              <w:spacing w:before="0" w:after="283"/>
              <w:jc w:val="right"/>
              <w:rPr>
                <w:b/>
              </w:rPr>
            </w:pPr>
            <w:r>
              <w:rPr>
                <w:b/>
              </w:rPr>
              <w:t>Purchase Notice Number: ______________</w:t>
            </w:r>
          </w:p>
        </w:tc>
      </w:tr>
    </w:tbl>
    <w:p>
      <w:pPr>
        <w:pStyle w:val="TextBody"/>
        <w:bidi w:val="0"/>
        <w:spacing w:before="0" w:after="0"/>
        <w:ind w:left="720" w:right="0" w:hanging="0"/>
        <w:jc w:val="left"/>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_________________, hereby certifies, with respect to the sale of Common Shares of CID HOLDCO,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issuable in connection with this Purchase Notice, delivered pursuant to that certain Share Purchase Agreement, dated as of [__________________]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as follows (with capitalized terms used herein without such definition having the same meanings as given to them in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is the duly elected ______________________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There are no fundamental changes to the information set forth in the Registration Statement which would require the Company to file a post-effective amendment to the Registration Statement, and the Company agrees that this Purchase Notice shall be automatically cancelled and void if any such fundamental changes to the information set forth in the Registration Statement shall have occurred during the applicable Pricing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has performed in all material respects all covenants and agreements to be performed by the Company contained in the Agreement on or prior to the Share Purchase Notice Date. All conditions to the delivery of this Purchase Notice are satisfied as of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number of Common Shares the Company is requesting to be purchased is: _____________.</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Pricing Period for this Purchase Notice shall be an [Option 1 Pricing Periods]/[Option 2 Pricing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number of Common Shares of the Company outstanding as of the date hereof is: _____________; provided that, to the extent the number would be a material change to the publicly disclosed number of outstanding Common Shares, the Company agrees to promptly disclose such share number publicly.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executed this Purchase Notice as of the date first set forth above.</w:t>
      </w:r>
    </w:p>
    <w:p>
      <w:pPr>
        <w:pStyle w:val="TextBody"/>
        <w:bidi w:val="0"/>
        <w:spacing w:before="0" w:after="0"/>
        <w:ind w:left="0" w:right="0" w:firstLine="720"/>
        <w:jc w:val="both"/>
        <w:rPr>
          <w:caps w:val="false"/>
          <w:smallCaps w:val="false"/>
        </w:rPr>
      </w:pPr>
      <w:r>
        <w:rPr>
          <w:caps w:val="false"/>
          <w:smallCaps w:val="false"/>
        </w:rPr>
        <w:t> </w:t>
      </w:r>
    </w:p>
    <w:tbl>
      <w:tblPr>
        <w:tblW w:w="1834" w:type="dxa"/>
        <w:jc w:val="left"/>
        <w:tblInd w:w="0" w:type="dxa"/>
        <w:tblLayout w:type="fixed"/>
        <w:tblCellMar>
          <w:top w:w="0" w:type="dxa"/>
          <w:left w:w="0" w:type="dxa"/>
          <w:bottom w:w="0" w:type="dxa"/>
          <w:right w:w="0" w:type="dxa"/>
        </w:tblCellMar>
      </w:tblPr>
      <w:tblGrid>
        <w:gridCol w:w="75"/>
        <w:gridCol w:w="595"/>
        <w:gridCol w:w="1164"/>
      </w:tblGrid>
      <w:tr>
        <w:trPr/>
        <w:tc>
          <w:tcPr>
            <w:tcW w:w="75" w:type="dxa"/>
            <w:tcBorders/>
            <w:vAlign w:val="center"/>
          </w:tcPr>
          <w:p>
            <w:pPr>
              <w:pStyle w:val="TableContents"/>
              <w:bidi w:val="0"/>
              <w:spacing w:before="0" w:after="283"/>
              <w:jc w:val="left"/>
              <w:rPr/>
            </w:pPr>
            <w:r>
              <w:rPr/>
              <w:t> </w:t>
            </w:r>
          </w:p>
        </w:tc>
        <w:tc>
          <w:tcPr>
            <w:tcW w:w="1759" w:type="dxa"/>
            <w:gridSpan w:val="2"/>
            <w:tcBorders/>
            <w:vAlign w:val="center"/>
          </w:tcPr>
          <w:p>
            <w:pPr>
              <w:pStyle w:val="TableContents"/>
              <w:bidi w:val="0"/>
              <w:spacing w:before="0" w:after="283"/>
              <w:jc w:val="left"/>
              <w:rPr>
                <w:b/>
                <w:sz w:val="20"/>
              </w:rPr>
            </w:pPr>
            <w:r>
              <w:rPr>
                <w:b/>
                <w:sz w:val="20"/>
              </w:rPr>
              <w:t>COMPANY:</w:t>
            </w:r>
          </w:p>
        </w:tc>
      </w:tr>
      <w:tr>
        <w:trPr/>
        <w:tc>
          <w:tcPr>
            <w:tcW w:w="75" w:type="dxa"/>
            <w:tcBorders/>
            <w:vAlign w:val="center"/>
          </w:tcPr>
          <w:p>
            <w:pPr>
              <w:pStyle w:val="TableContents"/>
              <w:bidi w:val="0"/>
              <w:spacing w:before="0" w:after="283"/>
              <w:jc w:val="left"/>
              <w:rPr/>
            </w:pPr>
            <w:r>
              <w:rPr/>
              <w:t> </w:t>
            </w:r>
          </w:p>
        </w:tc>
        <w:tc>
          <w:tcPr>
            <w:tcW w:w="1759" w:type="dxa"/>
            <w:gridSpan w:val="2"/>
            <w:tcBorders/>
            <w:vAlign w:val="center"/>
          </w:tcPr>
          <w:p>
            <w:pPr>
              <w:pStyle w:val="TableContents"/>
              <w:bidi w:val="0"/>
              <w:spacing w:before="0" w:after="283"/>
              <w:jc w:val="left"/>
              <w:rPr>
                <w:b/>
                <w:sz w:val="20"/>
              </w:rPr>
            </w:pPr>
            <w:r>
              <w:rPr>
                <w:b/>
                <w:sz w:val="20"/>
              </w:rPr>
              <w:t>CID HOLDCO, INC.</w:t>
            </w:r>
          </w:p>
        </w:tc>
      </w:tr>
      <w:tr>
        <w:trPr/>
        <w:tc>
          <w:tcPr>
            <w:tcW w:w="75" w:type="dxa"/>
            <w:tcBorders/>
            <w:vAlign w:val="center"/>
          </w:tcPr>
          <w:p>
            <w:pPr>
              <w:pStyle w:val="TableContents"/>
              <w:bidi w:val="0"/>
              <w:spacing w:before="0" w:after="283"/>
              <w:jc w:val="left"/>
              <w:rPr/>
            </w:pPr>
            <w:r>
              <w:rPr/>
              <w:t> </w:t>
            </w:r>
          </w:p>
        </w:tc>
        <w:tc>
          <w:tcPr>
            <w:tcW w:w="17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sz w:val="20"/>
              </w:rPr>
            </w:pPr>
            <w:r>
              <w:rPr>
                <w:sz w:val="20"/>
              </w:rPr>
              <w:t>By:</w:t>
            </w:r>
          </w:p>
        </w:tc>
        <w:tc>
          <w:tcPr>
            <w:tcW w:w="116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sz w:val="20"/>
              </w:rPr>
            </w:pPr>
            <w:r>
              <w:rPr>
                <w:sz w:val="20"/>
              </w:rPr>
              <w:t>Name: </w:t>
            </w:r>
          </w:p>
        </w:tc>
        <w:tc>
          <w:tcPr>
            <w:tcW w:w="116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sz w:val="20"/>
              </w:rPr>
            </w:pPr>
            <w:r>
              <w:rPr>
                <w:sz w:val="20"/>
              </w:rPr>
              <w:t>Title:</w:t>
            </w:r>
          </w:p>
        </w:tc>
        <w:tc>
          <w:tcPr>
            <w:tcW w:w="1164"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deliver this Purchase Notice by email to:</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DAIC Purchase Notice Request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Settlement Document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VIA 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10" w:type="dxa"/>
        <w:tblLayout w:type="fixed"/>
        <w:tblCellMar>
          <w:top w:w="28" w:type="dxa"/>
          <w:left w:w="108" w:type="dxa"/>
          <w:bottom w:w="160" w:type="dxa"/>
          <w:right w:w="108" w:type="dxa"/>
        </w:tblCellMar>
      </w:tblPr>
      <w:tblGrid>
        <w:gridCol w:w="215"/>
        <w:gridCol w:w="7295"/>
        <w:gridCol w:w="75"/>
      </w:tblGrid>
      <w:tr>
        <w:trPr/>
        <w:tc>
          <w:tcPr>
            <w:tcW w:w="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72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please find the settlement information with respect to the Purchase Notice Number:</w:t>
            </w:r>
          </w:p>
        </w:tc>
        <w:tc>
          <w:tcPr>
            <w:tcW w:w="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1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pPr>
            <w:r>
              <w:rPr/>
              <w:t>1.</w:t>
            </w:r>
          </w:p>
        </w:tc>
        <w:tc>
          <w:tcPr>
            <w:tcW w:w="729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Number of Common Shares requested in the Purchase Notice</w:t>
            </w:r>
          </w:p>
        </w:tc>
        <w:tc>
          <w:tcPr>
            <w:tcW w:w="7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 </w:t>
            </w:r>
          </w:p>
        </w:tc>
      </w:tr>
      <w:tr>
        <w:trPr/>
        <w:tc>
          <w:tcPr>
            <w:tcW w:w="21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pPr>
            <w:r>
              <w:rPr/>
              <w:t>2.</w:t>
            </w:r>
          </w:p>
        </w:tc>
        <w:tc>
          <w:tcPr>
            <w:tcW w:w="729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[Option [1] / [2]] Market Price</w:t>
            </w:r>
          </w:p>
        </w:tc>
        <w:tc>
          <w:tcPr>
            <w:tcW w:w="7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 </w:t>
            </w:r>
          </w:p>
        </w:tc>
      </w:tr>
      <w:tr>
        <w:trPr/>
        <w:tc>
          <w:tcPr>
            <w:tcW w:w="21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pPr>
            <w:r>
              <w:rPr/>
              <w:t>3.</w:t>
            </w:r>
          </w:p>
        </w:tc>
        <w:tc>
          <w:tcPr>
            <w:tcW w:w="729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Purchase Price per share</w:t>
            </w:r>
          </w:p>
        </w:tc>
        <w:tc>
          <w:tcPr>
            <w:tcW w:w="7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 </w:t>
            </w:r>
          </w:p>
        </w:tc>
      </w:tr>
      <w:tr>
        <w:trPr/>
        <w:tc>
          <w:tcPr>
            <w:tcW w:w="21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pPr>
            <w:r>
              <w:rPr/>
              <w:t>4.</w:t>
            </w:r>
          </w:p>
        </w:tc>
        <w:tc>
          <w:tcPr>
            <w:tcW w:w="729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Total Purchase Price due to the Company (row 1 x row 3)</w:t>
            </w:r>
          </w:p>
        </w:tc>
        <w:tc>
          <w:tcPr>
            <w:tcW w:w="7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issue the number of Shares due to the Investor to the account of the Investor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DTC PARTICIPANT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PERSON: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AND/OR EMAIL:</w:t>
      </w:r>
    </w:p>
    <w:p>
      <w:pPr>
        <w:pStyle w:val="TextBody"/>
        <w:bidi w:val="0"/>
        <w:spacing w:before="0" w:after="0"/>
        <w:ind w:left="0" w:right="0" w:hanging="0"/>
        <w:jc w:val="left"/>
        <w:rPr>
          <w:caps w:val="false"/>
          <w:smallCaps w:val="false"/>
        </w:rPr>
      </w:pPr>
      <w:r>
        <w:rPr>
          <w:caps w:val="false"/>
          <w:smallCaps w:val="false"/>
        </w:rPr>
        <w:t> </w:t>
      </w:r>
    </w:p>
    <w:tbl>
      <w:tblPr>
        <w:tblW w:w="3380" w:type="dxa"/>
        <w:jc w:val="left"/>
        <w:tblInd w:w="0" w:type="dxa"/>
        <w:tblLayout w:type="fixed"/>
        <w:tblCellMar>
          <w:top w:w="0" w:type="dxa"/>
          <w:left w:w="0" w:type="dxa"/>
          <w:bottom w:w="0" w:type="dxa"/>
          <w:right w:w="0" w:type="dxa"/>
        </w:tblCellMar>
      </w:tblPr>
      <w:tblGrid>
        <w:gridCol w:w="75"/>
        <w:gridCol w:w="3305"/>
      </w:tblGrid>
      <w:tr>
        <w:trPr/>
        <w:tc>
          <w:tcPr>
            <w:tcW w:w="7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sz w:val="20"/>
              </w:rPr>
            </w:pPr>
            <w:r>
              <w:rPr>
                <w:sz w:val="20"/>
              </w:rPr>
              <w:t>Sincerely,</w:t>
            </w:r>
          </w:p>
        </w:tc>
      </w:tr>
      <w:tr>
        <w:trPr/>
        <w:tc>
          <w:tcPr>
            <w:tcW w:w="7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b/>
                <w:sz w:val="20"/>
              </w:rPr>
            </w:pPr>
            <w:r>
              <w:rPr>
                <w:b/>
                <w:sz w:val="20"/>
              </w:rPr>
              <w:t>New Circle Principal Investments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and approved:</w:t>
      </w:r>
    </w:p>
    <w:p>
      <w:pPr>
        <w:pStyle w:val="TextBody"/>
        <w:bidi w:val="0"/>
        <w:spacing w:before="0" w:after="0"/>
        <w:ind w:left="0" w:right="0" w:hanging="0"/>
        <w:jc w:val="left"/>
        <w:rPr>
          <w:caps w:val="false"/>
          <w:smallCaps w:val="false"/>
        </w:rPr>
      </w:pPr>
      <w:r>
        <w:rPr>
          <w:caps w:val="false"/>
          <w:smallCaps w:val="false"/>
        </w:rPr>
        <w:t> </w:t>
      </w:r>
    </w:p>
    <w:tbl>
      <w:tblPr>
        <w:tblW w:w="1834" w:type="dxa"/>
        <w:jc w:val="left"/>
        <w:tblInd w:w="0" w:type="dxa"/>
        <w:tblLayout w:type="fixed"/>
        <w:tblCellMar>
          <w:top w:w="0" w:type="dxa"/>
          <w:left w:w="0" w:type="dxa"/>
          <w:bottom w:w="0" w:type="dxa"/>
          <w:right w:w="0" w:type="dxa"/>
        </w:tblCellMar>
      </w:tblPr>
      <w:tblGrid>
        <w:gridCol w:w="736"/>
        <w:gridCol w:w="1023"/>
        <w:gridCol w:w="75"/>
      </w:tblGrid>
      <w:tr>
        <w:trPr/>
        <w:tc>
          <w:tcPr>
            <w:tcW w:w="1759" w:type="dxa"/>
            <w:gridSpan w:val="2"/>
            <w:tcBorders/>
            <w:vAlign w:val="center"/>
          </w:tcPr>
          <w:p>
            <w:pPr>
              <w:pStyle w:val="TableContents"/>
              <w:bidi w:val="0"/>
              <w:spacing w:before="0" w:after="283"/>
              <w:jc w:val="left"/>
              <w:rPr>
                <w:b/>
                <w:sz w:val="20"/>
              </w:rPr>
            </w:pPr>
            <w:r>
              <w:rPr>
                <w:b/>
                <w:sz w:val="20"/>
              </w:rPr>
              <w:t>CID HOLDCO, INC.</w:t>
            </w:r>
          </w:p>
        </w:tc>
        <w:tc>
          <w:tcPr>
            <w:tcW w:w="75" w:type="dxa"/>
            <w:tcBorders/>
            <w:vAlign w:val="center"/>
          </w:tcPr>
          <w:p>
            <w:pPr>
              <w:pStyle w:val="TableContents"/>
              <w:bidi w:val="0"/>
              <w:spacing w:before="0" w:after="283"/>
              <w:jc w:val="left"/>
              <w:rPr/>
            </w:pPr>
            <w:r>
              <w:rPr/>
              <w:t> </w:t>
            </w:r>
          </w:p>
        </w:tc>
      </w:tr>
      <w:tr>
        <w:trPr/>
        <w:tc>
          <w:tcPr>
            <w:tcW w:w="175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36" w:type="dxa"/>
            <w:tcBorders/>
            <w:vAlign w:val="center"/>
          </w:tcPr>
          <w:p>
            <w:pPr>
              <w:pStyle w:val="TableContents"/>
              <w:bidi w:val="0"/>
              <w:spacing w:before="0" w:after="283"/>
              <w:jc w:val="left"/>
              <w:rPr>
                <w:sz w:val="20"/>
              </w:rPr>
            </w:pPr>
            <w:r>
              <w:rPr>
                <w:sz w:val="20"/>
              </w:rPr>
              <w:t>By:</w:t>
            </w:r>
          </w:p>
        </w:tc>
        <w:tc>
          <w:tcPr>
            <w:tcW w:w="1023"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36" w:type="dxa"/>
            <w:tcBorders/>
            <w:vAlign w:val="center"/>
          </w:tcPr>
          <w:p>
            <w:pPr>
              <w:pStyle w:val="TableContents"/>
              <w:bidi w:val="0"/>
              <w:spacing w:before="0" w:after="283"/>
              <w:jc w:val="left"/>
              <w:rPr>
                <w:sz w:val="20"/>
              </w:rPr>
            </w:pPr>
            <w:r>
              <w:rPr>
                <w:sz w:val="20"/>
              </w:rPr>
              <w:t>Name: </w:t>
            </w:r>
          </w:p>
        </w:tc>
        <w:tc>
          <w:tcPr>
            <w:tcW w:w="102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36" w:type="dxa"/>
            <w:tcBorders/>
            <w:vAlign w:val="center"/>
          </w:tcPr>
          <w:p>
            <w:pPr>
              <w:pStyle w:val="TableContents"/>
              <w:bidi w:val="0"/>
              <w:spacing w:before="0" w:after="283"/>
              <w:jc w:val="left"/>
              <w:rPr>
                <w:sz w:val="20"/>
              </w:rPr>
            </w:pPr>
            <w:r>
              <w:rPr>
                <w:sz w:val="20"/>
              </w:rPr>
              <w:t>Title:</w:t>
            </w:r>
          </w:p>
        </w:tc>
        <w:tc>
          <w:tcPr>
            <w:tcW w:w="102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Secretary Certificate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1" w:name="ea024660701ex10-12_cidhold.htm"/>
      <w:bookmarkStart w:id="42" w:name="ksea024660701ex1012_cidhold"/>
      <w:bookmarkEnd w:id="41"/>
      <w:bookmarkEnd w:id="42"/>
      <w:r>
        <w:rPr>
          <w:rFonts w:ascii="Times New Roman;Times;Serif" w:hAnsi="Times New Roman;Times;Serif"/>
          <w:b/>
          <w:i w:val="false"/>
          <w:caps w:val="false"/>
          <w:smallCaps w:val="false"/>
          <w:sz w:val="20"/>
        </w:rPr>
        <w:t>Exhibit 10.12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REGISTRATION RIGHTS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June 18, 2025 is made by and between New Circle Principal Investments LLC, a Delaware limited liability company (the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and CID HoldCo,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Investor and the Company may be referred to herein individually as a “Party” and collectively as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Investor have entered into that certain Share Purchase Agreement, dated as of the date hereof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pursuant to which the Company may issue, from time to time, to the Investor up to $50 million of newly issued shares of the Company’s shares of Common Stock, par value $0.0001 per share (the “</w:t>
      </w:r>
      <w:r>
        <w:rPr>
          <w:rFonts w:ascii="Times New Roman;Times;Serif" w:hAnsi="Times New Roman;Times;Serif"/>
          <w:b w:val="false"/>
          <w:i w:val="false"/>
          <w:caps w:val="false"/>
          <w:smallCaps w:val="false"/>
          <w:sz w:val="20"/>
          <w:u w:val="single"/>
        </w:rPr>
        <w:t>Common Shares</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terms of, and in consideration for the Investor entering into, the Purchase Agreement, and to induce the Investor to execute and deliver the Purchase Agreement, the Company has agreed to provide the Investor with certain registration rights under the Securities Act of 1933, as amended, and the rules and regulations thereunder, or any similar successor statute (collectively,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consideration of the premises and the mutual covenants contained herein and other good and valuable consideration, the receipt and sufficiency of which are hereby acknowledged, the Company and the Investor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and not otherwise defined herein shall have the respective meanings set forth in the Purchase Agreement. As used in this Agreement, the following terms shall have the following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Effectiveness Deadline</w:t>
      </w:r>
      <w:r>
        <w:rPr>
          <w:rFonts w:ascii="Times New Roman;Times;Serif" w:hAnsi="Times New Roman;Times;Serif"/>
          <w:b w:val="false"/>
          <w:i w:val="false"/>
          <w:caps w:val="false"/>
          <w:smallCaps w:val="false"/>
          <w:sz w:val="20"/>
        </w:rPr>
        <w:t>” means, with respect to the initial Registration Statement filed hereunder, the 45th calendar day following the Filing Deadline, provided, however, in the event the Company is notified by the U.S. Securities and Exchange Commission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that the Registration Statement will not be reviewed or is no longer subject to further review and comments, the Effectiveness Deadline as to such Registration Statement shall be the third business day following the date on which the Company is so notified if such date precedes the date required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Filing Deadline</w:t>
      </w:r>
      <w:r>
        <w:rPr>
          <w:rFonts w:ascii="Times New Roman;Times;Serif" w:hAnsi="Times New Roman;Times;Serif"/>
          <w:b w:val="false"/>
          <w:i w:val="false"/>
          <w:caps w:val="false"/>
          <w:smallCaps w:val="false"/>
          <w:sz w:val="20"/>
        </w:rPr>
        <w:t>” means, with respect to the initial Registration Statement required hereunder, the 30th calendar day following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 corporation, a limited liability company, an association, a partnership, an organization, a business, an individual, a governmental or political subdivision thereof or a governmental agency.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prospectus included in a Registration Statement (including, without limitation, a prospectus that includes any information previously omitted from a prospectus filed as part of an effective registration statement in reliance upon Rule 430A promulgated under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means all of (i) the Shares (as defined in the Purchase Agreement), Commitment Shares (as defined in the Purchase Agreement) (ii) any capital stock issued or issuable with respect to the Shares, the Commitment Shares and the Assigned Securities, including, without limitation, (1) as a result of any stock split, stock dividend or other distribution, recapitalization or similar event or otherwise, and (2) shares of capital stock of the Company into which the Common Shares are converted or exchanged and shares of capital stock of a successor entity into which the Common Shares are converted or exchanged.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any registration statement of the Company filed pursuant to this Agreement, including the Prospectus, amendments and supplements to such registration statement or Prospectus, including post-effective amendments, all exhibits thereto, and all material incorporated by reference or deemed to be incorporated by reference in such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under the Securities Act or any successor rule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Rule 415</w:t>
      </w:r>
      <w:r>
        <w:rPr>
          <w:rFonts w:ascii="Times New Roman;Times;Serif" w:hAnsi="Times New Roman;Times;Serif"/>
          <w:b w:val="false"/>
          <w:i w:val="false"/>
          <w:caps w:val="false"/>
          <w:smallCaps w:val="false"/>
          <w:sz w:val="20"/>
        </w:rPr>
        <w:t>” means Rule 415 promulgated by the SEC pursuant to the Securities Act, as such Rule may be amended from time to time, or any similar rule or regulation hereafter adopted by the SEC having substantially the same purpose and effect as such Rule.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Securities and Exchange Commission or any other federal agency administering the Securities Act and the Exchange Act at the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have the meaning set forth in the Recitals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Company’s registration obligations set forth in this Section 2 including its obligations to file Registration Statements, obtain effectiveness of Registration Statements, and maintain the continuous effectiveness of any Registration Statement that has been declared effective shall begin on the date hereof and continue until the earlier of (i) the date on which the Investor has sold all of the Registrable Securities and (ii) the date of termination of the Purchase Agreement if as of such termination date the Investor holds no Registrable Securities (the “</w:t>
      </w:r>
      <w:r>
        <w:rPr>
          <w:rFonts w:ascii="Times New Roman;Times;Serif" w:hAnsi="Times New Roman;Times;Serif"/>
          <w:b w:val="false"/>
          <w:i w:val="false"/>
          <w:caps w:val="false"/>
          <w:smallCaps w:val="false"/>
          <w:sz w:val="20"/>
          <w:u w:val="single"/>
        </w:rPr>
        <w:t>Registration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terms and conditions of this Agreement, the Company shall (i) as soon as practicable, but in no case later than the Filing Deadline, prepare and file with the SEC an initial Registration Statement on Form S-1 (or, other form the Company is then eligible to use) or any successor form thereto covering the resale by the Investor of the maximum number of Registrable Securities as shall be permitted to be included thereon in accordance with applicable SEC rules, regulations and interpretations so as to permit the resale of such Registrable Securities by the Investor under Rule 415 at then prevailing market prices (and not fixed prices). The Registration Statement shall contain “</w:t>
      </w:r>
      <w:r>
        <w:rPr>
          <w:rFonts w:ascii="Times New Roman;Times;Serif" w:hAnsi="Times New Roman;Times;Serif"/>
          <w:b w:val="false"/>
          <w:i w:val="false"/>
          <w:caps w:val="false"/>
          <w:smallCaps w:val="false"/>
          <w:sz w:val="20"/>
          <w:u w:val="single"/>
        </w:rPr>
        <w:t>Selling Stockholders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Plan of Distribution</w:t>
      </w:r>
      <w:r>
        <w:rPr>
          <w:rFonts w:ascii="Times New Roman;Times;Serif" w:hAnsi="Times New Roman;Times;Serif"/>
          <w:b w:val="false"/>
          <w:i w:val="false"/>
          <w:caps w:val="false"/>
          <w:smallCaps w:val="false"/>
          <w:sz w:val="20"/>
        </w:rPr>
        <w:t>” sections. The Company shall use its best efforts to have the Registration Statement declared effective by the SEC as soon as practicable, but in no event later than the Effectiveness Deadline. By 9:30 am on the business day following the date of effectiveness, the Company shall file with the SEC in accordance with Rule 424 under the 1933 Act the final Prospectus to be used in connection with sales pursuant to such Registration Statement. Prior to the filing of the Registration Statement with the SEC, the Company shall furnish a draft of the Registration Statement to the Investor for their review and comment. The Investor shall furnish comments on the Registration Statement to the Company within 48 hours of the receipt thereof from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Sufficient Number of Shares Registered</w:t>
      </w:r>
      <w:r>
        <w:rPr>
          <w:rFonts w:ascii="Times New Roman;Times;Serif" w:hAnsi="Times New Roman;Times;Serif"/>
          <w:b w:val="false"/>
          <w:i w:val="false"/>
          <w:caps w:val="false"/>
          <w:smallCaps w:val="false"/>
          <w:sz w:val="20"/>
        </w:rPr>
        <w:t>. If at any time all Registrable Securities are not covered by a Registration Statement filed pursuant to Section 2(a) as a result of Section 2(e) or otherwise, the Company shall use its commercially reasonable efforts to file with the SEC one or more additional Registration Statements so as to cover all of the Registrable Securities not covered by such initial Registration Statement, in each case as soon as practicable (taking into account any position of the staff of the SEC with respect to the date on which the Staff will permit such additional Registration Statement(s) to be filed with the SEC and the rules and regulations of the SEC). The Company shall use its commercially reasonable efforts to cause each such new Registration Statement to become effective as soon as reasonably practicable following the filling thereof with the SEC.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During the Registration Period, the Company shall (i) promptly prepare and file with the SEC such amendments (including post-effective amendments) and supplements to a Registration Statement and the Prospectus used in connection with a Registration Statement, which Prospectus is to be filed pursuant to Rule 424 promulgated under the Securities Act, as may be necessary to keep such Registration Statement effective at all times during the Registration Period, (ii) prepare and file with the SEC additional Registration Statements in order to register for resale under the Securities Act all of the Registrable Securities; (iii) cause the related Prospectus to be amended or supplemented by any required Prospectus supplement (subject to the terms of this Agreement), and as so supplemented or amended to be filed pursuant to Rule 424; (iv) respond as promptly as reasonably possible to any comments received from the SEC with respect to a Registration Statement or any amendment thereto and as promptly as reasonably possible provide the Investor true and complete copies of all correspondence from and to the SEC relating to a Registration Statement (provided that the Company may excise any information contained therein which would constitute material non-public information to the Investor); and (v) comply with the provisions of the Securities Act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In the case of amendments and supplements to a Registration Statement which are required to be filed pursuant to this Agreement (including pursuant to this Section 2(c)) by reason of the Company’s filing a report on Form 10-K, Form 10-Q, or Form 8-K or any analogous report under the Exchange Act, the Company shall incorporate such report by reference into the Registration Statement, if applicable, or shall file such amendments or supplements with the SEC as promptly as reasonably practicable after the Exchange Act report is filed which created the requirement for the Company to amend or supplement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Reduction of Registrable Securities Included in a Registration Statement</w:t>
      </w:r>
      <w:r>
        <w:rPr>
          <w:rFonts w:ascii="Times New Roman;Times;Serif" w:hAnsi="Times New Roman;Times;Serif"/>
          <w:b w:val="false"/>
          <w:i w:val="false"/>
          <w:caps w:val="false"/>
          <w:smallCaps w:val="false"/>
          <w:sz w:val="20"/>
        </w:rPr>
        <w:t xml:space="preserve">. Notwithstanding anything contained herein, in the event that the SEC requires the Company to reduce the number of Registrable Securities to be included in a Registration Statement in order to allow the Company to rely on Rule 415 with respect to a Registration Statement, then the Company shall reduce the number of Registrable Securities to be included in such Registration Statement (after consultation with the Investor as to the specific Registrable Securities to be removed therefrom;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Commitment Shares (as defined in the Purchase Agreement) shall be prioritized for registration ahead of any other Shares registered on the Registration Statement) to the maximum number of securities as is permitted to be registered by the SEC. In the event of any reduction in Registrable Securities pursuant to this paragraph, the Company shall use its commercially reasonable efforts to file one or more New Registration Statements with the Commission in accordance with Section 2(c) until such time as all Registrable Securities have been included in Registration Statements that have been declared effective and the Prospectuses contained therein are available for use by the Investor.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Failure to File or Obtain Effectiveness of the Registration Statement or Remain Current</w:t>
      </w:r>
      <w:r>
        <w:rPr>
          <w:rFonts w:ascii="Times New Roman;Times;Serif" w:hAnsi="Times New Roman;Times;Serif"/>
          <w:b w:val="false"/>
          <w:i w:val="false"/>
          <w:caps w:val="false"/>
          <w:smallCaps w:val="false"/>
          <w:sz w:val="20"/>
        </w:rPr>
        <w:t>. If: (i) a Registration Statement is not filed on or prior to its Filing Date, or (ii) a Registration Statement is not declared effective on or prior to the Effectiveness Deadline, or the Company fails to file with the SEC a request for acceleration in accordance with Rule 461 promulgated under the Securities Act, within five business days of the date that the Company is notified (orally or in writing, whichever is earlier) by the SEC that a Registration Statement will not be “reviewed,” or not subject to further review, or (iii) after the effectiveness, a Registration Statement ceases for any reason to remain continuously effective as to all Registrable Securities for which it is required to be effective, or (iv) the Investor is not permitted to utilize the Prospectus therein to resell such Registrable Securities for more than 45 consecutive calendar days or more than an aggregate of 90 calendar days during any 12-month period (which need not be consecutive calendar days), or (v) if after the date that is six months from the date hereof, the Company does not have available adequate current public information as set forth in Rule 144(c) (any such failure or breach being referred to as an “</w:t>
      </w:r>
      <w:r>
        <w:rPr>
          <w:rFonts w:ascii="Times New Roman;Times;Serif" w:hAnsi="Times New Roman;Times;Serif"/>
          <w:b w:val="false"/>
          <w:i w:val="false"/>
          <w:caps w:val="false"/>
          <w:smallCaps w:val="false"/>
          <w:sz w:val="20"/>
          <w:u w:val="single"/>
        </w:rPr>
        <w:t>Event</w:t>
      </w:r>
      <w:r>
        <w:rPr>
          <w:rFonts w:ascii="Times New Roman;Times;Serif" w:hAnsi="Times New Roman;Times;Serif"/>
          <w:b w:val="false"/>
          <w:i w:val="false"/>
          <w:caps w:val="false"/>
          <w:smallCaps w:val="false"/>
          <w:sz w:val="20"/>
        </w:rPr>
        <w:t>”), then in addition to any other rights the Investor may have hereunder or under applicable law, the Company shall be in breach of the term and conditions of this Agreement and such Event shall be deemed an event of default for so long as such Event remains uncured. During the period of the existence of an uncured Event, the Investor shall have no obligation to accept a Purchase Notice or accept or purchase any Shares (other than any Shares purchased by the Investor prior to the occurrence of the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Piggy-Back Registrations</w:t>
      </w:r>
      <w:r>
        <w:rPr>
          <w:rFonts w:ascii="Times New Roman;Times;Serif" w:hAnsi="Times New Roman;Times;Serif"/>
          <w:b w:val="false"/>
          <w:i w:val="false"/>
          <w:caps w:val="false"/>
          <w:smallCaps w:val="false"/>
          <w:sz w:val="20"/>
        </w:rPr>
        <w:t>. If at any time there is not an effective Registration Statement covering all of the Registrable Securities and the Company proposes to register the offer and sale of any Common Shares under the Securities Act (other than a registration (i) pursuant to a Registration Statement on Form S-8 ((or other registration solely relating to an offering or sale to employees or directors of the Company pursuant to any employee stock plan or other employee benefit arrangement), (ii) pursuant to a Registration Statement on Form S-4 (or similar form that relates to a transaction subject to Rule 145 under the Securities Act or any successor rule thereto), or (iii) in connection with any dividend or distribution reinvestment or similar plan), whether for its own account or for the account of one or more stockholders of the Company and the form of Registration Statement to be used may be used for any registration of Registrable Securities, the Company shall give prompt written notice (in any event no later than five days prior to the filing of such Registration Statement) to the holders of Registrable Securities of its intention to effect such a registration and, shall include in such registration all Registrable Securities with respect to which the Company has received written requests for inclusion from the holders of Registrable Securities; provided, however, that, the Company shall not be required to register any Registrable Securities pursuant to this Section 2(g) that have been sold or may permanently be sold without any restrictions pursuant to Rule 144, as determined by counsel to the Company pursuant to a written opinion letter to such effect, addressed and acceptable to the Company’s transfer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Inclusion of Other Securities</w:t>
      </w:r>
      <w:r>
        <w:rPr>
          <w:rFonts w:ascii="Times New Roman;Times;Serif" w:hAnsi="Times New Roman;Times;Serif"/>
          <w:b w:val="false"/>
          <w:i w:val="false"/>
          <w:caps w:val="false"/>
          <w:smallCaps w:val="false"/>
          <w:sz w:val="20"/>
        </w:rPr>
        <w:t>. In no event shall the Company include any securities other than Registrable Securities on any Registration Statement pursuant to Section 2(a) or Section 2(c) without consulting with the Investor, and receiving Investor’s written consent, prior to filing such Registration Statement with the SEC.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RELATED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shall, not less than three business days prior to the filing of each Registration Statement and not less than one business day prior to the filing of any related amendments and supplements to all Registration Statements (except for annual reports on Form 10-K, supplements and amendments to update the Registration Statement solely for information reflected in the Company’s annual reports on Form 10-K, quarterly reports on Form 10-Q or current reports on Form 8-K, or the equivalent applicable filings for a foreign private issuer), furnish to each Investor copies of all such documents proposed to be filed, which documents (other than those incorporated or deemed to be incorporated by reference) will be subject to the reasonable and prompt review of such Investor. The Company shall not file a Registration Statement or any such Prospectus or any amendments or supplements thereto to which the Investor shall reasonably object in good faith;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is notified of such objection in writing no later than two (2) Trading Days after the Investor have been so furnished copies of a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furnish to the Investor whose Registrable Securities are included in any Registration Statement, without charge (i) at least one copy (which may be in electronic form) of such Registration Statement as declared effective by the SEC and any amendment(s) thereto, including financial statements and schedules, all documents incorporated therein by reference, all exhibits and each preliminary prospectus, (ii) at least one copy (which may be in electronic form) of the final prospectus included in such Registration Statement and all amendments and supplements thereto, and (iii) any documents, which are not publicly available through EDGAR, as the Investor may reasonably request from time to time in order to facilitate the disposition of the Registrable Securities owned by such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use its best efforts to (i) register and qualify the Registrable Securities covered by a Registration Statement under such other securities or “blue sky” laws of such jurisdictions in the United States as any Investor reasonably requests,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(w) make any change to its articles of incorporation or by-laws, (x) qualify to do business in any jurisdiction where it would not otherwise be required to qualify but for this Section 3(c), (y) subject itself to general taxation in any such jurisdiction, or (z) file a general consent to service of process in any such jurisdiction. The Company shall promptly notify the Investor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 of any proceeding for such purpose.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promptly as practicable after becoming aware of such event or development, the Company shall notify the Investor in writing of the happening of any event as a result of which the Prospectus included in a Registration Statement, as then in effect, includes an untrue statement of a material fact or omission to state a material fact required to be stated therein or necessary to make the statements therein, in light of the circumstances under which they were made, not misleading (provided that in no event shall such notice contain any material, nonpublic information), and promptly prepare a supplement or amendment to such Registration Statement to correct such untrue statement or omission and deliver one electronic copy of such supplement or amendment to the Investor. The Company shall also promptly notify the Investor in writing (i) when a Prospectus or any Prospectus supplement or post-effective amendment has been filed, and when a Registration Statement or any post-effective amendment has become effective (notification of such effectiveness shall be delivered to each Investor by facsimile on the same day of such effectiveness), (ii) of any request by the SEC for amendments or supplements to a Registration Statement or related prospectus or related information, and (iii) of the Company’s reasonable determination that a post-effective amendment to a Registration Statement would be appropriate. The Company shall respond as promptly as reasonably practicable to any comments received from the SEC with respect to a Registration Statement or any amendment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use its best efforts to prevent the issuance of any stop order or other suspension of effectiveness of a Registration Statement, or the suspension of the qualification of any of the Registrable Securities for sale in any jurisdiction within the United States of America and, if such an order or suspension is issued, to obtain the withdrawal of such order or suspension at the earliest possible moment and to notify each Investor who holds Registrable Securities being sold of the issuance of such order and the resolution thereof or its receipt of actual notice of the initiation or threat of any proceeding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Without limiting any obligation of the Company under the Purchase Agreement, the Company shall use commercially reasonable efforts either to cause all of the Registrable Securities covered by each Registration Statement to be listed on the Principal Market. The Company shall pay all fees and expenses in connection with satisfying its obligation under this Section 3(f).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hold in confidence and not make any disclosure of information concerning the Investor provided to the Company unless (i) disclosure of such information is necessary to comply with federal or state securities laws, (ii) the disclosure of such information is necessary to avoid or correct a misstatement or omission in any Registration Statement,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agreement. The Company agrees that it shall, upon learning that disclosure of such information concerning the Investor is sought in or by a court or governmental body of competent jurisdiction or through other means, give prompt written notice to such Investor and allow such Investor, at the Investor’s expense, to undertake appropriate action to prevent disclosure of, or to obtain a protective order for, such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Company shall cooperate with the holders of the Registrable Securities to facilitate the timely preparation and delivery of certificates or book-entry statements representing the Registrable Securities to be sold pursuant to such Registration Statement or Rule 144 free of any restrictive legends and representing such number of Common Shares and registered in such names as the holders of the Registrable Securities may reasonably request a reasonable period of time prior to sales of Registrable Securities pursuant to such Registration Statement or Rule;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Company may satisfy its obligations hereunder without issuing physical stock certificates or book-entry statements through the use of The Depository Trust Company’s Direct Registration System.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use its best efforts to cause the Registrable Securities to be registered with or approved by such other governmental agencies or authorities as may be necessary to consummate the disposition of such Registrable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shall otherwise use its best efforts to comply with all applicable rules and regulations of the SEC in connection with any registration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Within one (1) business day after a Registration Statement which covers Registrable Securities is declared effective by the SEC, the Company shall deliver, and shall cause legal counsel for the Company to deliver, to the transfer agent for such Registrable Securities (with copies to the Investor whose Registrable Securities are included in such Registration Statement) confirmation that such Registration Statement has been declared effective by the SEC.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shall take all other reasonable actions necessary to expedite and facilitate disposition by the Investor of Registrable Securities pursuant to a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OBLIGATIONS OF THE INVESTOR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Investor agrees that, upon receipt of any notice from the Company of the happening of any event of the kind described in Section 3(d), the Investor shall as soon as reasonably practicable discontinue disposition of Registrable Securities pursuant to any Registration Statement covering such Registrable Securities until the Investor’s receipt of the copies of the supplemented or amended prospectus contemplated by Section 3(d) or receipt of notice that no supplement or amendment is required. Notwithstanding anything to the contrary, subject to compliance with the securities laws, the Company shall cause its transfer agent to deliver unlegended certificates for Common Shares to a transferee of the Investor in accordance with the terms of the Purchase Agreement in connection with any sale of Registrable Securities with respect to which the Investor has entered into a contract for sale prior to the Investor’s receipt of a notice from the Company of the happening of any event of the kind described in Section 3(d) and for which the Investor has not yet settled.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Investor covenants and agrees that it will comply with the prospectus delivery requirements of the Securities Act as applicable to it or an exemption therefrom in connection with sales of Registrable Securities pursuant to the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Investor, by its acceptance of the Registrable Securities, agrees to cooperate with the Company as reasonably requested by the Company in connection with the preparation and filing of each Registration Statement hereunder, unless the Investor has notified the Company in writing of the Investor’s election to exclude all of the Investor’s Registrable Securities from such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EXPENSES OF REGISTRATION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expenses incurred by the Company in complying with its obligations pursuant to this Agreement and in connection with the registration and disposition of Registrable Securities shall be paid by the Company, including, without limitation, all registration, listing and qualifications fees, printers, fees and expenses of the Company’s counsel and accountants (except legal fees of Investor’s counsel associated with the review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Registrable Securities which are included in a Registration Statement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fullest extent permitted by law, the Company will, and hereby does, indemnify, hold harmless and defend the Investor, the directors, officers, partners, employees, agents, representatives of, and each Person, if any, who controls the Investor within the meaning of the Securities Act or the Exchange Act (each, an “</w:t>
      </w:r>
      <w:r>
        <w:rPr>
          <w:rFonts w:ascii="Times New Roman;Times;Serif" w:hAnsi="Times New Roman;Times;Serif"/>
          <w:b w:val="false"/>
          <w:i w:val="false"/>
          <w:caps w:val="false"/>
          <w:smallCaps w:val="false"/>
          <w:sz w:val="20"/>
          <w:u w:val="single"/>
        </w:rPr>
        <w:t>Indemnified Person</w:t>
      </w:r>
      <w:r>
        <w:rPr>
          <w:rFonts w:ascii="Times New Roman;Times;Serif" w:hAnsi="Times New Roman;Times;Serif"/>
          <w:b w:val="false"/>
          <w:i w:val="false"/>
          <w:caps w:val="false"/>
          <w:smallCaps w:val="false"/>
          <w:sz w:val="20"/>
        </w:rPr>
        <w:t>”), against any losses, claims, damages, liabilities, judgments, fines, penalties, charges, costs, reasonable attorneys’ fees, amounts paid in settlement or expenses, joint or several (collectively,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party is or may be a party thereto (“</w:t>
      </w:r>
      <w:r>
        <w:rPr>
          <w:rFonts w:ascii="Times New Roman;Times;Serif" w:hAnsi="Times New Roman;Times;Serif"/>
          <w:b w:val="false"/>
          <w:i w:val="false"/>
          <w:caps w:val="false"/>
          <w:smallCaps w:val="false"/>
          <w:sz w:val="20"/>
          <w:u w:val="single"/>
        </w:rPr>
        <w:t>Indemnified Damages</w:t>
      </w:r>
      <w:r>
        <w:rPr>
          <w:rFonts w:ascii="Times New Roman;Times;Serif" w:hAnsi="Times New Roman;Times;Serif"/>
          <w:b w:val="false"/>
          <w:i w:val="false"/>
          <w:caps w:val="false"/>
          <w:smallCaps w:val="false"/>
          <w:sz w:val="20"/>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Times;Serif" w:hAnsi="Times New Roman;Times;Serif"/>
          <w:b w:val="false"/>
          <w:i w:val="false"/>
          <w:caps w:val="false"/>
          <w:smallCaps w:val="false"/>
          <w:sz w:val="20"/>
          <w:u w:val="single"/>
        </w:rPr>
        <w:t>Blue Sky Filing</w:t>
      </w:r>
      <w:r>
        <w:rPr>
          <w:rFonts w:ascii="Times New Roman;Times;Serif" w:hAnsi="Times New Roman;Times;Serif"/>
          <w:b w:val="false"/>
          <w:i w:val="false"/>
          <w:caps w:val="false"/>
          <w:smallCaps w:val="false"/>
          <w:sz w:val="20"/>
        </w:rPr>
        <w:t>”), or the omission or alleged omission to state a material fact required to be stated therein or necessary to make the statements therein not misleading; (ii) any untrue statement or alleged untrue statement of a material fact contained in any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or (iii) any violation or alleged violation by the Company of the Securities Act, the Exchange Act, any other law, including, without limitation, any state securities law, or any rule or regulation there under relating to the offer or sale of the Registrable Securities pursuant to a Registration Statement (the matters in the foregoing clauses (i) through (iii) being, collectively, “</w:t>
      </w:r>
      <w:r>
        <w:rPr>
          <w:rFonts w:ascii="Times New Roman;Times;Serif" w:hAnsi="Times New Roman;Times;Serif"/>
          <w:b w:val="false"/>
          <w:i w:val="false"/>
          <w:caps w:val="false"/>
          <w:smallCaps w:val="false"/>
          <w:sz w:val="20"/>
          <w:u w:val="single"/>
        </w:rPr>
        <w:t>Violations</w:t>
      </w:r>
      <w:r>
        <w:rPr>
          <w:rFonts w:ascii="Times New Roman;Times;Serif" w:hAnsi="Times New Roman;Times;Serif"/>
          <w:b w:val="false"/>
          <w:i w:val="false"/>
          <w:caps w:val="false"/>
          <w:smallCaps w:val="false"/>
          <w:sz w:val="20"/>
        </w:rPr>
        <w:t>”). The Company shall reimburse the Investor and each such controlling person promptly as such expenses are incurred and are due and payable, for any legal fees or disbursements that are reasonably incurred by them or other reasonable expenses incurred by them in connection with investigating or defending any such Claim. Notwithstanding anything to the contrary contained herein, the indemnification agreement contained in this Section 6(a): (x) shall not apply to a Claim by an Indemnified Person arising out of or based upon a Violation which occurs in reliance upon and in conformity with information furnished in writing to the Company by an Indemnified Person expressly for use in connection with the preparation of the Registration Statement or any such amendment thereof or supplement thereto; (y) shall not be available to the extent such Claim is based on a failure of the Investor to deliver or to cause to be delivered the prospectus made available by the Company, if such prospectus was timely made available by the Company pursuant to Section 3(c); and (z)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connection with a Registration Statement, the Investor agrees to indemnify, hold harmless and defend, to the same extent and in the same manner as is set forth in Section 6(a), the Company, each of its directors, each of its officers, employees, representatives, or agents and each Person, if any, who controls the Company within the meaning of the Securities Act or the Exchange Act (each an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against any Claim or Indemnified Damages to which any of them may become subject, under the Securities Act, the Exchange Act or otherwise, insofar as such Claim or Indemnified Damages arise out of or is based upon any Violation, in each case to the extent, and only to the extent, that such Violation occurs (i) in reliance upon and in conformity with written information furnished to the Company by such Investor expressly for use in connection with such Registration Statement or (ii) from the Investor’s violation of any prospectus delivery requirements under the Securities Act, the Exchange Act, any other law, including, without limitation, any state securities law, or any rule or regulation there under relating to the offer or sale of the Registrable Securities pursuant to a Registration Statement; and, subject to Section 6(d), such Investor will reimburse any legal or other expenses reasonably incurred by them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such Investor, which consent shall not be unreasonably withheld, conditioned or delayed; provided, further, however, that, absent fraud or gross negligence, the Investor shall be liable under this Section 6(b) for only that amount of a Claim or Indemnified Damages as does not exceed the net proceeds to such Investor as a result of the sale of Registrable Securities pursuant to such Registration Statement. Such indemnity shall remain in full force and effect regardless of any investigation made by or on behalf of such Indemnified Party. Notwithstanding anything to the contrary contained herein, the indemnification agreement contained in this Section 6(b) with respect to any prospectus shall not inure to the benefit of any Indemnified Party if the untrue statement or omission of material fact contained in the prospectus was corrected and such new prospectus was delivered to each Investor prior to such Investor’s use of the prospectus to which the Claim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reasonably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(1) counsel for such Indemnified Person or Indemnified Party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fully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at all times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Indemnified Party or Indemnified Person, which consent shall not be unreasonably withheld, conditioned or delayed,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indemnification required by this Section 6 shall be made by periodic payments of the amount thereof during the course of the investigation or defense, as and when bills are received or Indemnified Damages are incurred.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received by such seller from the sale of such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REPORTS UNDER THE EXCHANGE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view to making available to the Investor the benefits of Rule 144 promulgated under the Securities Act or any similar rule or regulation of the SEC that may at any time permit the Investor to sell securities of the Company to the public without registration, and as a material inducement to the Investor’s purchase of the Shares the Company represents, warrants, and covenants to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subject to the reporting requirements of section 13 or 15(d) of the Exchange Act and has filed all required reports under section 13 or 15(d) of the Exchange Act during the 12 months prior to the date hereof (or for such shorter period that the issuer was required to file such reports), other than Form 8-K reports.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Registration Period, the Company shall file with the SEC in a timely manner all required reports under section 13 or 15(d) of the Exchange Act (it being understood that nothing herein shall limit the Company’s obligations under the Purchase Agreement) and such reports shall conform to the requirement in all material respects of the Exchange Act and the SEC for filing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furnish to the Investor so long as such Investor owns Registrable Securities, promptly upon request, (i) a written statement by the Company that it has complied with the reporting requirements of Rule 144, (ii) a copy of the most recent annual or quarterly report of the Company and such other reports and documents so filed by the Company, and (iii) such other information as may be reasonably requested to permit the Investor to sell such securities pursuant to Rule 144 without registration. For the avoidance of doubt, any filing available to the Investor via the SEC’s live EDGAR system shall be deemed “furnished to the Investor”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AMENDMENT OF REGISTRATION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this Agreement may be amended and the observance thereof may be waived (either generally or in a particular instance and either retroactively or prospectively), only with the written consent of the Company and the Investor. Any amendment or waiver effected in accordance with this Section 9 shall be binding upon each of the Investor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Person is deemed to be a holder of Registrable Securities whenever such Person owns or is deemed to own of record such Registrable Securities or owns the right to receive the Registrable Securities. If the Company receives conflicting instructions, notices or elections from two or more Persons with respect to the same Registrable Securities, the Company shall act upon the basis of instructions, notice or election received from the registered owner of such Registrable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not include any other securities on a Registration Statement which includes Registrable Securities unless otherwise agreed by the Investor.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notices, consents, waivers or other communications required or permitted to be given under the terms of this Agreement must be in writing and will be deemed to have been delivered pursuant to the notice provisions of the Purchase Agreement or to such other address and/or electronic 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electronically generated by the sender’s email service provider containing the time, date, and recipient email or (C) provided by a courier or overnight courier service shall be rebuttable evidence of personal service, receipt by email or receipt from a nationally recognized overnight delivery service in accordance with this section.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Failure of any party to exercise any right or remedy under this Agreement or otherwise, or delay by a party in exercising such right or remedy, shall not operate as a waiver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laws of the State of New York shall govern all issues concerning the relative rights of the Company and the Investor as its stockholder. All other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 that would cause the application of the laws of any jurisdiction other than the State of New York. Each party hereby irrevocably submits to the non-exclusive jurisdiction of the Supreme Court of the State of New York, sitting in New York County, New York and federal courts for the Southern District of New York sitting New York,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EACH PARTY HEREBY IRREVOCABLY WAIVES ANY RIGHT IT MAY HAVE, AND AGREES NOT TO REQUEST, A JURY TRIAL FOR THE ADJUDICATION OF ANY DISPUTE HEREUNDER OR IN CONNECTION HEREWITH OR ARISING OUT OF THIS AGREEMENT OR ANY TRANSACTION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Agreement shall inure to the benefit of and be binding upon the permitted successors and assigns of each of the parties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headings in this Agreement are for convenience of reference only and shall not limit or otherwise affect the meaning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This Agreement may be executed in identical counterparts, both of which shall be considered one and the same agreement and shall become effective when counterparts have been signed by each party and delivered to the other party. Facsimile or other electronically scanned and delivered signatures (including any electronic signature covered by the U.S. federal ESIGN Act of 2000, Uniform Electronic Transactions Act, the Electronic Signatures and Records Act or other applicable law, e.g., www.docusign.com), including by e-mail attachment, shall be deemed to have been duly and validly delivered and be valid and effective for all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Investor and the Company have caused their signature page to this Registration Rights Agreement to be duly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5554" w:type="dxa"/>
        <w:jc w:val="left"/>
        <w:tblInd w:w="0" w:type="dxa"/>
        <w:tblLayout w:type="fixed"/>
        <w:tblCellMar>
          <w:top w:w="0" w:type="dxa"/>
          <w:left w:w="0" w:type="dxa"/>
          <w:bottom w:w="0" w:type="dxa"/>
          <w:right w:w="0" w:type="dxa"/>
        </w:tblCellMar>
      </w:tblPr>
      <w:tblGrid>
        <w:gridCol w:w="1319"/>
        <w:gridCol w:w="4160"/>
        <w:gridCol w:w="75"/>
      </w:tblGrid>
      <w:tr>
        <w:trPr/>
        <w:tc>
          <w:tcPr>
            <w:tcW w:w="5479" w:type="dxa"/>
            <w:gridSpan w:val="2"/>
            <w:tcBorders/>
            <w:vAlign w:val="center"/>
          </w:tcPr>
          <w:p>
            <w:pPr>
              <w:pStyle w:val="TableContents"/>
              <w:bidi w:val="0"/>
              <w:spacing w:before="0" w:after="283"/>
              <w:jc w:val="left"/>
              <w:rPr>
                <w:b/>
              </w:rPr>
            </w:pPr>
            <w:r>
              <w:rPr>
                <w:b/>
              </w:rPr>
              <w:t>COMPANY:</w:t>
            </w:r>
          </w:p>
        </w:tc>
        <w:tc>
          <w:tcPr>
            <w:tcW w:w="75" w:type="dxa"/>
            <w:tcBorders/>
            <w:vAlign w:val="center"/>
          </w:tcPr>
          <w:p>
            <w:pPr>
              <w:pStyle w:val="TableContents"/>
              <w:bidi w:val="0"/>
              <w:spacing w:before="0" w:after="283"/>
              <w:jc w:val="left"/>
              <w:rPr/>
            </w:pPr>
            <w:r>
              <w:rPr/>
              <w:t> </w:t>
            </w:r>
          </w:p>
        </w:tc>
      </w:tr>
      <w:tr>
        <w:trPr/>
        <w:tc>
          <w:tcPr>
            <w:tcW w:w="5479" w:type="dxa"/>
            <w:gridSpan w:val="2"/>
            <w:tcBorders/>
            <w:vAlign w:val="center"/>
          </w:tcPr>
          <w:p>
            <w:pPr>
              <w:pStyle w:val="TableContents"/>
              <w:bidi w:val="0"/>
              <w:spacing w:before="0" w:after="283"/>
              <w:jc w:val="left"/>
              <w:rPr>
                <w:b/>
              </w:rPr>
            </w:pPr>
            <w:r>
              <w:rPr>
                <w:b/>
              </w:rPr>
              <w:t>CID HOLDCO, INC.</w:t>
            </w:r>
          </w:p>
        </w:tc>
        <w:tc>
          <w:tcPr>
            <w:tcW w:w="75" w:type="dxa"/>
            <w:tcBorders/>
            <w:vAlign w:val="center"/>
          </w:tcPr>
          <w:p>
            <w:pPr>
              <w:pStyle w:val="TableContents"/>
              <w:bidi w:val="0"/>
              <w:spacing w:before="0" w:after="283"/>
              <w:jc w:val="left"/>
              <w:rPr/>
            </w:pPr>
            <w:r>
              <w:rPr/>
              <w:t> </w:t>
            </w:r>
          </w:p>
        </w:tc>
      </w:tr>
      <w:tr>
        <w:trPr/>
        <w:tc>
          <w:tcPr>
            <w:tcW w:w="1319"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19" w:type="dxa"/>
            <w:tcBorders/>
            <w:vAlign w:val="center"/>
          </w:tcPr>
          <w:p>
            <w:pPr>
              <w:pStyle w:val="TableContents"/>
              <w:bidi w:val="0"/>
              <w:spacing w:before="0" w:after="283"/>
              <w:jc w:val="left"/>
              <w:rPr/>
            </w:pPr>
            <w:r>
              <w:rPr/>
              <w:t>By:</w:t>
            </w:r>
          </w:p>
        </w:tc>
        <w:tc>
          <w:tcPr>
            <w:tcW w:w="4160" w:type="dxa"/>
            <w:tcBorders>
              <w:bottom w:val="single" w:sz="12" w:space="0" w:color="000000"/>
            </w:tcBorders>
            <w:tcMar>
              <w:bottom w:w="28" w:type="dxa"/>
            </w:tcMar>
            <w:vAlign w:val="center"/>
          </w:tcPr>
          <w:p>
            <w:pPr>
              <w:pStyle w:val="TableContents"/>
              <w:bidi w:val="0"/>
              <w:spacing w:before="0" w:after="283"/>
              <w:jc w:val="left"/>
              <w:rPr/>
            </w:pPr>
            <w:r>
              <w:rPr/>
              <w:t>/s/ Edmund Nabrotzky</w:t>
            </w:r>
          </w:p>
        </w:tc>
        <w:tc>
          <w:tcPr>
            <w:tcW w:w="75" w:type="dxa"/>
            <w:tcBorders/>
            <w:vAlign w:val="center"/>
          </w:tcPr>
          <w:p>
            <w:pPr>
              <w:pStyle w:val="TableContents"/>
              <w:bidi w:val="0"/>
              <w:spacing w:before="0" w:after="283"/>
              <w:jc w:val="left"/>
              <w:rPr/>
            </w:pPr>
            <w:r>
              <w:rPr/>
              <w:t> </w:t>
            </w:r>
          </w:p>
        </w:tc>
      </w:tr>
      <w:tr>
        <w:trPr/>
        <w:tc>
          <w:tcPr>
            <w:tcW w:w="1319" w:type="dxa"/>
            <w:tcBorders/>
            <w:vAlign w:val="center"/>
          </w:tcPr>
          <w:p>
            <w:pPr>
              <w:pStyle w:val="TableContents"/>
              <w:bidi w:val="0"/>
              <w:spacing w:before="0" w:after="283"/>
              <w:jc w:val="left"/>
              <w:rPr/>
            </w:pPr>
            <w:r>
              <w:rPr/>
              <w:t>Name: </w:t>
            </w:r>
          </w:p>
        </w:tc>
        <w:tc>
          <w:tcPr>
            <w:tcW w:w="4160" w:type="dxa"/>
            <w:tcBorders/>
            <w:vAlign w:val="center"/>
          </w:tcPr>
          <w:p>
            <w:pPr>
              <w:pStyle w:val="TableContents"/>
              <w:bidi w:val="0"/>
              <w:spacing w:before="0" w:after="283"/>
              <w:jc w:val="left"/>
              <w:rPr/>
            </w:pPr>
            <w:r>
              <w:rPr/>
              <w:t>Edmund Nabrotzky</w:t>
            </w:r>
          </w:p>
        </w:tc>
        <w:tc>
          <w:tcPr>
            <w:tcW w:w="75" w:type="dxa"/>
            <w:tcBorders/>
            <w:vAlign w:val="center"/>
          </w:tcPr>
          <w:p>
            <w:pPr>
              <w:pStyle w:val="TableContents"/>
              <w:bidi w:val="0"/>
              <w:spacing w:before="0" w:after="283"/>
              <w:jc w:val="left"/>
              <w:rPr/>
            </w:pPr>
            <w:r>
              <w:rPr/>
              <w:t> </w:t>
            </w:r>
          </w:p>
        </w:tc>
      </w:tr>
      <w:tr>
        <w:trPr/>
        <w:tc>
          <w:tcPr>
            <w:tcW w:w="1319" w:type="dxa"/>
            <w:tcBorders/>
            <w:vAlign w:val="center"/>
          </w:tcPr>
          <w:p>
            <w:pPr>
              <w:pStyle w:val="TableContents"/>
              <w:bidi w:val="0"/>
              <w:spacing w:before="0" w:after="283"/>
              <w:jc w:val="left"/>
              <w:rPr/>
            </w:pPr>
            <w:r>
              <w:rPr/>
              <w:t>Title:</w:t>
            </w:r>
          </w:p>
        </w:tc>
        <w:tc>
          <w:tcPr>
            <w:tcW w:w="4160"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r>
        <w:trPr/>
        <w:tc>
          <w:tcPr>
            <w:tcW w:w="1319"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19"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79" w:type="dxa"/>
            <w:gridSpan w:val="2"/>
            <w:tcBorders/>
            <w:vAlign w:val="center"/>
          </w:tcPr>
          <w:p>
            <w:pPr>
              <w:pStyle w:val="TableContents"/>
              <w:bidi w:val="0"/>
              <w:spacing w:before="0" w:after="283"/>
              <w:jc w:val="left"/>
              <w:rPr>
                <w:b/>
              </w:rPr>
            </w:pPr>
            <w:r>
              <w:rPr>
                <w:b/>
              </w:rPr>
              <w:t>INVESTOR:</w:t>
            </w:r>
          </w:p>
        </w:tc>
        <w:tc>
          <w:tcPr>
            <w:tcW w:w="75" w:type="dxa"/>
            <w:tcBorders/>
            <w:vAlign w:val="center"/>
          </w:tcPr>
          <w:p>
            <w:pPr>
              <w:pStyle w:val="TableContents"/>
              <w:bidi w:val="0"/>
              <w:spacing w:before="0" w:after="283"/>
              <w:jc w:val="left"/>
              <w:rPr/>
            </w:pPr>
            <w:r>
              <w:rPr/>
              <w:t> </w:t>
            </w:r>
          </w:p>
        </w:tc>
      </w:tr>
      <w:tr>
        <w:trPr/>
        <w:tc>
          <w:tcPr>
            <w:tcW w:w="5479" w:type="dxa"/>
            <w:gridSpan w:val="2"/>
            <w:tcBorders/>
            <w:vAlign w:val="center"/>
          </w:tcPr>
          <w:p>
            <w:pPr>
              <w:pStyle w:val="TableContents"/>
              <w:bidi w:val="0"/>
              <w:spacing w:before="0" w:after="283"/>
              <w:jc w:val="left"/>
              <w:rPr>
                <w:b/>
              </w:rPr>
            </w:pPr>
            <w:r>
              <w:rPr>
                <w:b/>
              </w:rPr>
              <w:t>NEW CIRCLE PRINCIPAL INVESTMENTS LLC</w:t>
            </w:r>
          </w:p>
        </w:tc>
        <w:tc>
          <w:tcPr>
            <w:tcW w:w="75" w:type="dxa"/>
            <w:tcBorders/>
            <w:vAlign w:val="center"/>
          </w:tcPr>
          <w:p>
            <w:pPr>
              <w:pStyle w:val="TableContents"/>
              <w:bidi w:val="0"/>
              <w:spacing w:before="0" w:after="283"/>
              <w:jc w:val="left"/>
              <w:rPr/>
            </w:pPr>
            <w:r>
              <w:rPr/>
              <w:t> </w:t>
            </w:r>
          </w:p>
        </w:tc>
      </w:tr>
      <w:tr>
        <w:trPr/>
        <w:tc>
          <w:tcPr>
            <w:tcW w:w="1319"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79" w:type="dxa"/>
            <w:gridSpan w:val="2"/>
            <w:tcBorders/>
            <w:vAlign w:val="center"/>
          </w:tcPr>
          <w:p>
            <w:pPr>
              <w:pStyle w:val="TableContents"/>
              <w:bidi w:val="0"/>
              <w:spacing w:before="0" w:after="283"/>
              <w:jc w:val="left"/>
              <w:rPr/>
            </w:pPr>
            <w:r>
              <w:rPr/>
              <w:t>By: New Circle Capital LLC</w:t>
            </w:r>
          </w:p>
        </w:tc>
        <w:tc>
          <w:tcPr>
            <w:tcW w:w="75" w:type="dxa"/>
            <w:tcBorders/>
            <w:vAlign w:val="center"/>
          </w:tcPr>
          <w:p>
            <w:pPr>
              <w:pStyle w:val="TableContents"/>
              <w:bidi w:val="0"/>
              <w:spacing w:before="0" w:after="283"/>
              <w:jc w:val="left"/>
              <w:rPr/>
            </w:pPr>
            <w:r>
              <w:rPr/>
              <w:t> </w:t>
            </w:r>
          </w:p>
        </w:tc>
      </w:tr>
      <w:tr>
        <w:trPr/>
        <w:tc>
          <w:tcPr>
            <w:tcW w:w="5479" w:type="dxa"/>
            <w:gridSpan w:val="2"/>
            <w:tcBorders/>
            <w:vAlign w:val="center"/>
          </w:tcPr>
          <w:p>
            <w:pPr>
              <w:pStyle w:val="TableContents"/>
              <w:bidi w:val="0"/>
              <w:spacing w:before="0" w:after="283"/>
              <w:jc w:val="left"/>
              <w:rPr/>
            </w:pPr>
            <w:r>
              <w:rPr/>
              <w:t xml:space="preserve">Its: Sole Member </w:t>
            </w:r>
          </w:p>
        </w:tc>
        <w:tc>
          <w:tcPr>
            <w:tcW w:w="75" w:type="dxa"/>
            <w:tcBorders/>
            <w:vAlign w:val="center"/>
          </w:tcPr>
          <w:p>
            <w:pPr>
              <w:pStyle w:val="TableContents"/>
              <w:bidi w:val="0"/>
              <w:spacing w:before="0" w:after="283"/>
              <w:jc w:val="left"/>
              <w:rPr/>
            </w:pPr>
            <w:r>
              <w:rPr/>
              <w:t> </w:t>
            </w:r>
          </w:p>
        </w:tc>
      </w:tr>
      <w:tr>
        <w:trPr/>
        <w:tc>
          <w:tcPr>
            <w:tcW w:w="1319"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19" w:type="dxa"/>
            <w:tcBorders/>
            <w:vAlign w:val="center"/>
          </w:tcPr>
          <w:p>
            <w:pPr>
              <w:pStyle w:val="TableContents"/>
              <w:bidi w:val="0"/>
              <w:spacing w:before="0" w:after="283"/>
              <w:jc w:val="left"/>
              <w:rPr/>
            </w:pPr>
            <w:r>
              <w:rPr/>
              <w:t>By:</w:t>
            </w:r>
          </w:p>
        </w:tc>
        <w:tc>
          <w:tcPr>
            <w:tcW w:w="4160" w:type="dxa"/>
            <w:tcBorders>
              <w:bottom w:val="single" w:sz="12" w:space="0" w:color="000000"/>
            </w:tcBorders>
            <w:tcMar>
              <w:bottom w:w="28" w:type="dxa"/>
            </w:tcMar>
            <w:vAlign w:val="center"/>
          </w:tcPr>
          <w:p>
            <w:pPr>
              <w:pStyle w:val="TableContents"/>
              <w:bidi w:val="0"/>
              <w:spacing w:before="0" w:after="283"/>
              <w:jc w:val="left"/>
              <w:rPr/>
            </w:pPr>
            <w:r>
              <w:rPr/>
              <w:t>/s/ Walter Arnold</w:t>
            </w:r>
          </w:p>
        </w:tc>
        <w:tc>
          <w:tcPr>
            <w:tcW w:w="75" w:type="dxa"/>
            <w:tcBorders/>
            <w:vAlign w:val="center"/>
          </w:tcPr>
          <w:p>
            <w:pPr>
              <w:pStyle w:val="TableContents"/>
              <w:bidi w:val="0"/>
              <w:spacing w:before="0" w:after="283"/>
              <w:jc w:val="left"/>
              <w:rPr/>
            </w:pPr>
            <w:r>
              <w:rPr/>
              <w:t> </w:t>
            </w:r>
          </w:p>
        </w:tc>
      </w:tr>
      <w:tr>
        <w:trPr/>
        <w:tc>
          <w:tcPr>
            <w:tcW w:w="1319" w:type="dxa"/>
            <w:tcBorders/>
            <w:vAlign w:val="center"/>
          </w:tcPr>
          <w:p>
            <w:pPr>
              <w:pStyle w:val="TableContents"/>
              <w:bidi w:val="0"/>
              <w:spacing w:before="0" w:after="283"/>
              <w:jc w:val="left"/>
              <w:rPr/>
            </w:pPr>
            <w:r>
              <w:rPr/>
              <w:t xml:space="preserve">Name: </w:t>
            </w:r>
          </w:p>
        </w:tc>
        <w:tc>
          <w:tcPr>
            <w:tcW w:w="4160" w:type="dxa"/>
            <w:tcBorders/>
            <w:vAlign w:val="center"/>
          </w:tcPr>
          <w:p>
            <w:pPr>
              <w:pStyle w:val="TableContents"/>
              <w:bidi w:val="0"/>
              <w:spacing w:before="0" w:after="283"/>
              <w:jc w:val="left"/>
              <w:rPr/>
            </w:pPr>
            <w:r>
              <w:rPr/>
              <w:t>Walter Arnold</w:t>
            </w:r>
          </w:p>
        </w:tc>
        <w:tc>
          <w:tcPr>
            <w:tcW w:w="75" w:type="dxa"/>
            <w:tcBorders/>
            <w:vAlign w:val="center"/>
          </w:tcPr>
          <w:p>
            <w:pPr>
              <w:pStyle w:val="TableContents"/>
              <w:bidi w:val="0"/>
              <w:spacing w:before="0" w:after="283"/>
              <w:jc w:val="left"/>
              <w:rPr/>
            </w:pPr>
            <w:r>
              <w:rPr/>
              <w:t> </w:t>
            </w:r>
          </w:p>
        </w:tc>
      </w:tr>
      <w:tr>
        <w:trPr/>
        <w:tc>
          <w:tcPr>
            <w:tcW w:w="1319" w:type="dxa"/>
            <w:tcBorders/>
            <w:vAlign w:val="center"/>
          </w:tcPr>
          <w:p>
            <w:pPr>
              <w:pStyle w:val="TableContents"/>
              <w:bidi w:val="0"/>
              <w:spacing w:before="0" w:after="283"/>
              <w:jc w:val="left"/>
              <w:rPr/>
            </w:pPr>
            <w:r>
              <w:rPr/>
              <w:t xml:space="preserve">Title: </w:t>
            </w:r>
          </w:p>
        </w:tc>
        <w:tc>
          <w:tcPr>
            <w:tcW w:w="4160" w:type="dxa"/>
            <w:tcBorders/>
            <w:vAlign w:val="center"/>
          </w:tcPr>
          <w:p>
            <w:pPr>
              <w:pStyle w:val="TableContents"/>
              <w:bidi w:val="0"/>
              <w:spacing w:before="0" w:after="283"/>
              <w:jc w:val="left"/>
              <w:rPr/>
            </w:pPr>
            <w:r>
              <w:rPr/>
              <w:t>Managing Partner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3" w:name="ea024660701ex14-1_cidhold.htm"/>
      <w:bookmarkStart w:id="44" w:name="ksea024660701ex141_cidhold"/>
      <w:bookmarkEnd w:id="43"/>
      <w:bookmarkEnd w:id="44"/>
      <w:r>
        <w:rPr>
          <w:rFonts w:ascii="Times New Roman;Times;Serif" w:hAnsi="Times New Roman;Times;Serif"/>
          <w:b/>
          <w:i w:val="false"/>
          <w:caps w:val="false"/>
          <w:smallCaps w:val="false"/>
          <w:sz w:val="20"/>
        </w:rPr>
        <w:t>Exhibit 14.1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Code has traditionally embodied policies encouraging individual and peer integrity, ethical behavior and our responsibilities to our employees, customers, suppliers, stockholders and the public, and includes: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2"/>
        <w:gridCol w:w="9922"/>
      </w:tblGrid>
      <w:tr>
        <w:trPr/>
        <w:tc>
          <w:tcPr>
            <w:tcW w:w="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both"/>
              <w:rPr/>
            </w:pPr>
            <w:r>
              <w:rPr/>
              <w:t>Prohibiting conflicts of interest (including protecting corporate opportunities)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2"/>
        <w:gridCol w:w="9971"/>
      </w:tblGrid>
      <w:tr>
        <w:trPr/>
        <w:tc>
          <w:tcPr>
            <w:tcW w:w="4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w:t>
            </w:r>
          </w:p>
        </w:tc>
        <w:tc>
          <w:tcPr>
            <w:tcW w:w="9971" w:type="dxa"/>
            <w:tcBorders/>
            <w:vAlign w:val="center"/>
          </w:tcPr>
          <w:p>
            <w:pPr>
              <w:pStyle w:val="TableContents"/>
              <w:bidi w:val="0"/>
              <w:spacing w:before="0" w:after="283"/>
              <w:jc w:val="both"/>
              <w:rPr/>
            </w:pPr>
            <w:r>
              <w:rPr/>
              <w:t>Protecting our confidential and proprietary information and that of our customers and vendors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2"/>
        <w:gridCol w:w="9885"/>
      </w:tblGrid>
      <w:tr>
        <w:trPr/>
        <w:tc>
          <w:tcPr>
            <w:tcW w:w="5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w:t>
            </w:r>
          </w:p>
        </w:tc>
        <w:tc>
          <w:tcPr>
            <w:tcW w:w="9885" w:type="dxa"/>
            <w:tcBorders/>
            <w:vAlign w:val="center"/>
          </w:tcPr>
          <w:p>
            <w:pPr>
              <w:pStyle w:val="TableContents"/>
              <w:bidi w:val="0"/>
              <w:spacing w:before="0" w:after="283"/>
              <w:jc w:val="both"/>
              <w:rPr/>
            </w:pPr>
            <w:r>
              <w:rPr/>
              <w:t>Treating our employees, customers, suppliers and competitors fairly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6"/>
        <w:gridCol w:w="9892"/>
      </w:tblGrid>
      <w:tr>
        <w:trPr/>
        <w:tc>
          <w:tcPr>
            <w:tcW w:w="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2" w:type="dxa"/>
            <w:tcBorders/>
            <w:vAlign w:val="center"/>
          </w:tcPr>
          <w:p>
            <w:pPr>
              <w:pStyle w:val="TableContents"/>
              <w:bidi w:val="0"/>
              <w:spacing w:before="0" w:after="283"/>
              <w:jc w:val="both"/>
              <w:rPr/>
            </w:pPr>
            <w:r>
              <w:rPr/>
              <w:t>Encouraging full, fair, accurate, timely and understandable disclosure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380"/>
        <w:gridCol w:w="9741"/>
      </w:tblGrid>
      <w:tr>
        <w:trPr/>
        <w:tc>
          <w:tcPr>
            <w:tcW w:w="8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w:t>
            </w:r>
          </w:p>
        </w:tc>
        <w:tc>
          <w:tcPr>
            <w:tcW w:w="9741" w:type="dxa"/>
            <w:tcBorders/>
            <w:vAlign w:val="center"/>
          </w:tcPr>
          <w:p>
            <w:pPr>
              <w:pStyle w:val="TableContents"/>
              <w:bidi w:val="0"/>
              <w:spacing w:before="0" w:after="283"/>
              <w:jc w:val="both"/>
              <w:rPr/>
            </w:pPr>
            <w:r>
              <w:rPr/>
              <w:t>Protecting and properly using company assets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6"/>
        <w:gridCol w:w="9917"/>
      </w:tblGrid>
      <w:tr>
        <w:trPr/>
        <w:tc>
          <w:tcPr>
            <w:tcW w:w="5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w:t>
            </w:r>
          </w:p>
        </w:tc>
        <w:tc>
          <w:tcPr>
            <w:tcW w:w="9917" w:type="dxa"/>
            <w:tcBorders/>
            <w:vAlign w:val="center"/>
          </w:tcPr>
          <w:p>
            <w:pPr>
              <w:pStyle w:val="TableContents"/>
              <w:bidi w:val="0"/>
              <w:spacing w:before="0" w:after="283"/>
              <w:jc w:val="both"/>
              <w:rPr/>
            </w:pPr>
            <w:r>
              <w:rPr/>
              <w:t>Complying with laws, rules and regulations (including insider trading laws)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4"/>
        <w:gridCol w:w="9870"/>
      </w:tblGrid>
      <w:tr>
        <w:trPr/>
        <w:tc>
          <w:tcPr>
            <w:tcW w:w="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283"/>
              <w:jc w:val="both"/>
              <w:rPr/>
            </w:pPr>
            <w:r>
              <w:rPr/>
              <w:t>Encouraging the reporting of any unlawful or unethical behavior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information below are those portions of our code of business conduct and ethics, which address the issues listed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095"/>
        <w:gridCol w:w="8902"/>
      </w:tblGrid>
      <w:tr>
        <w:trPr/>
        <w:tc>
          <w:tcPr>
            <w:tcW w:w="20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caps/>
              </w:rPr>
            </w:pPr>
            <w:r>
              <w:rPr>
                <w:caps/>
              </w:rPr>
              <w:t>1.</w:t>
            </w:r>
          </w:p>
        </w:tc>
        <w:tc>
          <w:tcPr>
            <w:tcW w:w="8902" w:type="dxa"/>
            <w:tcBorders/>
            <w:vAlign w:val="center"/>
          </w:tcPr>
          <w:p>
            <w:pPr>
              <w:pStyle w:val="TableContents"/>
              <w:bidi w:val="0"/>
              <w:spacing w:before="0" w:after="283"/>
              <w:jc w:val="both"/>
              <w:rPr/>
            </w:pPr>
            <w:r>
              <w:rPr/>
              <w:t>Policy Statement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rules require that CID HoldCo,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provide a code of conduct for all of its directors, officers and employees. The Company is committed to being a good corporate citizen. The Company’s policy is to conduct its business affairs honestly and in an ethical manner. That goal cannot be achieved unless you individually accept your responsibility to promote integrity and demonstrate the highest level of ethical conduct in all of your activities. Activities that may call into question the Company’s reputation or integrity should be avoided. The Company understands that not every situation is black and white. The key to compliance with this Code of Business Conduct and Ethics (this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is exercising good judgment. This means following the spirit of this Code and the law, doing the “right” thing and acting ethically even when the law is not specific. When you are faced with a business situation where you must determine the right thing to do, you should ask the following questions: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8"/>
        <w:gridCol w:w="9927"/>
      </w:tblGrid>
      <w:tr>
        <w:trPr/>
        <w:tc>
          <w:tcPr>
            <w:tcW w:w="5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283"/>
              <w:jc w:val="both"/>
              <w:rPr/>
            </w:pPr>
            <w:r>
              <w:rPr/>
              <w:t>Am I following the spirit, as well as the letter, of any law or Company policy?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348"/>
        <w:gridCol w:w="9780"/>
      </w:tblGrid>
      <w:tr>
        <w:trPr/>
        <w:tc>
          <w:tcPr>
            <w:tcW w:w="7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w:t>
            </w:r>
          </w:p>
        </w:tc>
        <w:tc>
          <w:tcPr>
            <w:tcW w:w="9780" w:type="dxa"/>
            <w:tcBorders/>
            <w:vAlign w:val="center"/>
          </w:tcPr>
          <w:p>
            <w:pPr>
              <w:pStyle w:val="TableContents"/>
              <w:bidi w:val="0"/>
              <w:spacing w:before="0" w:after="283"/>
              <w:jc w:val="both"/>
              <w:rPr/>
            </w:pPr>
            <w:r>
              <w:rPr/>
              <w:t xml:space="preserve">Would I want my actions reported on </w:t>
            </w:r>
            <w:r>
              <w:rPr>
                <w:i/>
              </w:rPr>
              <w:t>60 Minutes</w:t>
            </w:r>
            <w:r>
              <w:rPr/>
              <w: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0"/>
        <w:gridCol w:w="9875"/>
      </w:tblGrid>
      <w:tr>
        <w:trPr/>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both"/>
              <w:rPr/>
            </w:pPr>
            <w:r>
              <w:rPr/>
              <w:t>What would my family, friends or neighbors think of my actions?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3"/>
        <w:gridCol w:w="9921"/>
      </w:tblGrid>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both"/>
              <w:rPr/>
            </w:pPr>
            <w:r>
              <w:rPr/>
              <w:t>Will there be any direct or indirect negative consequences for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Managers set an example for other employees and are often responsible for directing the actions of others. Every manager and supervisor is expected to take necessary actions to ensure compliance with this Code, to provide guidance and assist employees in resolving questions concerning this Code and to permit employees to express any concerns regarding compliance with this Code. No one has the authority to order another employee to act in a manner that is contrary to this Code.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501"/>
        <w:gridCol w:w="9609"/>
      </w:tblGrid>
      <w:tr>
        <w:trPr/>
        <w:tc>
          <w:tcPr>
            <w:tcW w:w="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caps/>
              </w:rPr>
            </w:pPr>
            <w:r>
              <w:rPr>
                <w:caps/>
              </w:rPr>
              <w:t>2.</w:t>
            </w:r>
          </w:p>
        </w:tc>
        <w:tc>
          <w:tcPr>
            <w:tcW w:w="9609" w:type="dxa"/>
            <w:tcBorders/>
            <w:vAlign w:val="center"/>
          </w:tcPr>
          <w:p>
            <w:pPr>
              <w:pStyle w:val="TableContents"/>
              <w:bidi w:val="0"/>
              <w:spacing w:before="0" w:after="283"/>
              <w:jc w:val="both"/>
              <w:rPr/>
            </w:pPr>
            <w:r>
              <w:rPr/>
              <w:t>Compliance with Laws and Regulations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 seeks to comply with both the letter and spirit of the laws and regulations in all countries in which it operates.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committed to full compliance with the laws and regulations of the cities, states and countries in which it operates. You must comply with all applicable laws, rules and regulations in performing your duties for the Company. Numerous federal, state and local laws and regulations define and establish obligations with which the Company, its employees and agents must comply. Under certain circumstances, local country law may establish requirements that differ from this Code. You are expected to comply with all local country laws in conducting the Company’s business. If you violate these laws or regulations in performing your duties for the Company, you not only risk individual indictment, prosecution and penalties, as well as civil actions and penalties, you also subject the Company to the same risks and penalties. If you violate these laws in performing your duties for the Company, you may be subject to immediate disciplinary action, including possible termination of your employment or affiliation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explanation of certain of the key laws with which you should be familiar can be found in the employee handbook. As explained below, you should always consult your manager or the Compliance Officer with any questions about the legality of you or your colleagues’ conduct.</w:t>
      </w:r>
    </w:p>
    <w:p>
      <w:pPr>
        <w:pStyle w:val="TextBody"/>
        <w:bidi w:val="0"/>
        <w:spacing w:before="0" w:after="0"/>
        <w:ind w:left="720" w:right="0" w:hanging="720"/>
        <w:jc w:val="left"/>
        <w:rPr>
          <w:caps/>
        </w:rPr>
      </w:pPr>
      <w:r>
        <w:rPr>
          <w:caps/>
        </w:rPr>
        <w:t> </w:t>
      </w:r>
    </w:p>
    <w:tbl>
      <w:tblPr>
        <w:tblW w:w="5000" w:type="pct"/>
        <w:jc w:val="left"/>
        <w:tblInd w:w="0" w:type="dxa"/>
        <w:tblLayout w:type="fixed"/>
        <w:tblCellMar>
          <w:top w:w="0" w:type="dxa"/>
          <w:left w:w="0" w:type="dxa"/>
          <w:bottom w:w="0" w:type="dxa"/>
          <w:right w:w="0" w:type="dxa"/>
        </w:tblCellMar>
      </w:tblPr>
      <w:tblGrid>
        <w:gridCol w:w="65"/>
        <w:gridCol w:w="344"/>
        <w:gridCol w:w="9796"/>
      </w:tblGrid>
      <w:tr>
        <w:trPr/>
        <w:tc>
          <w:tcPr>
            <w:tcW w:w="6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caps/>
              </w:rPr>
            </w:pPr>
            <w:r>
              <w:rPr>
                <w:caps/>
              </w:rPr>
              <w:t>3.</w:t>
            </w:r>
          </w:p>
        </w:tc>
        <w:tc>
          <w:tcPr>
            <w:tcW w:w="9796" w:type="dxa"/>
            <w:tcBorders/>
            <w:vAlign w:val="center"/>
          </w:tcPr>
          <w:p>
            <w:pPr>
              <w:pStyle w:val="TableContents"/>
              <w:bidi w:val="0"/>
              <w:spacing w:before="0" w:after="283"/>
              <w:jc w:val="left"/>
              <w:rPr/>
            </w:pPr>
            <w:r>
              <w:rPr/>
              <w:t>Full, Fair, Accurate, Timely and Understandable Disclosure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of paramount importance to the Company that all disclosure in reports and documents that the Company files with, or submits to, the SEC, and in other public communications made by the Company is full, fair, accurate, timely and understandable. You must take all steps available to assist the Company in fulfilling these responsibilities consistent with your role within the Company. In particular, you are required to provide prompt and accurate answers to all inquiries made to you in connection with the Company’s preparation of its public reports and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w:t>
      </w:r>
      <w:r>
        <w:rPr>
          <w:rFonts w:ascii="Times New Roman;Times;Serif" w:hAnsi="Times New Roman;Times;Serif"/>
          <w:b/>
          <w:i/>
          <w:caps w:val="false"/>
          <w:smallCaps w:val="false"/>
          <w:sz w:val="20"/>
        </w:rPr>
        <w:t>CEO</w:t>
      </w:r>
      <w:r>
        <w:rPr>
          <w:rFonts w:ascii="Times New Roman;Times;Serif" w:hAnsi="Times New Roman;Times;Serif"/>
          <w:b w:val="false"/>
          <w:i w:val="false"/>
          <w:caps w:val="false"/>
          <w:smallCaps w:val="false"/>
          <w:sz w:val="20"/>
        </w:rPr>
        <w:t>”) and Chief Financial Officer (“</w:t>
      </w:r>
      <w:r>
        <w:rPr>
          <w:rFonts w:ascii="Times New Roman;Times;Serif" w:hAnsi="Times New Roman;Times;Serif"/>
          <w:b/>
          <w:i/>
          <w:caps w:val="false"/>
          <w:smallCaps w:val="false"/>
          <w:sz w:val="20"/>
        </w:rPr>
        <w:t>CFO</w:t>
      </w:r>
      <w:r>
        <w:rPr>
          <w:rFonts w:ascii="Times New Roman;Times;Serif" w:hAnsi="Times New Roman;Times;Serif"/>
          <w:b w:val="false"/>
          <w:i w:val="false"/>
          <w:caps w:val="false"/>
          <w:smallCaps w:val="false"/>
          <w:sz w:val="20"/>
        </w:rPr>
        <w:t>”) are responsible for designing, establishing, maintaining, reviewing and evaluating on a quarterly basis the effectiveness of the Company’s disclosure controls and procedures (as such term is defined by applicable SEC rules). The Company’s CEO and CFO and such other Company officers designated from time to time by the Audit Committee of the Board of Directors shall be deemed to be the “Senior Officers” of the Company. Senior Officers shall take all steps necessary or advisable to ensure that all disclosure in reports and documents filed with or submitted to the SEC, and all disclosure in other public communication made by the Company, is full, fair, accurate, timely and understandable.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Officers are also responsible for establishing and maintaining adequate internal control over financial reporting to provide reasonable assurance regarding the reliability of financial reporting and the preparation of financial statements for external purposes in accordance with generally accepted accounting principles. Senior Officers will take all necessary steps to ensure compliance with established accounting procedures, the Company’s system of internal controls and generally accepted accounting principles. Senior Officers will ensure that the Company makes and keeps books, records and accounts, which, in reasonable detail, accurately and fairly reflect the transactions and dispositions of the assets of the Company. Senior Officers will also ensure that the Company devises and maintains a system of internal accounting controls sufficient to provide reasonable assurances that:</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3"/>
        <w:gridCol w:w="9970"/>
      </w:tblGrid>
      <w:tr>
        <w:trPr/>
        <w:tc>
          <w:tcPr>
            <w:tcW w:w="4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70" w:type="dxa"/>
            <w:tcBorders/>
            <w:vAlign w:val="center"/>
          </w:tcPr>
          <w:p>
            <w:pPr>
              <w:pStyle w:val="TableContents"/>
              <w:bidi w:val="0"/>
              <w:spacing w:before="0" w:after="283"/>
              <w:jc w:val="both"/>
              <w:rPr/>
            </w:pPr>
            <w:r>
              <w:rPr/>
              <w:t>transactions are executed in accordance with management’s general or specific authorization;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transactions are recorded as necessary (a) to permit preparation of financial statements in conformity with generally accepted accounting principles or any other criteria applicable to such statements, and (b) to maintain accountability for assets;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access to assets is permitted, and receipts and expenditures are made, only in accordance with management’s general or specific authorization;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recorded accountability for assets is compared with the existing assets at reasonable intervals and appropriate action is taken with respect to any differences, all to permit prevention or timely detection of unauthorized acquisition, use or disposition of assets that could have a material effect on the Company’s financial statements.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attempt to enter inaccurate or fraudulent information into the Company’s accounting system will not be tolerated and will result in disciplinary action, up to and including termination of employment.</w:t>
      </w:r>
    </w:p>
    <w:p>
      <w:pPr>
        <w:pStyle w:val="TextBody"/>
        <w:bidi w:val="0"/>
        <w:spacing w:before="0" w:after="0"/>
        <w:ind w:left="720" w:right="0" w:hanging="720"/>
        <w:jc w:val="both"/>
        <w:rPr>
          <w:caps/>
        </w:rPr>
      </w:pPr>
      <w:r>
        <w:rPr>
          <w:caps/>
        </w:rPr>
        <w:t> </w:t>
      </w:r>
    </w:p>
    <w:tbl>
      <w:tblPr>
        <w:tblW w:w="5000" w:type="pct"/>
        <w:jc w:val="left"/>
        <w:tblInd w:w="0" w:type="dxa"/>
        <w:tblLayout w:type="fixed"/>
        <w:tblCellMar>
          <w:top w:w="0" w:type="dxa"/>
          <w:left w:w="0" w:type="dxa"/>
          <w:bottom w:w="0" w:type="dxa"/>
          <w:right w:w="0" w:type="dxa"/>
        </w:tblCellMar>
      </w:tblPr>
      <w:tblGrid>
        <w:gridCol w:w="46"/>
        <w:gridCol w:w="247"/>
        <w:gridCol w:w="9912"/>
      </w:tblGrid>
      <w:tr>
        <w:trPr/>
        <w:tc>
          <w:tcPr>
            <w:tcW w:w="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caps/>
              </w:rPr>
            </w:pPr>
            <w:r>
              <w:rPr>
                <w:caps/>
              </w:rPr>
              <w:t>4.</w:t>
            </w:r>
          </w:p>
        </w:tc>
        <w:tc>
          <w:tcPr>
            <w:tcW w:w="9912" w:type="dxa"/>
            <w:tcBorders/>
            <w:vAlign w:val="center"/>
          </w:tcPr>
          <w:p>
            <w:pPr>
              <w:pStyle w:val="TableContents"/>
              <w:bidi w:val="0"/>
              <w:spacing w:before="0" w:after="283"/>
              <w:jc w:val="both"/>
              <w:rPr/>
            </w:pPr>
            <w:r>
              <w:rPr/>
              <w:t>Special Ethics Obligations For Employees With Financial Reporting Responsibilities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Senior Officer bears a special responsibility for promoting integrity throughout the Company. Furthermore, Senior Officers have a responsibility to foster a culture throughout the Company as a whole that ensures the fair and timely reporting of the Company’s results of operation and financial condition and other financial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this special role, Senior Officers are bound by the following Senior Officer Code of Ethics, and by accepting this Code each agrees that he or she will:</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7"/>
        <w:gridCol w:w="9830"/>
      </w:tblGrid>
      <w:tr>
        <w:trPr/>
        <w:tc>
          <w:tcPr>
            <w:tcW w:w="6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both"/>
              <w:rPr/>
            </w:pPr>
            <w:r>
              <w:rPr/>
              <w:t>perform his or her duties in an honest and ethical manner;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handle all actual or apparent conflicts of interest between his or her personal and professional relationships in an ethical manner;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take all necessary actions to ensure full, fair, accurate, timely and understandable disclosure in reports and documents that the Company files with, or submits to, government agencies and in other public communications;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4"/>
        <w:gridCol w:w="9981"/>
      </w:tblGrid>
      <w:tr>
        <w:trPr/>
        <w:tc>
          <w:tcPr>
            <w:tcW w:w="4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1" w:type="dxa"/>
            <w:tcBorders/>
            <w:vAlign w:val="center"/>
          </w:tcPr>
          <w:p>
            <w:pPr>
              <w:pStyle w:val="TableContents"/>
              <w:bidi w:val="0"/>
              <w:spacing w:before="0" w:after="283"/>
              <w:jc w:val="both"/>
              <w:rPr/>
            </w:pPr>
            <w:r>
              <w:rPr/>
              <w:t>comply with all applicable laws, rules and regulations of federal, state and local governments;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0"/>
        <w:gridCol w:w="9948"/>
      </w:tblGrid>
      <w:tr>
        <w:trPr/>
        <w:tc>
          <w:tcPr>
            <w:tcW w:w="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8" w:type="dxa"/>
            <w:tcBorders/>
            <w:vAlign w:val="center"/>
          </w:tcPr>
          <w:p>
            <w:pPr>
              <w:pStyle w:val="TableContents"/>
              <w:bidi w:val="0"/>
              <w:spacing w:before="0" w:after="283"/>
              <w:jc w:val="both"/>
              <w:rPr/>
            </w:pPr>
            <w:r>
              <w:rPr/>
              <w:t>proactively promote and be an example of ethical behavior in the work environment.</w:t>
            </w:r>
          </w:p>
        </w:tc>
      </w:tr>
    </w:tbl>
    <w:p>
      <w:pPr>
        <w:pStyle w:val="TextBody"/>
        <w:bidi w:val="0"/>
        <w:spacing w:before="0" w:after="0"/>
        <w:ind w:left="720" w:right="0" w:hanging="720"/>
        <w:jc w:val="both"/>
        <w:rPr>
          <w:caps/>
        </w:rPr>
      </w:pPr>
      <w:r>
        <w:rPr>
          <w:caps/>
        </w:rPr>
        <w:t> </w:t>
      </w:r>
    </w:p>
    <w:tbl>
      <w:tblPr>
        <w:tblW w:w="5000" w:type="pct"/>
        <w:jc w:val="left"/>
        <w:tblInd w:w="0" w:type="dxa"/>
        <w:tblLayout w:type="fixed"/>
        <w:tblCellMar>
          <w:top w:w="0" w:type="dxa"/>
          <w:left w:w="0" w:type="dxa"/>
          <w:bottom w:w="0" w:type="dxa"/>
          <w:right w:w="0" w:type="dxa"/>
        </w:tblCellMar>
      </w:tblPr>
      <w:tblGrid>
        <w:gridCol w:w="224"/>
        <w:gridCol w:w="1181"/>
        <w:gridCol w:w="8800"/>
      </w:tblGrid>
      <w:tr>
        <w:trPr/>
        <w:tc>
          <w:tcPr>
            <w:tcW w:w="22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caps/>
              </w:rPr>
            </w:pPr>
            <w:r>
              <w:rPr>
                <w:caps/>
              </w:rPr>
              <w:t>5.</w:t>
            </w:r>
          </w:p>
        </w:tc>
        <w:tc>
          <w:tcPr>
            <w:tcW w:w="8800" w:type="dxa"/>
            <w:tcBorders/>
            <w:vAlign w:val="center"/>
          </w:tcPr>
          <w:p>
            <w:pPr>
              <w:pStyle w:val="TableContents"/>
              <w:bidi w:val="0"/>
              <w:spacing w:before="0" w:after="283"/>
              <w:jc w:val="both"/>
              <w:rPr/>
            </w:pPr>
            <w:r>
              <w:rPr/>
              <w:t>Insider Trading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should never trade securities on the basis of confidential information acquired through your employment or fiduciary relationship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prohibited under both federal law and Company policy from purchasing or selling Company stock, directly or indirectly, on the basis of material non-public information concerning the Company. Any person possessing material non-public information about the Company must not engage in transactions involving Company securities until this information has been released to the public. Generally, material information is that which would be expected to affect the investment decisions of a reasonable investor or the market price of the stock. You must also refrain from trading in the stock of other publicly held companies, such as existing or potential customers or suppliers, on the basis of material confidential information obtained in the course of your employment or service as a director. It is also illegal to recommend a stock to (i.e., “tip”) someone else on the basis of such information. If you have a question concerning the appropriateness or legality of a particular securities transaction, consult with the Company’s Compliance Officer. Officers, directors and certain other employees of the Company are subject to additional responsibilities under the Company’s insider trading compliance policy, a copy of which has been provided to each such officer, director and employee, and which can be obtained from the Company’s Compliance Officer.</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720" w:right="0" w:hanging="720"/>
        <w:jc w:val="both"/>
        <w:rPr>
          <w:caps/>
        </w:rPr>
      </w:pPr>
      <w:r>
        <w:rPr>
          <w:caps/>
        </w:rPr>
        <w:t> </w:t>
      </w:r>
    </w:p>
    <w:tbl>
      <w:tblPr>
        <w:tblW w:w="5000" w:type="pct"/>
        <w:jc w:val="left"/>
        <w:tblInd w:w="0" w:type="dxa"/>
        <w:tblLayout w:type="fixed"/>
        <w:tblCellMar>
          <w:top w:w="0" w:type="dxa"/>
          <w:left w:w="0" w:type="dxa"/>
          <w:bottom w:w="0" w:type="dxa"/>
          <w:right w:w="0" w:type="dxa"/>
        </w:tblCellMar>
      </w:tblPr>
      <w:tblGrid>
        <w:gridCol w:w="79"/>
        <w:gridCol w:w="417"/>
        <w:gridCol w:w="9709"/>
      </w:tblGrid>
      <w:tr>
        <w:trPr/>
        <w:tc>
          <w:tcPr>
            <w:tcW w:w="7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caps/>
              </w:rPr>
            </w:pPr>
            <w:r>
              <w:rPr>
                <w:caps/>
              </w:rPr>
              <w:t>6.</w:t>
            </w:r>
          </w:p>
        </w:tc>
        <w:tc>
          <w:tcPr>
            <w:tcW w:w="9709" w:type="dxa"/>
            <w:tcBorders/>
            <w:vAlign w:val="center"/>
          </w:tcPr>
          <w:p>
            <w:pPr>
              <w:pStyle w:val="TableContents"/>
              <w:bidi w:val="0"/>
              <w:spacing w:before="0" w:after="283"/>
              <w:jc w:val="both"/>
              <w:rPr/>
            </w:pPr>
            <w:r>
              <w:rPr/>
              <w:t>Conflicts of Interest and Corporate Opportunities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must avoid any situation in which your personal interests conflict or even appear to conflict with the Company’s interests. You owe a duty to the Company not to compromise the Company’s legitimate interests and to advance such interests when the opportunity to do so arises in the course of your employment.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shall perform your duties to the Company in an honest and ethical manner. You shall handle all actual or apparent conflicts of interest between your personal and professional relationships in an ethical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avoid situations in which your personal, family or financial interests conflict or even appear to conflict with those of the Company. You may not engage in activities that compete with the Company or compromise its interests. You should not take for your own benefit opportunities discovered in the course of employment that you have reason to know would benefit the Company. The following are examples of actual or potential conflicts: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you, or a member of your family, receive improper personal benefits as a result of your position in the Company;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0"/>
        <w:gridCol w:w="9838"/>
      </w:tblGrid>
      <w:tr>
        <w:trPr/>
        <w:tc>
          <w:tcPr>
            <w:tcW w:w="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w:t>
            </w:r>
          </w:p>
        </w:tc>
        <w:tc>
          <w:tcPr>
            <w:tcW w:w="9838" w:type="dxa"/>
            <w:tcBorders/>
            <w:vAlign w:val="center"/>
          </w:tcPr>
          <w:p>
            <w:pPr>
              <w:pStyle w:val="TableContents"/>
              <w:bidi w:val="0"/>
              <w:spacing w:before="0" w:after="283"/>
              <w:jc w:val="both"/>
              <w:rPr/>
            </w:pPr>
            <w:r>
              <w:rPr/>
              <w:t>you use the Company’s property for your personal benefit;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you engage in activities that interfere with your loyalty to the Company or your ability to perform Company duties or responsibilities effectively;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you work simultaneously (whether as an employee or a consultant) for a competitor, customer or supplier;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you, or a member of your family, have a financial interest in a customer, supplier or competitor which is significant enough to cause divided loyalty with the Company or the appearance of divided loyalty (the significance of a financial interest depends on many factors, such as the size of the investment in relation to your income, net worth and/or financial needs, your potential to influence decisions that could impact your interests, and the nature of the business or level of competition between the Company and the supplier, customer or competitor);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you, or a member of your family, acquire an interest in property (such as real estate, patent or other intellectual property rights or securities) in which you have reason to know the Company has, or might have, a legitimate interest;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you, or a member of your family, receive a loan or a guarantee of a loan from a customer, supplier or competitor (other than a loan from a financial institution made in the ordinary course of business and on an arm’s-length basis);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you divulge or use the Company’s confidential information – such as financial data, customer information, or computer programs – for your own personal or business purposes;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you make gifts or payments, or provide special favors, to customers, suppliers or competitors (or their immediate family members) with a value significant enough to cause the customer, supplier or competitor to make a purchase, or take or forego other action, which is beneficial to the Company and which the customer, supplier or competitor would not otherwise have taken;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you are given the right to buy stock in other companies or you receive cash or other payments in return for promoting the services of an advisor, such as an investment banker, to the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you, nor members of your immediate family, are permitted to solicit or accept valuable gifts, payments, special favors or other consideration from customers, suppliers or competitors. Any gifts may be accepted only on behalf of the Company with the approval of your manager and the Compliance Officer. Any gifts should be turned over to Human Resources for appropriate distribution. Any exchange of gifts must be conducted so that there is no appearance of impropriety. Gifts may be given only in compliance with the Foreign Corrupt Practices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Conflicts are not always clear-cut. If you become aware of a conflict described above or any other conflict, potential conflict, or have a question as to a potential conflict, you should consult with your manager or the Company’s Compliance Officer and/or follow the procedures described in Sections 10 and 11 of this Code. If you become involved in a situation that gives rise to an actual conflict, you </w:t>
      </w:r>
      <w:r>
        <w:rPr>
          <w:rFonts w:ascii="Times New Roman;Times;Serif" w:hAnsi="Times New Roman;Times;Serif"/>
          <w:b/>
          <w:i w:val="false"/>
          <w:caps w:val="false"/>
          <w:smallCaps w:val="false"/>
          <w:sz w:val="20"/>
        </w:rPr>
        <w:t>must</w:t>
      </w:r>
      <w:r>
        <w:rPr>
          <w:rFonts w:ascii="Times New Roman;Times;Serif" w:hAnsi="Times New Roman;Times;Serif"/>
          <w:b w:val="false"/>
          <w:i w:val="false"/>
          <w:caps w:val="false"/>
          <w:smallCaps w:val="false"/>
          <w:sz w:val="20"/>
        </w:rPr>
        <w:t xml:space="preserve"> inform your supervisor or the Company’s Compliance Officer of the conflict.</w:t>
      </w:r>
    </w:p>
    <w:p>
      <w:pPr>
        <w:pStyle w:val="TextBody"/>
        <w:bidi w:val="0"/>
        <w:spacing w:before="0" w:after="0"/>
        <w:ind w:left="720" w:right="0" w:hanging="720"/>
        <w:jc w:val="both"/>
        <w:rPr>
          <w:caps/>
        </w:rPr>
      </w:pPr>
      <w:r>
        <w:rPr>
          <w:caps/>
        </w:rPr>
        <w:t> </w:t>
      </w:r>
    </w:p>
    <w:tbl>
      <w:tblPr>
        <w:tblW w:w="5000" w:type="pct"/>
        <w:jc w:val="left"/>
        <w:tblInd w:w="0" w:type="dxa"/>
        <w:tblLayout w:type="fixed"/>
        <w:tblCellMar>
          <w:top w:w="0" w:type="dxa"/>
          <w:left w:w="0" w:type="dxa"/>
          <w:bottom w:w="0" w:type="dxa"/>
          <w:right w:w="0" w:type="dxa"/>
        </w:tblCellMar>
      </w:tblPr>
      <w:tblGrid>
        <w:gridCol w:w="230"/>
        <w:gridCol w:w="1212"/>
        <w:gridCol w:w="8763"/>
      </w:tblGrid>
      <w:tr>
        <w:trPr/>
        <w:tc>
          <w:tcPr>
            <w:tcW w:w="23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caps/>
              </w:rPr>
            </w:pPr>
            <w:r>
              <w:rPr>
                <w:caps/>
              </w:rPr>
              <w:t>7.</w:t>
            </w:r>
          </w:p>
        </w:tc>
        <w:tc>
          <w:tcPr>
            <w:tcW w:w="8763" w:type="dxa"/>
            <w:tcBorders/>
            <w:vAlign w:val="center"/>
          </w:tcPr>
          <w:p>
            <w:pPr>
              <w:pStyle w:val="TableContents"/>
              <w:bidi w:val="0"/>
              <w:spacing w:before="0" w:after="283"/>
              <w:jc w:val="both"/>
              <w:rPr/>
            </w:pPr>
            <w:r>
              <w:rPr/>
              <w:t>Confidentiality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 confidential information concerning the Company obtained by you is the property of the Company and must be protected.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information includes all non-public information that might be of use to competitors, or harmful to the Company or its customers, if disclosed. You must maintain the confidentiality of such information entrusted to you by the Company, its customers and its suppliers, except when disclosure is authorized by the Company or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Examples of confidential information include, but are not limited to: the Company’s trade secrets; business trends and projections; information about financial performance; new product or marketing plans; research and development ideas or information; manufacturing processes; information about potential acquisitions, divestitures and investments; stock splits, public or private securities offerings or changes in dividend policies or amounts; significant personnel changes; and existing or potential major contracts, orders, suppliers, customers or finance sources or the loss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obligation with respect to confidential information extends beyond the workplace. In that respect, it applies to communications with your family members and continues to apply even after your employment or director relationship with the Company terminates.</w:t>
      </w:r>
    </w:p>
    <w:p>
      <w:pPr>
        <w:pStyle w:val="TextBody"/>
        <w:bidi w:val="0"/>
        <w:spacing w:before="0" w:after="0"/>
        <w:ind w:left="720" w:right="0" w:hanging="720"/>
        <w:jc w:val="both"/>
        <w:rPr>
          <w:caps/>
        </w:rPr>
      </w:pPr>
      <w:r>
        <w:rPr>
          <w:caps/>
        </w:rPr>
        <w:t> </w:t>
      </w:r>
    </w:p>
    <w:tbl>
      <w:tblPr>
        <w:tblW w:w="5000" w:type="pct"/>
        <w:jc w:val="left"/>
        <w:tblInd w:w="0" w:type="dxa"/>
        <w:tblLayout w:type="fixed"/>
        <w:tblCellMar>
          <w:top w:w="0" w:type="dxa"/>
          <w:left w:w="0" w:type="dxa"/>
          <w:bottom w:w="0" w:type="dxa"/>
          <w:right w:w="0" w:type="dxa"/>
        </w:tblCellMar>
      </w:tblPr>
      <w:tblGrid>
        <w:gridCol w:w="265"/>
        <w:gridCol w:w="1400"/>
        <w:gridCol w:w="8540"/>
      </w:tblGrid>
      <w:tr>
        <w:trPr/>
        <w:tc>
          <w:tcPr>
            <w:tcW w:w="26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caps/>
              </w:rPr>
            </w:pPr>
            <w:r>
              <w:rPr>
                <w:caps/>
              </w:rPr>
              <w:t>8.</w:t>
            </w:r>
          </w:p>
        </w:tc>
        <w:tc>
          <w:tcPr>
            <w:tcW w:w="8540" w:type="dxa"/>
            <w:tcBorders/>
            <w:vAlign w:val="center"/>
          </w:tcPr>
          <w:p>
            <w:pPr>
              <w:pStyle w:val="TableContents"/>
              <w:bidi w:val="0"/>
              <w:spacing w:before="0" w:after="283"/>
              <w:jc w:val="both"/>
              <w:rPr/>
            </w:pPr>
            <w:r>
              <w:rPr/>
              <w:t>Fair Dealing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goal is to conduct our business with integrity.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endeavor to deal honestly with the Company’s customers, suppliers, competitors and employees. Under federal and state laws, the Company is prohibited from engaging in unfair methods of competition, and unfair or deceptive acts and practices. You should not take unfair advantage of anyone through manipulation, concealment, abuse of privileged information, misrepresentation of material facts, or any other unfair dealing.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Examples of prohibited conduct include, but are not limited to:</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7"/>
        <w:gridCol w:w="9903"/>
      </w:tblGrid>
      <w:tr>
        <w:trPr/>
        <w:tc>
          <w:tcPr>
            <w:tcW w:w="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w:t>
            </w:r>
          </w:p>
        </w:tc>
        <w:tc>
          <w:tcPr>
            <w:tcW w:w="9903" w:type="dxa"/>
            <w:tcBorders/>
            <w:vAlign w:val="center"/>
          </w:tcPr>
          <w:p>
            <w:pPr>
              <w:pStyle w:val="TableContents"/>
              <w:bidi w:val="0"/>
              <w:spacing w:before="0" w:after="283"/>
              <w:jc w:val="both"/>
              <w:rPr/>
            </w:pPr>
            <w:r>
              <w:rPr/>
              <w:t>bribery or payoffs to induce business or breaches of contracts by others;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6"/>
        <w:gridCol w:w="9856"/>
      </w:tblGrid>
      <w:tr>
        <w:trPr/>
        <w:tc>
          <w:tcPr>
            <w:tcW w:w="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w:t>
            </w:r>
          </w:p>
        </w:tc>
        <w:tc>
          <w:tcPr>
            <w:tcW w:w="9856" w:type="dxa"/>
            <w:tcBorders/>
            <w:vAlign w:val="center"/>
          </w:tcPr>
          <w:p>
            <w:pPr>
              <w:pStyle w:val="TableContents"/>
              <w:bidi w:val="0"/>
              <w:spacing w:before="0" w:after="283"/>
              <w:jc w:val="both"/>
              <w:rPr/>
            </w:pPr>
            <w:r>
              <w:rPr/>
              <w:t>acquiring a competitor’s trade secrets through bribery or theft;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making false, deceptive or disparaging claims or comparisons about competitors or their products or services;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523"/>
        <w:gridCol w:w="9566"/>
      </w:tblGrid>
      <w:tr>
        <w:trPr/>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pPr>
            <w:r>
              <w:rPr/>
              <w:t>●</w:t>
            </w:r>
          </w:p>
        </w:tc>
        <w:tc>
          <w:tcPr>
            <w:tcW w:w="9566" w:type="dxa"/>
            <w:tcBorders/>
            <w:vAlign w:val="center"/>
          </w:tcPr>
          <w:p>
            <w:pPr>
              <w:pStyle w:val="TableContents"/>
              <w:bidi w:val="0"/>
              <w:spacing w:before="0" w:after="283"/>
              <w:jc w:val="both"/>
              <w:rPr/>
            </w:pPr>
            <w:r>
              <w:rPr/>
              <w:t>mislabeling products or services.</w:t>
            </w:r>
          </w:p>
        </w:tc>
      </w:tr>
    </w:tbl>
    <w:p>
      <w:pPr>
        <w:pStyle w:val="TextBody"/>
        <w:bidi w:val="0"/>
        <w:spacing w:before="0" w:after="0"/>
        <w:ind w:left="720" w:right="0" w:hanging="720"/>
        <w:jc w:val="both"/>
        <w:rPr>
          <w:caps/>
        </w:rPr>
      </w:pPr>
      <w:r>
        <w:rPr>
          <w:caps/>
        </w:rPr>
        <w:t> </w:t>
      </w:r>
    </w:p>
    <w:tbl>
      <w:tblPr>
        <w:tblW w:w="5000" w:type="pct"/>
        <w:jc w:val="left"/>
        <w:tblInd w:w="0" w:type="dxa"/>
        <w:tblLayout w:type="fixed"/>
        <w:tblCellMar>
          <w:top w:w="0" w:type="dxa"/>
          <w:left w:w="0" w:type="dxa"/>
          <w:bottom w:w="0" w:type="dxa"/>
          <w:right w:w="0" w:type="dxa"/>
        </w:tblCellMar>
      </w:tblPr>
      <w:tblGrid>
        <w:gridCol w:w="82"/>
        <w:gridCol w:w="436"/>
        <w:gridCol w:w="9687"/>
      </w:tblGrid>
      <w:tr>
        <w:trPr/>
        <w:tc>
          <w:tcPr>
            <w:tcW w:w="8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caps/>
              </w:rPr>
            </w:pPr>
            <w:r>
              <w:rPr>
                <w:caps/>
              </w:rPr>
              <w:t>9.</w:t>
            </w:r>
          </w:p>
        </w:tc>
        <w:tc>
          <w:tcPr>
            <w:tcW w:w="9687" w:type="dxa"/>
            <w:tcBorders/>
            <w:vAlign w:val="center"/>
          </w:tcPr>
          <w:p>
            <w:pPr>
              <w:pStyle w:val="TableContents"/>
              <w:bidi w:val="0"/>
              <w:spacing w:before="0" w:after="283"/>
              <w:jc w:val="both"/>
              <w:rPr/>
            </w:pPr>
            <w:r>
              <w:rPr/>
              <w:t>Protection and Proper Use of Company Assets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should endeavor to protect the Company’s assets and ensure their proper 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assets, both tangible and intangible, are to be used only for legitimate business purposes of the Company and only by authorized employees or consultants. Intangible assets include intellectual property such as trade secrets, patents, trademarks and copyrights, business, marketing and service plans, engineering and manufacturing ideas, designs, databases, Company records, salary information, and any unpublished financial data and reports. Unauthorized alteration, destruction, use, disclosure or distribution of Company assets violates Company policy and this Code. Theft or waste of, or carelessness in using, these assets have a direct adverse impact on the Company’s operations and profitability and will not be tolerated.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computers, voice mail, electronic mail (e-mail) and Internet access to employees for the purpose of achieving the Company’s business objectives. As a result, the Company has the right to access, reprint, publish, or retain any information created, sent or contained in any of the Company’s computers or e-mail systems of any Company machine. You may not use e-mail, the Internet or voice mail for any illegal purpose or in any manner that is contrary to the Company’s policies or the standards embodied in this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make copies of, resell or transfer copyrighted publications, including software, manuals, articles, books and databases being used in the Company, that were created by another entity and licensed to the Company, unless you are authorized to do so under the applicable license agreement. In no event should you load or use, on any Company computer, any software, third party content or database without receiving the prior written permission of the Compliance Officer to do so. You must refrain from transferring any data or information to any Company computer other than for Company use. You may use a handheld computing device or mobile phone in connection with your work for the Company, but must not use such device or phone to access, load or transfer content, software or data in violation of any applicable law or regulation or without the permission of the owner of such content, software or data. If you should have any question as to what is permitted in this regard, please consult with the Company’s Compliance Officer.</w:t>
      </w:r>
    </w:p>
    <w:p>
      <w:pPr>
        <w:pStyle w:val="TextBody"/>
        <w:bidi w:val="0"/>
        <w:spacing w:before="0" w:after="0"/>
        <w:ind w:left="720" w:right="0" w:hanging="720"/>
        <w:jc w:val="both"/>
        <w:rPr>
          <w:caps/>
        </w:rPr>
      </w:pPr>
      <w:r>
        <w:rPr>
          <w:caps/>
        </w:rPr>
        <w:t> </w:t>
      </w:r>
    </w:p>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caps/>
              </w:rPr>
            </w:pPr>
            <w:r>
              <w:rPr>
                <w:caps/>
              </w:rPr>
              <w:t>10.</w:t>
            </w:r>
          </w:p>
        </w:tc>
        <w:tc>
          <w:tcPr>
            <w:tcW w:w="9859" w:type="dxa"/>
            <w:tcBorders/>
            <w:vAlign w:val="center"/>
          </w:tcPr>
          <w:p>
            <w:pPr>
              <w:pStyle w:val="TableContents"/>
              <w:bidi w:val="0"/>
              <w:spacing w:before="0" w:after="283"/>
              <w:jc w:val="both"/>
              <w:rPr/>
            </w:pPr>
            <w:r>
              <w:rPr/>
              <w:t>Reporting Violations of Company Policies and Receipt of Complaints Regarding Financial Reporting or Accounting Issues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should report any violation or suspected violation of this Code to the appropriate Company personnel or via the Company’s anonymous and confidential reporting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efforts to ensure observance of, and adherence to, the goals and policies outlined in this Code mandate that you promptly bring to the attention of your manager and/or a more senior employee of the Company, any material transaction, relationship, act, failure to act, occurrence or practice that you believe, in good faith, is inconsistent with, in violation of, or reasonably could be expected to give rise to a violation of, this Code. You should report any suspected violations of the Company’s financial reporting obligations or any complaints or concerns about questionable accounting or auditing practices in accordance with the procedures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 are some approaches to handling your reporting obligations: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the event you believe a violation of this Code, or a violation of applicable laws and/or governmental regulations, has occurred, or you have observed or become aware of conduct which appears to be contrary to this Code, immediately report the situation to your supervisor. Supervisors who receive any report of a suspected violation must report the matter to the General Counsel.</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If you have or receive notice of a complaint or concern regarding the Company’s financial disclosure, accounting practices, internal accounting controls, auditing, or questionable accounting or auditing matters, you </w:t>
            </w:r>
            <w:r>
              <w:rPr>
                <w:b/>
              </w:rPr>
              <w:t>must</w:t>
            </w:r>
            <w:r>
              <w:rPr/>
              <w:t xml:space="preserve"> immediately advise your supervisor.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7"/>
        <w:gridCol w:w="9989"/>
      </w:tblGrid>
      <w:tr>
        <w:trPr/>
        <w:tc>
          <w:tcPr>
            <w:tcW w:w="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both"/>
              <w:rPr/>
            </w:pPr>
            <w:r>
              <w:rPr/>
              <w:t>If you wish to report any such matters anonymously or confidentially, then you may do so as follows:</w:t>
            </w:r>
          </w:p>
        </w:tc>
      </w:tr>
    </w:tbl>
    <w:p>
      <w:pPr>
        <w:pStyle w:val="TextBody"/>
        <w:bidi w:val="0"/>
        <w:spacing w:before="0" w:after="0"/>
        <w:ind w:left="180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0"/>
        <w:gridCol w:w="9924"/>
      </w:tblGrid>
      <w:tr>
        <w:trPr/>
        <w:tc>
          <w:tcPr>
            <w:tcW w:w="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24" w:type="dxa"/>
            <w:tcBorders/>
            <w:vAlign w:val="center"/>
          </w:tcPr>
          <w:p>
            <w:pPr>
              <w:pStyle w:val="TableContents"/>
              <w:bidi w:val="0"/>
              <w:spacing w:before="0" w:after="283"/>
              <w:jc w:val="left"/>
              <w:rPr/>
            </w:pPr>
            <w:r>
              <w:rPr/>
              <w:t>Mail a description of the suspected violation or other complaint or concern to:</w:t>
            </w:r>
          </w:p>
        </w:tc>
      </w:tr>
    </w:tbl>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 Chair</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5661 S Cameron St, Suite 100,</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w:t>
      </w:r>
    </w:p>
    <w:p>
      <w:pPr>
        <w:pStyle w:val="TextBody"/>
        <w:bidi w:val="0"/>
        <w:spacing w:before="0" w:after="0"/>
        <w:ind w:left="180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326"/>
        <w:gridCol w:w="9807"/>
      </w:tblGrid>
      <w:tr>
        <w:trPr/>
        <w:tc>
          <w:tcPr>
            <w:tcW w:w="7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w:t>
            </w:r>
          </w:p>
        </w:tc>
        <w:tc>
          <w:tcPr>
            <w:tcW w:w="9807" w:type="dxa"/>
            <w:tcBorders/>
            <w:vAlign w:val="center"/>
          </w:tcPr>
          <w:p>
            <w:pPr>
              <w:pStyle w:val="TableContents"/>
              <w:bidi w:val="0"/>
              <w:spacing w:before="0" w:after="283"/>
              <w:jc w:val="both"/>
              <w:rPr/>
            </w:pPr>
            <w:r>
              <w:rPr/>
              <w:t>Call our toll free Compliance Hotline at: [_________</w:t>
            </w:r>
            <w:r>
              <w:rPr>
                <w:shd w:fill="FFFFFF" w:val="clear"/>
              </w:rPr>
              <w: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u w:val="single"/>
              </w:rPr>
              <w:t>Use common sense and good judgment; Act in good faith</w:t>
            </w:r>
            <w:r>
              <w:rPr/>
              <w:t>. You are expected to become familiar with and to understand the requirements of this Code. If you become aware of a suspected violation, don’t try to investigate it or resolve it on your own. Prompt disclosure to the appropriate parties is vital to ensuring a thorough and timely investigation and resolution. The circumstances should be reviewed by appropriate personnel as promptly as possible, and delay may affect the results of any investigation. A violation of this Code, or of applicable laws and/or governmental regulations, is a serious matter and could have legal implications. Allegations of such behavior are not taken lightly and should not be made to embarrass someone or put him or her in a false light. Reports of suspected violations should always be made in good faith.</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u w:val="single"/>
              </w:rPr>
              <w:t>Internal investigation</w:t>
            </w:r>
            <w:r>
              <w:rPr/>
              <w:t>. When an alleged violation of this Code, applicable laws and/or governmental regulations is reported, the Company will take appropriate action in accordance with the compliance procedures outlined in Section 11 of this Code. You are expected to cooperate in any internal investigations of alleged misconduct or violations of this Code or of applicable laws or regulations.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u w:val="single"/>
              </w:rPr>
              <w:t>No fear of retaliation</w:t>
            </w:r>
            <w:r>
              <w:rPr/>
              <w:t>. The Company strictly prohibits discrimination, retaliation or harassment of any kind by any Company officer, director, employee or agent against any person who provides truthful information to a Company or law enforcement official concerning a possible violation of any law, regulation or Company policy, including this Code. Persons who discriminate, retaliate or harass may be subject to civil, criminal and administrative penalties, as well as disciplinary action, up to and including termination of employment. In cases in which you report a suspected violation in good faith and are not engaged in the questionable conduct, the Company will attempt to keep its discussions with you confidential to the extent reasonably possible. In the course of its investigation, the Company may find it necessary to share information with others on a “need to know” basis. No retaliation shall be taken against you for reporting alleged violations while acting in good faith.</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bidi w:val="0"/>
        <w:spacing w:before="0" w:after="0"/>
        <w:ind w:left="720" w:right="0" w:hanging="720"/>
        <w:jc w:val="both"/>
        <w:rPr>
          <w:caps/>
        </w:rPr>
      </w:pPr>
      <w:r>
        <w:rPr>
          <w:caps/>
        </w:rPr>
        <w:t> </w:t>
      </w:r>
    </w:p>
    <w:tbl>
      <w:tblPr>
        <w:tblW w:w="5000" w:type="pct"/>
        <w:jc w:val="left"/>
        <w:tblInd w:w="0" w:type="dxa"/>
        <w:tblLayout w:type="fixed"/>
        <w:tblCellMar>
          <w:top w:w="0" w:type="dxa"/>
          <w:left w:w="0" w:type="dxa"/>
          <w:bottom w:w="0" w:type="dxa"/>
          <w:right w:w="0" w:type="dxa"/>
        </w:tblCellMar>
      </w:tblPr>
      <w:tblGrid>
        <w:gridCol w:w="146"/>
        <w:gridCol w:w="1236"/>
        <w:gridCol w:w="8823"/>
      </w:tblGrid>
      <w:tr>
        <w:trPr/>
        <w:tc>
          <w:tcPr>
            <w:tcW w:w="14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caps/>
              </w:rPr>
            </w:pPr>
            <w:r>
              <w:rPr>
                <w:caps/>
              </w:rPr>
              <w:t>11.</w:t>
            </w:r>
          </w:p>
        </w:tc>
        <w:tc>
          <w:tcPr>
            <w:tcW w:w="8823" w:type="dxa"/>
            <w:tcBorders/>
            <w:vAlign w:val="center"/>
          </w:tcPr>
          <w:p>
            <w:pPr>
              <w:pStyle w:val="TableContents"/>
              <w:bidi w:val="0"/>
              <w:spacing w:before="0" w:after="283"/>
              <w:jc w:val="both"/>
              <w:rPr/>
            </w:pPr>
            <w:r>
              <w:rPr/>
              <w:t>Compliance Procedures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this Code as part of its overall policies and procedures. To the extent that other Company policies and procedures conflict with this Code, you should follow this Code. This Code applies to all Company directors and Company employees, including officers, in all locations.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Code is based on the Company’s core values, good business practices and applicable law. The existence of this Code, however, does not ensure that directors, officers and employees will comply with it or act in a legal and ethical manner. To achieve optimal legal and ethical behavior, individuals who are subject to this Code must know and understand this Code as it applies to them and as it applies to others. You must champion this Code and assist others in knowing and understanding it.</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u w:val="single"/>
              </w:rPr>
              <w:t>Compliance</w:t>
            </w:r>
            <w:r>
              <w:rPr/>
              <w:t>. You are expected to become familiar with and understand the requirements of this Code. Most importantly, you must comply with it.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u w:val="single"/>
              </w:rPr>
              <w:t>CEO Responsibility</w:t>
            </w:r>
            <w:r>
              <w:rPr/>
              <w:t>. The Company’s CEO shall be responsible for ensuring that this Code is established and effectively communicated to all employees, officers and directors. Although the day-to-day compliance issues will be the responsibility of the Company’s managers, the CEO has ultimate accountability with respect to the overall implementation of and successful compliance with this Code.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u w:val="single"/>
              </w:rPr>
              <w:t>Corporate Compliance Management</w:t>
            </w:r>
            <w:r>
              <w:rPr/>
              <w:t>. The CEO shall select an employee to act as the Corporate Compliance Officer. The Corporate Compliance Officer is currently Clinton Oas. The Compliance Officer is charged with ensuring communication about, training on, monitoring of, and overall compliance with this Code. The Compliance Officer will, with the assistance and cooperation of the Company’s officers, directors and managers, foster an atmosphere where employees are comfortable in communicating and/or reporting concerns and possible Code violations.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u w:val="single"/>
              </w:rPr>
              <w:t>Internal Reporting of Violations</w:t>
            </w:r>
            <w:r>
              <w:rPr/>
              <w:t>. The Company’s efforts to ensure observance of, and adherence to, the goals and policies outlined in this Code mandate that all employees, officers and directors of the Company report suspected violations in accordance with Section 10 of this Code.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u w:val="single"/>
              </w:rPr>
              <w:t>Screening of Employees</w:t>
            </w:r>
            <w:r>
              <w:rPr/>
              <w:t>. The Company shall exercise due diligence when hiring and promoting employees and, in particular, when conducting an employment search for a position involving the exercise of substantial discretionary authority, such as a member of the executive team, a senior management position or an employee with financial management responsibilities. The Company shall make reasonable inquiries into the background of each individual who is a candidate for such a position. All such inquiries shall be made in accordance with applicable law and good business practice.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u w:val="single"/>
              </w:rPr>
              <w:t>Access to this Code</w:t>
            </w:r>
            <w:r>
              <w:rPr/>
              <w:t>. The Company shall ensure that employees, officers and directors may access this Code on the Company’s website. In addition, each current employee will be provided with a copy of this Code. New employees will receive a copy of this Code as part of their new hire information. From time to time, the Company will sponsor employee training programs in which this Code and other Company policies and procedures will be discussed.</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u w:val="single"/>
              </w:rPr>
              <w:t>Monitoring</w:t>
            </w:r>
            <w:r>
              <w:rPr/>
              <w:t>. The officers of the Company shall be responsible for reviewing this Code with all of the Company’s managers. In turn, the Company’s managers with supervisory responsibilities should review this Code with his/her direct reports. Managers are the “go to” persons for employee questions and concerns relating to this Code, especially in the event of a potential violation. Managers or supervisors will immediately report any violations or allegations of violations to the Compliance Officer. Managers will work with the Compliance Officer in assessing areas of concern, potential violations, any needs for enhancement of this Code or remedial actions to effect this Code’s policies and overall compliance with this Code and other related policies.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u w:val="single"/>
              </w:rPr>
              <w:t>Auditing</w:t>
            </w:r>
            <w:r>
              <w:rPr/>
              <w:t>. An internal audit team selected by the Audit Committee will be responsible for auditing the Company’s compliance with this Code.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u w:val="single"/>
              </w:rPr>
              <w:t>Internal Investigation</w:t>
            </w:r>
            <w:r>
              <w:rPr/>
              <w:t>. When an alleged violation of this Code is reported, the Company shall take prompt and appropriate action in accordance with the law and regulations and otherwise consistent with good business practice. If the suspected violation appears to involve either a possible violation of law or an issue of significant corporate interest, or if the report involves a complaint or concern of any person, whether employee, a stockholder or other interested person regarding the Company’s financial disclosure, internal accounting controls, questionable auditing or accounting matters or practices or other issues relating to the Company’s accounting or auditing, then the manager or investigator should immediately notify the Compliance Officer, who, in turn, shall notify the Chair of the Audit Committee, as applicable. If a suspected violation involves any director or executive officer or if the suspected violation concerns any fraud, whether or not material, involving management or other employees who have a significant role in the Company’s internal controls, any person who received such report should immediately report the alleged violation to the Compliance Officer, if appropriate, the Chief Executive Officer and/or Chief Financial Officer, and, in every such case, the Chair of the Audit Committee. The Compliance Officer or the Chair of the Audit Committee, as applicable, shall assess the situation and determine the appropriate course of action. At a point in the process consistent with the need not to compromise the investigation, a person who is suspected of a violation shall be apprised of the alleged violation and shall have an opportunity to provide a response to the investigator.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u w:val="single"/>
              </w:rPr>
              <w:t>Disciplinary Actions</w:t>
            </w:r>
            <w:r>
              <w:rPr/>
              <w:t>. Subject to the following sentence, the Compliance Officer, after consultation with the Legal Department, shall be responsible for implementing the appropriate disciplinary action in accordance with the Company’s policies and procedures for any employee who is found to have violated this Code. If a violation has been reported to the Audit Committee or another committee of the Board, that committee shall be responsible for determining appropriate disciplinary action. Any violation of applicable law or any deviation from the standards embodied in this Code will result in disciplinary action, up to and including termination of employment. Any employee engaged in the exercise of substantial discretionary authority, including any Senior Officer, who is found to have engaged in a violation of law or unethical conduct in connection with the performance of his or her duties for the Company, shall be removed from his or her position and not assigned to any other position involving the exercise of substantial discretionary authority. In addition to imposing discipline upon employees involved in non-compliant conduct, the Company also will impose discipline, as appropriate, upon an employee’s supervisor, if any, who directs or approves such employees’ improper actions, or is aware of those actions but does not act appropriately to correct them, and upon other individuals who fail to report known non-compliant conduct. In addition to imposing its own discipline, the Company will bring any violations of law to the attention of appropriate law enforcement personnel.</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u w:val="single"/>
              </w:rPr>
              <w:t>Retention of Reports and Complaints</w:t>
            </w:r>
            <w:r>
              <w:rPr/>
              <w:t>. All reports and complaints made to or received by the Compliance Officer or the Chair of the Audit Committee shall be logged into a record maintained for this purpose by the Compliance Officer and this record of such report shall be retained for five (5) years.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u w:val="single"/>
              </w:rPr>
              <w:t>Required Government Reporting</w:t>
            </w:r>
            <w:r>
              <w:rPr/>
              <w:t>. Whenever conduct occurs that requires a report to the government, the Compliance Officer shall be responsible for complying with such reporting requirements.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u w:val="single"/>
              </w:rPr>
              <w:t>Corrective Actions</w:t>
            </w:r>
            <w:r>
              <w:rPr/>
              <w:t>. Subject to the following sentence, in the event of a violation of this Code, the manager and the Compliance Officer should assess the situation to determine whether the violation demonstrates a problem that requires remedial action as to Company policies and procedures. If a violation has been reported to the Audit Committee or another committee of the Board, that committee shall be responsible for determining appropriate remedial or corrective actions. Such corrective action may include providing revised public disclosure, retraining Company employees, modifying Company policies and procedures, improving monitoring of compliance under existing procedures and other action necessary to detect similar non-compliant conduct and prevent it from occurring in the future. Such corrective action shall be documented, as appropriate.</w:t>
            </w:r>
          </w:p>
        </w:tc>
      </w:tr>
    </w:tbl>
    <w:p>
      <w:pPr>
        <w:pStyle w:val="TextBody"/>
        <w:bidi w:val="0"/>
        <w:spacing w:before="0" w:after="0"/>
        <w:ind w:left="720" w:right="0" w:hanging="720"/>
        <w:jc w:val="both"/>
        <w:rPr>
          <w:caps/>
        </w:rPr>
      </w:pPr>
      <w:r>
        <w:rPr>
          <w:caps/>
        </w:rPr>
        <w:t> </w:t>
      </w:r>
    </w:p>
    <w:tbl>
      <w:tblPr>
        <w:tblW w:w="5000" w:type="pct"/>
        <w:jc w:val="left"/>
        <w:tblInd w:w="0" w:type="dxa"/>
        <w:tblLayout w:type="fixed"/>
        <w:tblCellMar>
          <w:top w:w="0" w:type="dxa"/>
          <w:left w:w="0" w:type="dxa"/>
          <w:bottom w:w="0" w:type="dxa"/>
          <w:right w:w="0" w:type="dxa"/>
        </w:tblCellMar>
      </w:tblPr>
      <w:tblGrid>
        <w:gridCol w:w="57"/>
        <w:gridCol w:w="483"/>
        <w:gridCol w:w="9665"/>
      </w:tblGrid>
      <w:tr>
        <w:trPr/>
        <w:tc>
          <w:tcPr>
            <w:tcW w:w="5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caps/>
              </w:rPr>
            </w:pPr>
            <w:r>
              <w:rPr>
                <w:caps/>
              </w:rPr>
              <w:t>12.</w:t>
            </w:r>
          </w:p>
        </w:tc>
        <w:tc>
          <w:tcPr>
            <w:tcW w:w="9665" w:type="dxa"/>
            <w:tcBorders/>
            <w:vAlign w:val="center"/>
          </w:tcPr>
          <w:p>
            <w:pPr>
              <w:pStyle w:val="TableContents"/>
              <w:bidi w:val="0"/>
              <w:spacing w:before="0" w:after="283"/>
              <w:jc w:val="both"/>
              <w:rPr/>
            </w:pPr>
            <w:r>
              <w:rPr/>
              <w:t>Publication of this Code; Amendments to and Waivers of this Code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current version of this Code will be posted and maintained on the Company’s website. The Company’s Annual Report on Form 10-K shall disclose that the Code is maintained on the website and shall disclose that substantive amendments and waivers will also be posted on the Company’s website.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substantive amendment to or waiver of this Code (i.e., a material departure from the requirements of any provision) particularly applicable to or directed at executive officers or directors may be made only after approval by the Board of Directors, which may occur upon the recommendation of the Audit Committee, and will be disclosed within four (4) business days of such action on the Company’s website as well as via other means then required by the listing standards of the national securities exchange on which the Company’s securities are listed, or other applicable law. Such disclosure shall include the reasons for any waiver. The Company shall maintain disclosure relating to such amendment or waiver on its website for at least twelve (12) months and shall retain the disclosure relating to any such amendment or waiver for not less than five (5) years.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45" w:name="ea024660701ex21-1_cidhold.htm"/>
      <w:bookmarkStart w:id="46" w:name="ksea024660701ex211_cidhold"/>
      <w:bookmarkEnd w:id="45"/>
      <w:bookmarkEnd w:id="46"/>
      <w:r>
        <w:rPr>
          <w:b/>
        </w:rPr>
        <w:t>Exhibit 21.1</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 of CID HoldCo, Inc.</w:t>
      </w:r>
    </w:p>
    <w:p>
      <w:pPr>
        <w:pStyle w:val="TextBody"/>
        <w:bidi w:val="0"/>
        <w:spacing w:before="0" w:after="0"/>
        <w:ind w:left="0" w:right="0" w:hanging="0"/>
        <w:jc w:val="center"/>
        <w:rPr>
          <w:caps w:val="false"/>
          <w:smallCaps w:val="false"/>
        </w:rPr>
      </w:pPr>
      <w:r>
        <w:rPr>
          <w:caps w:val="false"/>
          <w:smallCaps w:val="false"/>
        </w:rPr>
        <w:t> </w:t>
      </w:r>
    </w:p>
    <w:tbl>
      <w:tblPr>
        <w:tblW w:w="5440" w:type="dxa"/>
        <w:jc w:val="left"/>
        <w:tblInd w:w="0" w:type="dxa"/>
        <w:tblLayout w:type="fixed"/>
        <w:tblCellMar>
          <w:top w:w="0" w:type="dxa"/>
          <w:left w:w="0" w:type="dxa"/>
          <w:bottom w:w="28" w:type="dxa"/>
          <w:right w:w="0" w:type="dxa"/>
        </w:tblCellMar>
      </w:tblPr>
      <w:tblGrid>
        <w:gridCol w:w="4145"/>
        <w:gridCol w:w="60"/>
        <w:gridCol w:w="1235"/>
      </w:tblGrid>
      <w:tr>
        <w:trPr/>
        <w:tc>
          <w:tcPr>
            <w:tcW w:w="4145" w:type="dxa"/>
            <w:tcBorders>
              <w:bottom w:val="single" w:sz="12" w:space="0" w:color="000000"/>
            </w:tcBorders>
            <w:vAlign w:val="center"/>
          </w:tcPr>
          <w:p>
            <w:pPr>
              <w:pStyle w:val="TableContents"/>
              <w:bidi w:val="0"/>
              <w:spacing w:before="0" w:after="283"/>
              <w:jc w:val="left"/>
              <w:rPr>
                <w:b/>
              </w:rPr>
            </w:pPr>
            <w:r>
              <w:rPr>
                <w:b/>
              </w:rPr>
              <w:t>Subsidiary</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12" w:space="0" w:color="000000"/>
            </w:tcBorders>
            <w:vAlign w:val="center"/>
          </w:tcPr>
          <w:p>
            <w:pPr>
              <w:pStyle w:val="TableContents"/>
              <w:bidi w:val="0"/>
              <w:spacing w:before="0" w:after="283"/>
              <w:jc w:val="center"/>
              <w:rPr>
                <w:b/>
              </w:rPr>
            </w:pPr>
            <w:r>
              <w:rPr>
                <w:b/>
              </w:rPr>
              <w:t>Jurisdiction</w:t>
            </w:r>
          </w:p>
        </w:tc>
      </w:tr>
      <w:tr>
        <w:trPr/>
        <w:tc>
          <w:tcPr>
            <w:tcW w:w="4145" w:type="dxa"/>
            <w:tcBorders/>
            <w:shd w:fill="CCEEFF" w:val="clear"/>
            <w:tcMar>
              <w:bottom w:w="0" w:type="dxa"/>
            </w:tcMar>
            <w:vAlign w:val="center"/>
          </w:tcPr>
          <w:p>
            <w:pPr>
              <w:pStyle w:val="TableContents"/>
              <w:bidi w:val="0"/>
              <w:spacing w:before="0" w:after="283"/>
              <w:jc w:val="left"/>
              <w:rPr/>
            </w:pPr>
            <w:r>
              <w:rPr/>
              <w:t>SEE ID,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Nevada</w:t>
            </w:r>
          </w:p>
        </w:tc>
      </w:tr>
      <w:tr>
        <w:trPr/>
        <w:tc>
          <w:tcPr>
            <w:tcW w:w="4145" w:type="dxa"/>
            <w:tcBorders/>
            <w:shd w:fill="FFFFFF" w:val="clear"/>
            <w:tcMar>
              <w:bottom w:w="0" w:type="dxa"/>
            </w:tcMar>
            <w:vAlign w:val="center"/>
          </w:tcPr>
          <w:p>
            <w:pPr>
              <w:pStyle w:val="TableContents"/>
              <w:bidi w:val="0"/>
              <w:spacing w:before="0" w:after="283"/>
              <w:jc w:val="left"/>
              <w:rPr/>
            </w:pPr>
            <w:r>
              <w:rPr/>
              <w:t>ShoulderUp Technology Acquisition Corp.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Delaware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7" w:name="ea024660701ex99-1_cidhold.htm"/>
      <w:bookmarkStart w:id="48" w:name="ksea024660701ex991_cidhold"/>
      <w:bookmarkEnd w:id="47"/>
      <w:bookmarkEnd w:id="48"/>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ID, INC. AND SUBSIDIARY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 and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6875"/>
        <w:gridCol w:w="710"/>
      </w:tblGrid>
      <w:tr>
        <w:trPr/>
        <w:tc>
          <w:tcPr>
            <w:tcW w:w="6875" w:type="dxa"/>
            <w:tcBorders/>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68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r>
      <w:tr>
        <w:trPr/>
        <w:tc>
          <w:tcPr>
            <w:tcW w:w="6875" w:type="dxa"/>
            <w:tcBorders/>
            <w:shd w:fill="CCEEFF" w:val="clear"/>
            <w:vAlign w:val="center"/>
          </w:tcPr>
          <w:p>
            <w:pPr>
              <w:pStyle w:val="TableContents"/>
              <w:bidi w:val="0"/>
              <w:spacing w:before="0" w:after="283"/>
              <w:jc w:val="left"/>
              <w:rPr/>
            </w:pPr>
            <w:r>
              <w:rPr/>
              <w:t>Consolidated financial statements:</w:t>
            </w:r>
          </w:p>
        </w:tc>
        <w:tc>
          <w:tcPr>
            <w:tcW w:w="710" w:type="dxa"/>
            <w:tcBorders/>
            <w:shd w:fill="CCEEFF" w:val="clear"/>
            <w:vAlign w:val="center"/>
          </w:tcPr>
          <w:p>
            <w:pPr>
              <w:pStyle w:val="TableContents"/>
              <w:bidi w:val="0"/>
              <w:spacing w:before="0" w:after="283"/>
              <w:jc w:val="center"/>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 </w:t>
            </w:r>
          </w:p>
        </w:tc>
      </w:tr>
      <w:tr>
        <w:trPr/>
        <w:tc>
          <w:tcPr>
            <w:tcW w:w="6875" w:type="dxa"/>
            <w:tcBorders/>
            <w:shd w:fill="CCEEFF" w:val="clear"/>
            <w:vAlign w:val="center"/>
          </w:tcPr>
          <w:p>
            <w:pPr>
              <w:pStyle w:val="TableContents"/>
              <w:bidi w:val="0"/>
              <w:spacing w:before="0" w:after="283"/>
              <w:jc w:val="left"/>
              <w:rPr/>
            </w:pPr>
            <w:hyperlink w:anchor="report_001">
              <w:r>
                <w:rPr>
                  <w:rStyle w:val="InternetLink"/>
                </w:rPr>
                <w:t>Report of Independent Registered Public Accountant (PCAOB ID: 52)</w:t>
              </w:r>
            </w:hyperlink>
          </w:p>
        </w:tc>
        <w:tc>
          <w:tcPr>
            <w:tcW w:w="710" w:type="dxa"/>
            <w:tcBorders/>
            <w:shd w:fill="CCEEFF" w:val="clear"/>
            <w:vAlign w:val="center"/>
          </w:tcPr>
          <w:p>
            <w:pPr>
              <w:pStyle w:val="TableContents"/>
              <w:bidi w:val="0"/>
              <w:spacing w:before="0" w:after="283"/>
              <w:jc w:val="center"/>
              <w:rPr/>
            </w:pPr>
            <w:r>
              <w:rPr/>
              <w:t>1</w:t>
            </w:r>
          </w:p>
        </w:tc>
      </w:tr>
      <w:tr>
        <w:trPr/>
        <w:tc>
          <w:tcPr>
            <w:tcW w:w="68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 </w:t>
            </w:r>
          </w:p>
        </w:tc>
      </w:tr>
      <w:tr>
        <w:trPr/>
        <w:tc>
          <w:tcPr>
            <w:tcW w:w="6875" w:type="dxa"/>
            <w:tcBorders/>
            <w:shd w:fill="CCEEFF" w:val="clear"/>
            <w:vAlign w:val="center"/>
          </w:tcPr>
          <w:p>
            <w:pPr>
              <w:pStyle w:val="TableContents"/>
              <w:bidi w:val="0"/>
              <w:spacing w:before="0" w:after="283"/>
              <w:jc w:val="left"/>
              <w:rPr/>
            </w:pPr>
            <w:hyperlink w:anchor="report_002">
              <w:r>
                <w:rPr>
                  <w:rStyle w:val="InternetLink"/>
                </w:rPr>
                <w:t>Report of Independent Registered Public Accountant (PCAOB ID: 392)</w:t>
              </w:r>
            </w:hyperlink>
          </w:p>
        </w:tc>
        <w:tc>
          <w:tcPr>
            <w:tcW w:w="710" w:type="dxa"/>
            <w:tcBorders/>
            <w:shd w:fill="CCEEFF" w:val="clear"/>
            <w:vAlign w:val="center"/>
          </w:tcPr>
          <w:p>
            <w:pPr>
              <w:pStyle w:val="TableContents"/>
              <w:bidi w:val="0"/>
              <w:spacing w:before="0" w:after="283"/>
              <w:jc w:val="center"/>
              <w:rPr/>
            </w:pPr>
            <w:r>
              <w:rPr/>
              <w:t>2</w:t>
            </w:r>
          </w:p>
        </w:tc>
      </w:tr>
      <w:tr>
        <w:trPr/>
        <w:tc>
          <w:tcPr>
            <w:tcW w:w="68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 </w:t>
            </w:r>
          </w:p>
        </w:tc>
      </w:tr>
      <w:tr>
        <w:trPr/>
        <w:tc>
          <w:tcPr>
            <w:tcW w:w="6875" w:type="dxa"/>
            <w:tcBorders/>
            <w:shd w:fill="CCEEFF" w:val="clear"/>
            <w:vAlign w:val="center"/>
          </w:tcPr>
          <w:p>
            <w:pPr>
              <w:pStyle w:val="TableContents"/>
              <w:bidi w:val="0"/>
              <w:spacing w:before="0" w:after="283"/>
              <w:jc w:val="left"/>
              <w:rPr/>
            </w:pPr>
            <w:hyperlink w:anchor="a_001">
              <w:r>
                <w:rPr>
                  <w:rStyle w:val="InternetLink"/>
                </w:rPr>
                <w:t>Consolidated balance sheets</w:t>
              </w:r>
            </w:hyperlink>
          </w:p>
        </w:tc>
        <w:tc>
          <w:tcPr>
            <w:tcW w:w="710" w:type="dxa"/>
            <w:tcBorders/>
            <w:shd w:fill="CCEEFF" w:val="clear"/>
            <w:vAlign w:val="center"/>
          </w:tcPr>
          <w:p>
            <w:pPr>
              <w:pStyle w:val="TableContents"/>
              <w:bidi w:val="0"/>
              <w:spacing w:before="0" w:after="283"/>
              <w:jc w:val="center"/>
              <w:rPr/>
            </w:pPr>
            <w:r>
              <w:rPr/>
              <w:t>3 - 4</w:t>
            </w:r>
          </w:p>
        </w:tc>
      </w:tr>
      <w:tr>
        <w:trPr/>
        <w:tc>
          <w:tcPr>
            <w:tcW w:w="68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 </w:t>
            </w:r>
          </w:p>
        </w:tc>
      </w:tr>
      <w:tr>
        <w:trPr/>
        <w:tc>
          <w:tcPr>
            <w:tcW w:w="6875" w:type="dxa"/>
            <w:tcBorders/>
            <w:shd w:fill="CCEEFF" w:val="clear"/>
            <w:vAlign w:val="center"/>
          </w:tcPr>
          <w:p>
            <w:pPr>
              <w:pStyle w:val="TableContents"/>
              <w:bidi w:val="0"/>
              <w:spacing w:before="0" w:after="283"/>
              <w:jc w:val="left"/>
              <w:rPr/>
            </w:pPr>
            <w:hyperlink w:anchor="a_002">
              <w:r>
                <w:rPr>
                  <w:rStyle w:val="InternetLink"/>
                </w:rPr>
                <w:t>Consolidated statements of operations</w:t>
              </w:r>
            </w:hyperlink>
          </w:p>
        </w:tc>
        <w:tc>
          <w:tcPr>
            <w:tcW w:w="710" w:type="dxa"/>
            <w:tcBorders/>
            <w:shd w:fill="CCEEFF" w:val="clear"/>
            <w:vAlign w:val="center"/>
          </w:tcPr>
          <w:p>
            <w:pPr>
              <w:pStyle w:val="TableContents"/>
              <w:bidi w:val="0"/>
              <w:spacing w:before="0" w:after="283"/>
              <w:jc w:val="center"/>
              <w:rPr/>
            </w:pPr>
            <w:r>
              <w:rPr/>
              <w:t>5</w:t>
            </w:r>
          </w:p>
        </w:tc>
      </w:tr>
      <w:tr>
        <w:trPr/>
        <w:tc>
          <w:tcPr>
            <w:tcW w:w="68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 </w:t>
            </w:r>
          </w:p>
        </w:tc>
      </w:tr>
      <w:tr>
        <w:trPr/>
        <w:tc>
          <w:tcPr>
            <w:tcW w:w="6875" w:type="dxa"/>
            <w:tcBorders/>
            <w:shd w:fill="CCEEFF" w:val="clear"/>
            <w:vAlign w:val="center"/>
          </w:tcPr>
          <w:p>
            <w:pPr>
              <w:pStyle w:val="TableContents"/>
              <w:bidi w:val="0"/>
              <w:spacing w:before="0" w:after="283"/>
              <w:jc w:val="left"/>
              <w:rPr/>
            </w:pPr>
            <w:hyperlink w:anchor="a_003">
              <w:r>
                <w:rPr>
                  <w:rStyle w:val="InternetLink"/>
                </w:rPr>
                <w:t>Consolidated statements of stockholders’ deficit</w:t>
              </w:r>
            </w:hyperlink>
          </w:p>
        </w:tc>
        <w:tc>
          <w:tcPr>
            <w:tcW w:w="710" w:type="dxa"/>
            <w:tcBorders/>
            <w:shd w:fill="CCEEFF" w:val="clear"/>
            <w:vAlign w:val="center"/>
          </w:tcPr>
          <w:p>
            <w:pPr>
              <w:pStyle w:val="TableContents"/>
              <w:bidi w:val="0"/>
              <w:spacing w:before="0" w:after="283"/>
              <w:jc w:val="center"/>
              <w:rPr/>
            </w:pPr>
            <w:r>
              <w:rPr/>
              <w:t>6</w:t>
            </w:r>
          </w:p>
        </w:tc>
      </w:tr>
      <w:tr>
        <w:trPr/>
        <w:tc>
          <w:tcPr>
            <w:tcW w:w="68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 </w:t>
            </w:r>
          </w:p>
        </w:tc>
      </w:tr>
      <w:tr>
        <w:trPr/>
        <w:tc>
          <w:tcPr>
            <w:tcW w:w="6875" w:type="dxa"/>
            <w:tcBorders/>
            <w:shd w:fill="CCEEFF" w:val="clear"/>
            <w:vAlign w:val="center"/>
          </w:tcPr>
          <w:p>
            <w:pPr>
              <w:pStyle w:val="TableContents"/>
              <w:bidi w:val="0"/>
              <w:spacing w:before="0" w:after="283"/>
              <w:jc w:val="left"/>
              <w:rPr/>
            </w:pPr>
            <w:hyperlink w:anchor="a_004">
              <w:r>
                <w:rPr>
                  <w:rStyle w:val="InternetLink"/>
                </w:rPr>
                <w:t>Consolidated statements of cash flows</w:t>
              </w:r>
            </w:hyperlink>
          </w:p>
        </w:tc>
        <w:tc>
          <w:tcPr>
            <w:tcW w:w="710" w:type="dxa"/>
            <w:tcBorders/>
            <w:shd w:fill="CCEEFF" w:val="clear"/>
            <w:vAlign w:val="center"/>
          </w:tcPr>
          <w:p>
            <w:pPr>
              <w:pStyle w:val="TableContents"/>
              <w:bidi w:val="0"/>
              <w:spacing w:before="0" w:after="283"/>
              <w:jc w:val="center"/>
              <w:rPr/>
            </w:pPr>
            <w:r>
              <w:rPr/>
              <w:t>7</w:t>
            </w:r>
          </w:p>
        </w:tc>
      </w:tr>
      <w:tr>
        <w:trPr/>
        <w:tc>
          <w:tcPr>
            <w:tcW w:w="68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 </w:t>
            </w:r>
          </w:p>
        </w:tc>
      </w:tr>
      <w:tr>
        <w:trPr/>
        <w:tc>
          <w:tcPr>
            <w:tcW w:w="6875" w:type="dxa"/>
            <w:tcBorders/>
            <w:shd w:fill="CCEEFF" w:val="clear"/>
            <w:vAlign w:val="center"/>
          </w:tcPr>
          <w:p>
            <w:pPr>
              <w:pStyle w:val="TableContents"/>
              <w:bidi w:val="0"/>
              <w:spacing w:before="0" w:after="283"/>
              <w:jc w:val="left"/>
              <w:rPr/>
            </w:pPr>
            <w:hyperlink w:anchor="a_005">
              <w:r>
                <w:rPr>
                  <w:rStyle w:val="InternetLink"/>
                </w:rPr>
                <w:t>Notes to consolidated financial statements</w:t>
              </w:r>
            </w:hyperlink>
          </w:p>
        </w:tc>
        <w:tc>
          <w:tcPr>
            <w:tcW w:w="710" w:type="dxa"/>
            <w:tcBorders/>
            <w:shd w:fill="CCEEFF" w:val="clear"/>
            <w:vAlign w:val="center"/>
          </w:tcPr>
          <w:p>
            <w:pPr>
              <w:pStyle w:val="TableContents"/>
              <w:bidi w:val="0"/>
              <w:spacing w:before="0" w:after="283"/>
              <w:jc w:val="center"/>
              <w:rPr/>
            </w:pPr>
            <w:r>
              <w:rPr/>
              <w:t>8 - 28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9" w:name="report_001"/>
      <w:bookmarkEnd w:id="49"/>
      <w:r>
        <w:rPr>
          <w:rFonts w:ascii="Times New Roman;Times;Serif" w:hAnsi="Times New Roman;Times;Serif"/>
          <w:b w:val="false"/>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w:t>
        <w:br/>
        <w:t>Stockholders of SEE ID, Inc. dba Dot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SEE ID, Inc. dba Dot Ai (the "Company”) as of December 31, 2024, and the related consolidated statements of operations,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Company has suffered recurring losses from operations, has a working capital deficiency, and accumulated deficit that raise substantial doubt about its ability to continue as a going concern. Management's plans in regard to these matters also are described in Note 1.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tbl>
      <w:tblPr>
        <w:tblW w:w="4414" w:type="dxa"/>
        <w:jc w:val="left"/>
        <w:tblInd w:w="0" w:type="dxa"/>
        <w:tblLayout w:type="fixed"/>
        <w:tblCellMar>
          <w:top w:w="0" w:type="dxa"/>
          <w:left w:w="0" w:type="dxa"/>
          <w:bottom w:w="0" w:type="dxa"/>
          <w:right w:w="0" w:type="dxa"/>
        </w:tblCellMar>
      </w:tblPr>
      <w:tblGrid>
        <w:gridCol w:w="4326"/>
        <w:gridCol w:w="88"/>
      </w:tblGrid>
      <w:tr>
        <w:trPr/>
        <w:tc>
          <w:tcPr>
            <w:tcW w:w="4414" w:type="dxa"/>
            <w:gridSpan w:val="2"/>
            <w:tcBorders/>
            <w:vAlign w:val="center"/>
          </w:tcPr>
          <w:p>
            <w:pPr>
              <w:pStyle w:val="TableContents"/>
              <w:bidi w:val="0"/>
              <w:spacing w:before="0" w:after="283"/>
              <w:jc w:val="left"/>
              <w:rPr/>
            </w:pPr>
            <w:r>
              <w:rPr/>
              <w:t> </w:t>
            </w:r>
          </w:p>
        </w:tc>
      </w:tr>
      <w:tr>
        <w:trPr/>
        <w:tc>
          <w:tcPr>
            <w:tcW w:w="43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Berkowitz Pollack Brant Advisors + CPAs</w:t>
            </w:r>
          </w:p>
        </w:tc>
        <w:tc>
          <w:tcPr>
            <w:tcW w:w="88" w:type="dxa"/>
            <w:tcBorders/>
            <w:vAlign w:val="center"/>
          </w:tcPr>
          <w:p>
            <w:pPr>
              <w:pStyle w:val="TableContents"/>
              <w:bidi w:val="0"/>
              <w:spacing w:before="0" w:after="283"/>
              <w:jc w:val="left"/>
              <w:rPr/>
            </w:pPr>
            <w:r>
              <w:rPr/>
              <w:t> </w:t>
            </w:r>
          </w:p>
        </w:tc>
      </w:tr>
      <w:tr>
        <w:trPr/>
        <w:tc>
          <w:tcPr>
            <w:tcW w:w="4326"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r>
      <w:tr>
        <w:trPr/>
        <w:tc>
          <w:tcPr>
            <w:tcW w:w="4414" w:type="dxa"/>
            <w:gridSpan w:val="2"/>
            <w:tcBorders/>
            <w:vAlign w:val="center"/>
          </w:tcPr>
          <w:p>
            <w:pPr>
              <w:pStyle w:val="TableContents"/>
              <w:bidi w:val="0"/>
              <w:spacing w:before="0" w:after="283"/>
              <w:jc w:val="left"/>
              <w:rPr>
                <w:sz w:val="20"/>
              </w:rPr>
            </w:pPr>
            <w:r>
              <w:rPr>
                <w:sz w:val="20"/>
              </w:rPr>
              <w:t>We have served as the Company’s auditor since 2024.</w:t>
            </w:r>
          </w:p>
        </w:tc>
      </w:tr>
      <w:tr>
        <w:trPr/>
        <w:tc>
          <w:tcPr>
            <w:tcW w:w="4326"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r>
      <w:tr>
        <w:trPr/>
        <w:tc>
          <w:tcPr>
            <w:tcW w:w="4414" w:type="dxa"/>
            <w:gridSpan w:val="2"/>
            <w:tcBorders/>
            <w:vAlign w:val="center"/>
          </w:tcPr>
          <w:p>
            <w:pPr>
              <w:pStyle w:val="TableContents"/>
              <w:bidi w:val="0"/>
              <w:spacing w:before="0" w:after="283"/>
              <w:jc w:val="left"/>
              <w:rPr>
                <w:sz w:val="20"/>
              </w:rPr>
            </w:pPr>
            <w:r>
              <w:rPr>
                <w:sz w:val="20"/>
              </w:rPr>
              <w:t>New York, New York</w:t>
            </w:r>
          </w:p>
        </w:tc>
      </w:tr>
      <w:tr>
        <w:trPr/>
        <w:tc>
          <w:tcPr>
            <w:tcW w:w="4326" w:type="dxa"/>
            <w:tcBorders/>
            <w:vAlign w:val="center"/>
          </w:tcPr>
          <w:p>
            <w:pPr>
              <w:pStyle w:val="TableContents"/>
              <w:bidi w:val="0"/>
              <w:spacing w:before="0" w:after="283"/>
              <w:jc w:val="left"/>
              <w:rPr>
                <w:sz w:val="20"/>
              </w:rPr>
            </w:pPr>
            <w:r>
              <w:rPr>
                <w:sz w:val="20"/>
              </w:rPr>
              <w:t>June 25, 2025</w:t>
            </w:r>
          </w:p>
        </w:tc>
        <w:tc>
          <w:tcPr>
            <w:tcW w:w="8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0" w:name="report_002"/>
      <w:bookmarkEnd w:id="50"/>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of SEE ID,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 of SEE ID, Inc. (the “Company”) as of December 31, 2023, and the related statements of operations, changes in stockholders’ deficit and cash flows for the year then ended, and the related notes to the financial statements (collectively, the “financial statements”). In our opinion, the financial statements present fairly, in all material respects, the financial position of the Company as of December 31, 2023, and the results of its operations and its cash flows for the year then ended,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Emphasis of a Matter Regarding Going Concern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 to the financial statements, the Company has recurring losses from operations and an accumulated deficit that raise substantial doubt about the Company’s ability to continue as a going concern. Management’s plans in regard to these matters also are described in Note 1. The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Wolf &amp; Company,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2024, except for Note 10, as to which the date is July 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51" w:name="a_001"/>
      <w:bookmarkEnd w:id="51"/>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3770"/>
        <w:gridCol w:w="60"/>
        <w:gridCol w:w="140"/>
        <w:gridCol w:w="980"/>
        <w:gridCol w:w="60"/>
        <w:gridCol w:w="60"/>
        <w:gridCol w:w="140"/>
        <w:gridCol w:w="980"/>
        <w:gridCol w:w="75"/>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12" w:space="0" w:color="000000"/>
            </w:tcBorders>
            <w:tcMar>
              <w:bottom w:w="28" w:type="dxa"/>
            </w:tcMar>
            <w:vAlign w:val="center"/>
          </w:tcPr>
          <w:p>
            <w:pPr>
              <w:pStyle w:val="TableContents"/>
              <w:bidi w:val="0"/>
              <w:spacing w:before="0" w:after="283"/>
              <w:jc w:val="center"/>
              <w:rPr/>
            </w:pPr>
            <w:r>
              <w:rPr/>
              <w:t>December 31,</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jc w:val="left"/>
              <w:rPr/>
            </w:pPr>
            <w:r>
              <w:rPr/>
              <w:t> </w:t>
            </w:r>
          </w:p>
        </w:tc>
      </w:tr>
      <w:tr>
        <w:trPr/>
        <w:tc>
          <w:tcPr>
            <w:tcW w:w="6265" w:type="dxa"/>
            <w:gridSpan w:val="9"/>
            <w:tcBorders/>
            <w:vAlign w:val="center"/>
          </w:tcPr>
          <w:p>
            <w:pPr>
              <w:pStyle w:val="TableContents"/>
              <w:bidi w:val="0"/>
              <w:spacing w:before="0" w:after="283"/>
              <w:jc w:val="center"/>
              <w:rPr>
                <w:u w:val="single"/>
              </w:rPr>
            </w:pPr>
            <w:r>
              <w:rPr>
                <w:u w:val="single"/>
              </w:rPr>
              <w:t>ASSETS</w:t>
            </w:r>
          </w:p>
        </w:tc>
      </w:tr>
      <w:tr>
        <w:trPr/>
        <w:tc>
          <w:tcPr>
            <w:tcW w:w="3770" w:type="dxa"/>
            <w:tcBorders/>
            <w:vAlign w:val="center"/>
          </w:tcPr>
          <w:p>
            <w:pPr>
              <w:pStyle w:val="TableContents"/>
              <w:bidi w:val="0"/>
              <w:spacing w:before="0" w:after="283"/>
              <w:jc w:val="left"/>
              <w:rPr/>
            </w:pPr>
            <w:r>
              <w:rPr>
                <w:u w:val="single"/>
              </w:rPr>
              <w:t>Current assets</w:t>
            </w:r>
            <w:r>
              <w:rPr/>
              <w:t>:</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721,032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605,760</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50,264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4,778</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Advances to supplier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33,576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133,975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155,845</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1,004,095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766,383</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u w:val="single"/>
              </w:rPr>
            </w:pPr>
            <w:r>
              <w:rPr>
                <w:u w:val="single"/>
              </w:rPr>
              <w:t>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Right-of-use asset - operating lease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307,892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Capitalized software development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1,761,396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927,176</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23,389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Total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2,092,677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927,176</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3,096,772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1,693,559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Balance Sheets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87"/>
        <w:gridCol w:w="60"/>
        <w:gridCol w:w="140"/>
        <w:gridCol w:w="1175"/>
        <w:gridCol w:w="95"/>
        <w:gridCol w:w="60"/>
        <w:gridCol w:w="140"/>
        <w:gridCol w:w="1055"/>
        <w:gridCol w:w="93"/>
      </w:tblGrid>
      <w:tr>
        <w:trPr/>
        <w:tc>
          <w:tcPr>
            <w:tcW w:w="7387"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bottom w:val="single" w:sz="12" w:space="0" w:color="000000"/>
            </w:tcBorders>
            <w:tcMar>
              <w:bottom w:w="28" w:type="dxa"/>
            </w:tcMar>
            <w:vAlign w:val="center"/>
          </w:tcPr>
          <w:p>
            <w:pPr>
              <w:pStyle w:val="TableContents"/>
              <w:bidi w:val="0"/>
              <w:spacing w:before="0" w:after="283"/>
              <w:jc w:val="center"/>
              <w:rPr/>
            </w:pPr>
            <w:r>
              <w:rPr/>
              <w:t>December 31,</w:t>
            </w:r>
          </w:p>
        </w:tc>
        <w:tc>
          <w:tcPr>
            <w:tcW w:w="93" w:type="dxa"/>
            <w:tcBorders/>
            <w:vAlign w:val="center"/>
          </w:tcPr>
          <w:p>
            <w:pPr>
              <w:pStyle w:val="TableContents"/>
              <w:bidi w:val="0"/>
              <w:spacing w:before="0" w:after="283"/>
              <w:ind w:left="0" w:right="0" w:hanging="180"/>
              <w:jc w:val="left"/>
              <w:rPr/>
            </w:pPr>
            <w:r>
              <w:rPr/>
              <w:t> </w:t>
            </w:r>
          </w:p>
        </w:tc>
      </w:tr>
      <w:tr>
        <w:trPr/>
        <w:tc>
          <w:tcPr>
            <w:tcW w:w="738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3" w:type="dxa"/>
            <w:tcBorders/>
            <w:vAlign w:val="center"/>
          </w:tcPr>
          <w:p>
            <w:pPr>
              <w:pStyle w:val="TableContents"/>
              <w:bidi w:val="0"/>
              <w:spacing w:before="0" w:after="283"/>
              <w:jc w:val="left"/>
              <w:rPr/>
            </w:pPr>
            <w:r>
              <w:rPr/>
              <w:t> </w:t>
            </w:r>
          </w:p>
        </w:tc>
      </w:tr>
      <w:tr>
        <w:trPr/>
        <w:tc>
          <w:tcPr>
            <w:tcW w:w="10205" w:type="dxa"/>
            <w:gridSpan w:val="9"/>
            <w:tcBorders/>
            <w:vAlign w:val="center"/>
          </w:tcPr>
          <w:p>
            <w:pPr>
              <w:pStyle w:val="TableContents"/>
              <w:bidi w:val="0"/>
              <w:spacing w:before="0" w:after="283"/>
              <w:ind w:left="0" w:right="0" w:hanging="180"/>
              <w:jc w:val="center"/>
              <w:rPr>
                <w:u w:val="single"/>
              </w:rPr>
            </w:pPr>
            <w:r>
              <w:rPr>
                <w:u w:val="single"/>
              </w:rPr>
              <w:t>LIABILITIES AND STOCKHOLDERS’ DEFICIT</w:t>
            </w:r>
          </w:p>
        </w:tc>
      </w:tr>
      <w:tr>
        <w:trPr/>
        <w:tc>
          <w:tcPr>
            <w:tcW w:w="7387" w:type="dxa"/>
            <w:tcBorders/>
            <w:vAlign w:val="center"/>
          </w:tcPr>
          <w:p>
            <w:pPr>
              <w:pStyle w:val="TableContents"/>
              <w:bidi w:val="0"/>
              <w:spacing w:before="0" w:after="283"/>
              <w:jc w:val="both"/>
              <w:rPr/>
            </w:pPr>
            <w:r>
              <w:rPr>
                <w:u w:val="single"/>
              </w:rPr>
              <w:t>Current liabilities</w:t>
            </w:r>
            <w:r>
              <w:rPr/>
              <w:t>:</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ind w:left="0" w:right="0" w:hanging="180"/>
              <w:jc w:val="left"/>
              <w:rPr/>
            </w:pPr>
            <w:r>
              <w:rPr/>
              <w:t> </w:t>
            </w:r>
          </w:p>
        </w:tc>
      </w:tr>
      <w:tr>
        <w:trPr/>
        <w:tc>
          <w:tcPr>
            <w:tcW w:w="7387" w:type="dxa"/>
            <w:tcBorders/>
            <w:shd w:fill="CCEEFF" w:val="clear"/>
            <w:vAlign w:val="center"/>
          </w:tcPr>
          <w:p>
            <w:pPr>
              <w:pStyle w:val="TableContents"/>
              <w:bidi w:val="0"/>
              <w:spacing w:before="0" w:after="283"/>
              <w:jc w:val="both"/>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770,276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1,734</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387" w:type="dxa"/>
            <w:tcBorders/>
            <w:shd w:fill="FFFFFF" w:val="clear"/>
            <w:vAlign w:val="center"/>
          </w:tcPr>
          <w:p>
            <w:pPr>
              <w:pStyle w:val="TableContents"/>
              <w:bidi w:val="0"/>
              <w:spacing w:before="0" w:after="283"/>
              <w:jc w:val="both"/>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24,219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23,505</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387" w:type="dxa"/>
            <w:tcBorders/>
            <w:shd w:fill="CCEEFF" w:val="clear"/>
            <w:vAlign w:val="center"/>
          </w:tcPr>
          <w:p>
            <w:pPr>
              <w:pStyle w:val="TableContents"/>
              <w:bidi w:val="0"/>
              <w:spacing w:before="0" w:after="283"/>
              <w:jc w:val="both"/>
              <w:rPr/>
            </w:pPr>
            <w:r>
              <w:rPr/>
              <w:t>Payroll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246,720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18,868</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387" w:type="dxa"/>
            <w:tcBorders/>
            <w:shd w:fill="FFFFFF" w:val="clear"/>
            <w:vAlign w:val="center"/>
          </w:tcPr>
          <w:p>
            <w:pPr>
              <w:pStyle w:val="TableContents"/>
              <w:bidi w:val="0"/>
              <w:spacing w:before="0" w:after="283"/>
              <w:jc w:val="both"/>
              <w:rPr/>
            </w:pPr>
            <w:r>
              <w:rPr/>
              <w:t>Deferred revenue,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1,142,643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387" w:type="dxa"/>
            <w:tcBorders/>
            <w:shd w:fill="CCEEFF" w:val="clear"/>
            <w:vAlign w:val="center"/>
          </w:tcPr>
          <w:p>
            <w:pPr>
              <w:pStyle w:val="TableContents"/>
              <w:bidi w:val="0"/>
              <w:spacing w:before="0" w:after="283"/>
              <w:jc w:val="both"/>
              <w:rPr/>
            </w:pPr>
            <w:r>
              <w:rPr/>
              <w:t>Lease liability,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36,225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387" w:type="dxa"/>
            <w:tcBorders/>
            <w:shd w:fill="FFFFFF" w:val="clear"/>
            <w:vAlign w:val="center"/>
          </w:tcPr>
          <w:p>
            <w:pPr>
              <w:pStyle w:val="TableContents"/>
              <w:bidi w:val="0"/>
              <w:spacing w:before="0" w:after="283"/>
              <w:jc w:val="both"/>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2,220,083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44,107</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38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387" w:type="dxa"/>
            <w:tcBorders/>
            <w:shd w:fill="FFFFFF" w:val="clear"/>
            <w:vAlign w:val="center"/>
          </w:tcPr>
          <w:p>
            <w:pPr>
              <w:pStyle w:val="TableContents"/>
              <w:bidi w:val="0"/>
              <w:spacing w:before="0" w:after="283"/>
              <w:jc w:val="both"/>
              <w:rPr/>
            </w:pPr>
            <w:r>
              <w:rPr>
                <w:u w:val="single"/>
              </w:rPr>
              <w:t>Long-term liabilities</w:t>
            </w: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387" w:type="dxa"/>
            <w:tcBorders/>
            <w:shd w:fill="CCEEFF" w:val="clear"/>
            <w:vAlign w:val="center"/>
          </w:tcPr>
          <w:p>
            <w:pPr>
              <w:pStyle w:val="TableContents"/>
              <w:bidi w:val="0"/>
              <w:spacing w:before="0" w:after="283"/>
              <w:jc w:val="both"/>
              <w:rPr/>
            </w:pPr>
            <w:r>
              <w:rPr/>
              <w:t>SAFE agreements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23,334,626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4,602,950</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387" w:type="dxa"/>
            <w:tcBorders/>
            <w:shd w:fill="FFFFFF" w:val="clear"/>
            <w:vAlign w:val="center"/>
          </w:tcPr>
          <w:p>
            <w:pPr>
              <w:pStyle w:val="TableContents"/>
              <w:bidi w:val="0"/>
              <w:spacing w:before="0" w:after="283"/>
              <w:jc w:val="both"/>
              <w:rPr/>
            </w:pPr>
            <w:r>
              <w:rPr/>
              <w:t>Deferred revenue,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1,570,572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387" w:type="dxa"/>
            <w:tcBorders/>
            <w:shd w:fill="CCEEFF" w:val="clear"/>
            <w:vAlign w:val="center"/>
          </w:tcPr>
          <w:p>
            <w:pPr>
              <w:pStyle w:val="TableContents"/>
              <w:bidi w:val="0"/>
              <w:spacing w:before="0" w:after="283"/>
              <w:jc w:val="both"/>
              <w:rPr/>
            </w:pPr>
            <w:r>
              <w:rPr/>
              <w:t>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265,413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387" w:type="dxa"/>
            <w:tcBorders/>
            <w:shd w:fill="FFFFFF" w:val="clear"/>
            <w:vAlign w:val="center"/>
          </w:tcPr>
          <w:p>
            <w:pPr>
              <w:pStyle w:val="TableContents"/>
              <w:bidi w:val="0"/>
              <w:spacing w:before="0" w:after="283"/>
              <w:jc w:val="both"/>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25,170,611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4,602,950</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387" w:type="dxa"/>
            <w:tcBorders/>
            <w:shd w:fill="CCEEFF" w:val="clear"/>
            <w:vAlign w:val="center"/>
          </w:tcPr>
          <w:p>
            <w:pPr>
              <w:pStyle w:val="TableContents"/>
              <w:bidi w:val="0"/>
              <w:spacing w:before="0" w:after="283"/>
              <w:jc w:val="both"/>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27,390,694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4,647,057</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387" w:type="dxa"/>
            <w:tcBorders/>
            <w:shd w:fill="FFFFFF" w:val="clear"/>
            <w:vAlign w:val="center"/>
          </w:tcPr>
          <w:p>
            <w:pPr>
              <w:pStyle w:val="TableContents"/>
              <w:bidi w:val="0"/>
              <w:spacing w:before="0" w:after="283"/>
              <w:jc w:val="both"/>
              <w:rPr/>
            </w:pPr>
            <w:r>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38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387" w:type="dxa"/>
            <w:tcBorders/>
            <w:shd w:fill="FFFFFF" w:val="clear"/>
            <w:vAlign w:val="center"/>
          </w:tcPr>
          <w:p>
            <w:pPr>
              <w:pStyle w:val="TableContents"/>
              <w:bidi w:val="0"/>
              <w:spacing w:before="0" w:after="283"/>
              <w:jc w:val="both"/>
              <w:rPr>
                <w:u w:val="single"/>
              </w:rPr>
            </w:pPr>
            <w:r>
              <w:rPr>
                <w:u w:val="single"/>
              </w:rPr>
              <w:t>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387" w:type="dxa"/>
            <w:tcBorders/>
            <w:shd w:fill="CCEEFF" w:val="clear"/>
            <w:vAlign w:val="center"/>
          </w:tcPr>
          <w:p>
            <w:pPr>
              <w:pStyle w:val="TableContents"/>
              <w:bidi w:val="0"/>
              <w:spacing w:before="0" w:after="283"/>
              <w:jc w:val="left"/>
              <w:rPr/>
            </w:pPr>
            <w:r>
              <w:rPr/>
              <w:t>Common stock, $0.001 par value, 200,000,000 shares authorized; 108,975,000 shares issued and outstanding at December 31, 2024 and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108,975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108,975</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387" w:type="dxa"/>
            <w:tcBorders/>
            <w:shd w:fill="FFFFFF" w:val="clear"/>
            <w:vAlign w:val="center"/>
          </w:tcPr>
          <w:p>
            <w:pPr>
              <w:pStyle w:val="TableContents"/>
              <w:bidi w:val="0"/>
              <w:spacing w:before="0" w:after="283"/>
              <w:jc w:val="both"/>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330,366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133,360</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387" w:type="dxa"/>
            <w:tcBorders/>
            <w:shd w:fill="CCEEFF" w:val="clear"/>
            <w:vAlign w:val="center"/>
          </w:tcPr>
          <w:p>
            <w:pPr>
              <w:pStyle w:val="TableContents"/>
              <w:bidi w:val="0"/>
              <w:spacing w:before="0" w:after="283"/>
              <w:jc w:val="both"/>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(24,733,263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(3,195,833</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7387" w:type="dxa"/>
            <w:tcBorders/>
            <w:shd w:fill="FFFFFF" w:val="clear"/>
            <w:vAlign w:val="center"/>
          </w:tcPr>
          <w:p>
            <w:pPr>
              <w:pStyle w:val="TableContents"/>
              <w:bidi w:val="0"/>
              <w:spacing w:before="0" w:after="283"/>
              <w:jc w:val="both"/>
              <w:rPr/>
            </w:pPr>
            <w:r>
              <w:rPr/>
              <w:t>Total 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(24,293,922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(2,953,498</w:t>
            </w:r>
          </w:p>
        </w:tc>
        <w:tc>
          <w:tcPr>
            <w:tcW w:w="93" w:type="dxa"/>
            <w:tcBorders/>
            <w:shd w:fill="FFFFFF" w:val="clear"/>
            <w:vAlign w:val="center"/>
          </w:tcPr>
          <w:p>
            <w:pPr>
              <w:pStyle w:val="TableContents"/>
              <w:bidi w:val="0"/>
              <w:spacing w:before="0" w:after="283"/>
              <w:ind w:left="0" w:right="0" w:hanging="180"/>
              <w:jc w:val="left"/>
              <w:rPr/>
            </w:pPr>
            <w:r>
              <w:rPr/>
              <w:t>)</w:t>
            </w:r>
          </w:p>
        </w:tc>
      </w:tr>
      <w:tr>
        <w:trPr/>
        <w:tc>
          <w:tcPr>
            <w:tcW w:w="7387" w:type="dxa"/>
            <w:tcBorders/>
            <w:shd w:fill="CCEEFF" w:val="clear"/>
            <w:vAlign w:val="center"/>
          </w:tcPr>
          <w:p>
            <w:pPr>
              <w:pStyle w:val="TableContents"/>
              <w:bidi w:val="0"/>
              <w:spacing w:before="0" w:after="283"/>
              <w:jc w:val="both"/>
              <w:rPr/>
            </w:pPr>
            <w:r>
              <w:rPr/>
              <w:t>Total 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3,096,772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1,693,559</w:t>
            </w:r>
          </w:p>
        </w:tc>
        <w:tc>
          <w:tcPr>
            <w:tcW w:w="9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52" w:name="a_002"/>
      <w:bookmarkEnd w:id="52"/>
      <w:r>
        <w:rPr>
          <w:rFonts w:ascii="Times New Roman;Times;Serif" w:hAnsi="Times New Roman;Times;Serif"/>
          <w:b w:val="false"/>
          <w:i w:val="false"/>
          <w:caps w:val="false"/>
          <w:smallCaps w:val="false"/>
          <w:sz w:val="20"/>
        </w:rPr>
        <w:t>SEE ID, INC. AND SUBSIDIARY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Operations</w:t>
      </w:r>
    </w:p>
    <w:p>
      <w:pPr>
        <w:pStyle w:val="TextBody"/>
        <w:bidi w:val="0"/>
        <w:spacing w:before="0" w:after="0"/>
        <w:jc w:val="center"/>
        <w:rPr>
          <w:caps w:val="false"/>
          <w:smallCaps w:val="false"/>
        </w:rPr>
      </w:pPr>
      <w:r>
        <w:rPr>
          <w:caps w:val="false"/>
          <w:smallCaps w:val="false"/>
        </w:rPr>
        <w:t> </w:t>
      </w:r>
    </w:p>
    <w:tbl>
      <w:tblPr>
        <w:tblW w:w="7376" w:type="dxa"/>
        <w:jc w:val="left"/>
        <w:tblInd w:w="0" w:type="dxa"/>
        <w:tblLayout w:type="fixed"/>
        <w:tblCellMar>
          <w:top w:w="0" w:type="dxa"/>
          <w:left w:w="0" w:type="dxa"/>
          <w:bottom w:w="0" w:type="dxa"/>
          <w:right w:w="0" w:type="dxa"/>
        </w:tblCellMar>
      </w:tblPr>
      <w:tblGrid>
        <w:gridCol w:w="4025"/>
        <w:gridCol w:w="60"/>
        <w:gridCol w:w="161"/>
        <w:gridCol w:w="1410"/>
        <w:gridCol w:w="109"/>
        <w:gridCol w:w="69"/>
        <w:gridCol w:w="161"/>
        <w:gridCol w:w="1271"/>
        <w:gridCol w:w="110"/>
      </w:tblGrid>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1" w:type="dxa"/>
            <w:gridSpan w:val="6"/>
            <w:tcBorders>
              <w:bottom w:val="single" w:sz="12" w:space="0" w:color="000000"/>
            </w:tcBorders>
            <w:tcMar>
              <w:bottom w:w="28" w:type="dxa"/>
            </w:tcMar>
            <w:vAlign w:val="center"/>
          </w:tcPr>
          <w:p>
            <w:pPr>
              <w:pStyle w:val="TableContents"/>
              <w:bidi w:val="0"/>
              <w:spacing w:before="0" w:after="283"/>
              <w:jc w:val="center"/>
              <w:rPr/>
            </w:pPr>
            <w:r>
              <w:rPr/>
              <w:t>For the year ended December 31,</w:t>
            </w:r>
          </w:p>
        </w:tc>
        <w:tc>
          <w:tcPr>
            <w:tcW w:w="11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1"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32"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Sales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410" w:type="dxa"/>
            <w:tcBorders/>
            <w:shd w:fill="CCEEFF" w:val="clear"/>
            <w:vAlign w:val="center"/>
          </w:tcPr>
          <w:p>
            <w:pPr>
              <w:pStyle w:val="TableContents"/>
              <w:bidi w:val="0"/>
              <w:spacing w:before="0" w:after="283"/>
              <w:jc w:val="right"/>
              <w:rPr/>
            </w:pPr>
            <w:r>
              <w:rPr/>
              <w:t>172,661</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439,640</w:t>
            </w:r>
          </w:p>
        </w:tc>
        <w:tc>
          <w:tcPr>
            <w:tcW w:w="11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0" w:type="dxa"/>
            <w:tcBorders>
              <w:bottom w:val="single" w:sz="12" w:space="0" w:color="000000"/>
            </w:tcBorders>
            <w:shd w:fill="FFFFFF" w:val="clear"/>
            <w:tcMar>
              <w:bottom w:w="28" w:type="dxa"/>
            </w:tcMar>
            <w:vAlign w:val="center"/>
          </w:tcPr>
          <w:p>
            <w:pPr>
              <w:pStyle w:val="TableContents"/>
              <w:bidi w:val="0"/>
              <w:spacing w:before="0" w:after="283"/>
              <w:jc w:val="right"/>
              <w:rPr/>
            </w:pPr>
            <w:r>
              <w:rPr/>
              <w:t>343,889</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86,888</w:t>
            </w:r>
          </w:p>
        </w:tc>
        <w:tc>
          <w:tcPr>
            <w:tcW w:w="11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Gross profit (loss)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0" w:type="dxa"/>
            <w:tcBorders>
              <w:bottom w:val="single" w:sz="12" w:space="0" w:color="000000"/>
            </w:tcBorders>
            <w:shd w:fill="CCEEFF" w:val="clear"/>
            <w:tcMar>
              <w:bottom w:w="28" w:type="dxa"/>
            </w:tcMar>
            <w:vAlign w:val="center"/>
          </w:tcPr>
          <w:p>
            <w:pPr>
              <w:pStyle w:val="TableContents"/>
              <w:bidi w:val="0"/>
              <w:spacing w:before="0" w:after="283"/>
              <w:jc w:val="right"/>
              <w:rPr/>
            </w:pPr>
            <w:r>
              <w:rPr/>
              <w:t>(171,228</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CCEEFF" w:val="clear"/>
            <w:tcMar>
              <w:bottom w:w="28" w:type="dxa"/>
            </w:tcMar>
            <w:vAlign w:val="center"/>
          </w:tcPr>
          <w:p>
            <w:pPr>
              <w:pStyle w:val="TableContents"/>
              <w:bidi w:val="0"/>
              <w:spacing w:before="0" w:after="283"/>
              <w:jc w:val="right"/>
              <w:rPr/>
            </w:pPr>
            <w:r>
              <w:rPr/>
              <w:t>352,752</w:t>
            </w:r>
          </w:p>
        </w:tc>
        <w:tc>
          <w:tcPr>
            <w:tcW w:w="11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u w:val="single"/>
              </w:rPr>
              <w:t>Operating expenses</w:t>
            </w: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3,588,548</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742,041</w:t>
            </w:r>
          </w:p>
        </w:tc>
        <w:tc>
          <w:tcPr>
            <w:tcW w:w="11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2,524,930</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449,936</w:t>
            </w:r>
          </w:p>
        </w:tc>
        <w:tc>
          <w:tcPr>
            <w:tcW w:w="11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0" w:type="dxa"/>
            <w:tcBorders>
              <w:bottom w:val="single" w:sz="12" w:space="0" w:color="000000"/>
            </w:tcBorders>
            <w:shd w:fill="FFFFFF" w:val="clear"/>
            <w:tcMar>
              <w:bottom w:w="28" w:type="dxa"/>
            </w:tcMar>
            <w:vAlign w:val="center"/>
          </w:tcPr>
          <w:p>
            <w:pPr>
              <w:pStyle w:val="TableContents"/>
              <w:bidi w:val="0"/>
              <w:spacing w:before="0" w:after="283"/>
              <w:jc w:val="right"/>
              <w:rPr/>
            </w:pPr>
            <w:r>
              <w:rPr/>
              <w:t>759,967</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837,453</w:t>
            </w:r>
          </w:p>
        </w:tc>
        <w:tc>
          <w:tcPr>
            <w:tcW w:w="11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0" w:type="dxa"/>
            <w:tcBorders>
              <w:bottom w:val="single" w:sz="12" w:space="0" w:color="000000"/>
            </w:tcBorders>
            <w:shd w:fill="CCEEFF" w:val="clear"/>
            <w:tcMar>
              <w:bottom w:w="28" w:type="dxa"/>
            </w:tcMar>
            <w:vAlign w:val="center"/>
          </w:tcPr>
          <w:p>
            <w:pPr>
              <w:pStyle w:val="TableContents"/>
              <w:bidi w:val="0"/>
              <w:spacing w:before="0" w:after="283"/>
              <w:jc w:val="right"/>
              <w:rPr/>
            </w:pPr>
            <w:r>
              <w:rPr/>
              <w:t>6,873,445</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CCEEFF" w:val="clear"/>
            <w:tcMar>
              <w:bottom w:w="28" w:type="dxa"/>
            </w:tcMar>
            <w:vAlign w:val="center"/>
          </w:tcPr>
          <w:p>
            <w:pPr>
              <w:pStyle w:val="TableContents"/>
              <w:bidi w:val="0"/>
              <w:spacing w:before="0" w:after="283"/>
              <w:jc w:val="right"/>
              <w:rPr/>
            </w:pPr>
            <w:r>
              <w:rPr/>
              <w:t>2,029,430</w:t>
            </w:r>
          </w:p>
        </w:tc>
        <w:tc>
          <w:tcPr>
            <w:tcW w:w="11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0" w:type="dxa"/>
            <w:tcBorders>
              <w:bottom w:val="single" w:sz="12" w:space="0" w:color="000000"/>
            </w:tcBorders>
            <w:shd w:fill="FFFFFF" w:val="clear"/>
            <w:tcMar>
              <w:bottom w:w="28" w:type="dxa"/>
            </w:tcMar>
            <w:vAlign w:val="center"/>
          </w:tcPr>
          <w:p>
            <w:pPr>
              <w:pStyle w:val="TableContents"/>
              <w:bidi w:val="0"/>
              <w:spacing w:before="0" w:after="283"/>
              <w:jc w:val="right"/>
              <w:rPr/>
            </w:pPr>
            <w:r>
              <w:rPr/>
              <w:t>(7,044,673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(1,676,678</w:t>
            </w:r>
          </w:p>
        </w:tc>
        <w:tc>
          <w:tcPr>
            <w:tcW w:w="110" w:type="dxa"/>
            <w:tcBorders/>
            <w:shd w:fill="FFFFFF" w:val="clear"/>
            <w:vAlign w:val="center"/>
          </w:tcPr>
          <w:p>
            <w:pPr>
              <w:pStyle w:val="TableContents"/>
              <w:bidi w:val="0"/>
              <w:spacing w:before="0" w:after="283"/>
              <w:jc w:val="left"/>
              <w:rPr/>
            </w:pPr>
            <w:r>
              <w:rPr/>
              <w:t>)</w:t>
            </w:r>
          </w:p>
        </w:tc>
      </w:tr>
      <w:tr>
        <w:trPr/>
        <w:tc>
          <w:tcPr>
            <w:tcW w:w="4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u w:val="single"/>
              </w:rPr>
              <w:t>Other expense</w:t>
            </w: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Change in fair value of SAFE agreements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0" w:type="dxa"/>
            <w:tcBorders>
              <w:bottom w:val="single" w:sz="12" w:space="0" w:color="000000"/>
            </w:tcBorders>
            <w:shd w:fill="CCEEFF" w:val="clear"/>
            <w:tcMar>
              <w:bottom w:w="28" w:type="dxa"/>
            </w:tcMar>
            <w:vAlign w:val="center"/>
          </w:tcPr>
          <w:p>
            <w:pPr>
              <w:pStyle w:val="TableContents"/>
              <w:bidi w:val="0"/>
              <w:spacing w:before="0" w:after="283"/>
              <w:jc w:val="right"/>
              <w:rPr/>
            </w:pPr>
            <w:r>
              <w:rPr/>
              <w:t>14,492,176</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CCEEFF" w:val="clear"/>
            <w:tcMar>
              <w:bottom w:w="28" w:type="dxa"/>
            </w:tcMar>
            <w:vAlign w:val="center"/>
          </w:tcPr>
          <w:p>
            <w:pPr>
              <w:pStyle w:val="TableContents"/>
              <w:bidi w:val="0"/>
              <w:spacing w:before="0" w:after="283"/>
              <w:jc w:val="right"/>
              <w:rPr/>
            </w:pPr>
            <w:r>
              <w:rPr/>
              <w:t>263,239</w:t>
            </w:r>
          </w:p>
        </w:tc>
        <w:tc>
          <w:tcPr>
            <w:tcW w:w="11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Net 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(21,536,849</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(1,939,917</w:t>
            </w:r>
          </w:p>
        </w:tc>
        <w:tc>
          <w:tcPr>
            <w:tcW w:w="110" w:type="dxa"/>
            <w:tcBorders/>
            <w:shd w:fill="CCEEFF" w:val="clear"/>
            <w:vAlign w:val="center"/>
          </w:tcPr>
          <w:p>
            <w:pPr>
              <w:pStyle w:val="TableContents"/>
              <w:bidi w:val="0"/>
              <w:spacing w:before="0" w:after="283"/>
              <w:jc w:val="left"/>
              <w:rPr/>
            </w:pPr>
            <w:r>
              <w:rPr/>
              <w:t>)</w:t>
            </w:r>
          </w:p>
        </w:tc>
      </w:tr>
      <w:tr>
        <w:trPr/>
        <w:tc>
          <w:tcPr>
            <w:tcW w:w="4025"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0" w:type="dxa"/>
            <w:tcBorders>
              <w:bottom w:val="single" w:sz="12" w:space="0" w:color="000000"/>
            </w:tcBorders>
            <w:shd w:fill="FFFFFF" w:val="clear"/>
            <w:tcMar>
              <w:bottom w:w="28" w:type="dxa"/>
            </w:tcMar>
            <w:vAlign w:val="center"/>
          </w:tcPr>
          <w:p>
            <w:pPr>
              <w:pStyle w:val="TableContents"/>
              <w:bidi w:val="0"/>
              <w:spacing w:before="0" w:after="283"/>
              <w:jc w:val="right"/>
              <w:rPr/>
            </w:pPr>
            <w:r>
              <w:rPr/>
              <w:t>581</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10" w:type="dxa"/>
            <w:tcBorders>
              <w:bottom w:val="double" w:sz="10" w:space="0" w:color="000000"/>
            </w:tcBorders>
            <w:shd w:fill="CCEEFF" w:val="clear"/>
            <w:tcMar>
              <w:bottom w:w="28" w:type="dxa"/>
            </w:tcMar>
            <w:vAlign w:val="center"/>
          </w:tcPr>
          <w:p>
            <w:pPr>
              <w:pStyle w:val="TableContents"/>
              <w:bidi w:val="0"/>
              <w:spacing w:before="0" w:after="283"/>
              <w:jc w:val="right"/>
              <w:rPr/>
            </w:pPr>
            <w:r>
              <w:rPr/>
              <w:t>(21,537,430</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1" w:type="dxa"/>
            <w:tcBorders>
              <w:bottom w:val="double" w:sz="10" w:space="0" w:color="000000"/>
            </w:tcBorders>
            <w:shd w:fill="CCEEFF" w:val="clear"/>
            <w:tcMar>
              <w:bottom w:w="28" w:type="dxa"/>
            </w:tcMar>
            <w:vAlign w:val="center"/>
          </w:tcPr>
          <w:p>
            <w:pPr>
              <w:pStyle w:val="TableContents"/>
              <w:bidi w:val="0"/>
              <w:spacing w:before="0" w:after="283"/>
              <w:jc w:val="right"/>
              <w:rPr/>
            </w:pPr>
            <w:r>
              <w:rPr/>
              <w:t>(1,939,917</w:t>
            </w:r>
          </w:p>
        </w:tc>
        <w:tc>
          <w:tcPr>
            <w:tcW w:w="110" w:type="dxa"/>
            <w:tcBorders/>
            <w:shd w:fill="CCEEFF" w:val="clear"/>
            <w:vAlign w:val="center"/>
          </w:tcPr>
          <w:p>
            <w:pPr>
              <w:pStyle w:val="TableContents"/>
              <w:bidi w:val="0"/>
              <w:spacing w:before="0" w:after="283"/>
              <w:jc w:val="left"/>
              <w:rPr/>
            </w:pPr>
            <w:r>
              <w:rPr/>
              <w:t>)</w:t>
            </w:r>
          </w:p>
        </w:tc>
      </w:tr>
      <w:tr>
        <w:trPr/>
        <w:tc>
          <w:tcPr>
            <w:tcW w:w="4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u w:val="single"/>
              </w:rPr>
              <w:t>Net loss per share</w:t>
            </w: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410" w:type="dxa"/>
            <w:tcBorders>
              <w:bottom w:val="single" w:sz="12" w:space="0" w:color="000000"/>
            </w:tcBorders>
            <w:shd w:fill="FFFFFF" w:val="clear"/>
            <w:tcMar>
              <w:bottom w:w="28" w:type="dxa"/>
            </w:tcMar>
            <w:vAlign w:val="center"/>
          </w:tcPr>
          <w:p>
            <w:pPr>
              <w:pStyle w:val="TableContents"/>
              <w:bidi w:val="0"/>
              <w:spacing w:before="0" w:after="283"/>
              <w:jc w:val="right"/>
              <w:rPr/>
            </w:pPr>
            <w:r>
              <w:rPr/>
              <w:t>(0.20</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(0.02</w:t>
            </w:r>
          </w:p>
        </w:tc>
        <w:tc>
          <w:tcPr>
            <w:tcW w:w="110" w:type="dxa"/>
            <w:tcBorders/>
            <w:shd w:fill="FFFFFF" w:val="clear"/>
            <w:vAlign w:val="center"/>
          </w:tcPr>
          <w:p>
            <w:pPr>
              <w:pStyle w:val="TableContents"/>
              <w:bidi w:val="0"/>
              <w:spacing w:before="0" w:after="283"/>
              <w:jc w:val="left"/>
              <w:rPr/>
            </w:pPr>
            <w:r>
              <w:rPr/>
              <w:t>)</w:t>
            </w:r>
          </w:p>
        </w:tc>
      </w:tr>
      <w:tr>
        <w:trPr/>
        <w:tc>
          <w:tcPr>
            <w:tcW w:w="4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u w:val="single"/>
              </w:rPr>
              <w:t>Weighted-average number of shares</w:t>
            </w: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0" w:type="dxa"/>
            <w:tcBorders>
              <w:bottom w:val="single" w:sz="12" w:space="0" w:color="000000"/>
            </w:tcBorders>
            <w:shd w:fill="CCEEFF" w:val="clear"/>
            <w:tcMar>
              <w:bottom w:w="28" w:type="dxa"/>
            </w:tcMar>
            <w:vAlign w:val="center"/>
          </w:tcPr>
          <w:p>
            <w:pPr>
              <w:pStyle w:val="TableContents"/>
              <w:bidi w:val="0"/>
              <w:spacing w:before="0" w:after="283"/>
              <w:jc w:val="right"/>
              <w:rPr/>
            </w:pPr>
            <w:r>
              <w:rPr/>
              <w:t>108,203,788</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CCEEFF" w:val="clear"/>
            <w:tcMar>
              <w:bottom w:w="28" w:type="dxa"/>
            </w:tcMar>
            <w:vAlign w:val="center"/>
          </w:tcPr>
          <w:p>
            <w:pPr>
              <w:pStyle w:val="TableContents"/>
              <w:bidi w:val="0"/>
              <w:spacing w:before="0" w:after="283"/>
              <w:jc w:val="right"/>
              <w:rPr/>
            </w:pPr>
            <w:r>
              <w:rPr/>
              <w:t>95,983,188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53" w:name="a_003"/>
      <w:bookmarkEnd w:id="53"/>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Stockholders’ Deficit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2023</w:t>
      </w:r>
    </w:p>
    <w:p>
      <w:pPr>
        <w:pStyle w:val="TextBody"/>
        <w:bidi w:val="0"/>
        <w:spacing w:before="0" w:after="0"/>
        <w:ind w:left="0" w:right="0" w:hanging="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3050"/>
        <w:gridCol w:w="60"/>
        <w:gridCol w:w="60"/>
        <w:gridCol w:w="1220"/>
        <w:gridCol w:w="60"/>
        <w:gridCol w:w="60"/>
        <w:gridCol w:w="140"/>
        <w:gridCol w:w="800"/>
        <w:gridCol w:w="60"/>
        <w:gridCol w:w="60"/>
        <w:gridCol w:w="152"/>
        <w:gridCol w:w="873"/>
        <w:gridCol w:w="60"/>
        <w:gridCol w:w="60"/>
        <w:gridCol w:w="140"/>
        <w:gridCol w:w="1175"/>
        <w:gridCol w:w="95"/>
        <w:gridCol w:w="60"/>
        <w:gridCol w:w="140"/>
        <w:gridCol w:w="1175"/>
        <w:gridCol w:w="110"/>
      </w:tblGrid>
      <w:tr>
        <w:trPr/>
        <w:tc>
          <w:tcPr>
            <w:tcW w:w="3050"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ind w:left="0" w:right="0" w:hanging="180"/>
              <w:jc w:val="left"/>
              <w:rPr/>
            </w:pPr>
            <w:r>
              <w:rPr/>
              <w:t> </w:t>
            </w:r>
          </w:p>
        </w:tc>
      </w:tr>
      <w:tr>
        <w:trPr/>
        <w:tc>
          <w:tcPr>
            <w:tcW w:w="3050" w:type="dxa"/>
            <w:tcBorders/>
            <w:shd w:fill="CCEEFF" w:val="clear"/>
            <w:vAlign w:val="center"/>
          </w:tcPr>
          <w:p>
            <w:pPr>
              <w:pStyle w:val="TableContents"/>
              <w:bidi w:val="0"/>
              <w:spacing w:before="0" w:after="283"/>
              <w:jc w:val="left"/>
              <w:rPr/>
            </w:pPr>
            <w:r>
              <w:rPr/>
              <w:t>Balances at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108,975,000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108,975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873" w:type="dxa"/>
            <w:tcBorders/>
            <w:shd w:fill="CCEEFF" w:val="clear"/>
            <w:vAlign w:val="center"/>
          </w:tcPr>
          <w:p>
            <w:pPr>
              <w:pStyle w:val="TableContents"/>
              <w:bidi w:val="0"/>
              <w:spacing w:before="0" w:after="283"/>
              <w:jc w:val="right"/>
              <w:rPr/>
            </w:pPr>
            <w:r>
              <w:rPr/>
              <w:t>71,543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(1,255,916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(1,075,398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05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61,817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61,817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0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(1,939,917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(1,939,917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050" w:type="dxa"/>
            <w:tcBorders/>
            <w:shd w:fill="FFFFFF" w:val="clear"/>
            <w:vAlign w:val="center"/>
          </w:tcPr>
          <w:p>
            <w:pPr>
              <w:pStyle w:val="TableContents"/>
              <w:bidi w:val="0"/>
              <w:spacing w:before="0" w:after="283"/>
              <w:jc w:val="left"/>
              <w:rPr/>
            </w:pPr>
            <w:r>
              <w:rPr/>
              <w:t>Balances at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108,975,000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108,975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133,360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(3,195,833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(2,953,498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05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197,006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197,006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05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(21,537,430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(21,537,430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050" w:type="dxa"/>
            <w:tcBorders/>
            <w:shd w:fill="CCEEFF" w:val="clear"/>
            <w:vAlign w:val="center"/>
          </w:tcPr>
          <w:p>
            <w:pPr>
              <w:pStyle w:val="TableContents"/>
              <w:bidi w:val="0"/>
              <w:spacing w:before="0" w:after="283"/>
              <w:jc w:val="left"/>
              <w:rPr/>
            </w:pPr>
            <w:r>
              <w:rPr/>
              <w:t>Balances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108,975,000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108,975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3" w:type="dxa"/>
            <w:tcBorders>
              <w:bottom w:val="double" w:sz="10" w:space="0" w:color="000000"/>
            </w:tcBorders>
            <w:shd w:fill="CCEEFF" w:val="clear"/>
            <w:tcMar>
              <w:bottom w:w="28" w:type="dxa"/>
            </w:tcMar>
            <w:vAlign w:val="center"/>
          </w:tcPr>
          <w:p>
            <w:pPr>
              <w:pStyle w:val="TableContents"/>
              <w:bidi w:val="0"/>
              <w:spacing w:before="0" w:after="283"/>
              <w:jc w:val="right"/>
              <w:rPr/>
            </w:pPr>
            <w:r>
              <w:rPr/>
              <w:t>330,366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(24,733,263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(24,293,922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54" w:name="a_004"/>
      <w:bookmarkEnd w:id="54"/>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Cash Flows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56"/>
        <w:gridCol w:w="60"/>
        <w:gridCol w:w="166"/>
        <w:gridCol w:w="1402"/>
        <w:gridCol w:w="112"/>
        <w:gridCol w:w="70"/>
        <w:gridCol w:w="166"/>
        <w:gridCol w:w="1258"/>
        <w:gridCol w:w="115"/>
      </w:tblGrid>
      <w:tr>
        <w:trPr/>
        <w:tc>
          <w:tcPr>
            <w:tcW w:w="685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174" w:type="dxa"/>
            <w:gridSpan w:val="6"/>
            <w:tcBorders>
              <w:bottom w:val="single" w:sz="12" w:space="0" w:color="000000"/>
            </w:tcBorders>
            <w:tcMar>
              <w:bottom w:w="28" w:type="dxa"/>
            </w:tcMar>
            <w:vAlign w:val="center"/>
          </w:tcPr>
          <w:p>
            <w:pPr>
              <w:pStyle w:val="TableContents"/>
              <w:bidi w:val="0"/>
              <w:spacing w:before="0" w:after="283"/>
              <w:jc w:val="center"/>
              <w:rPr/>
            </w:pPr>
            <w:r>
              <w:rPr/>
              <w:t>For the year ended December 31,</w:t>
            </w:r>
          </w:p>
        </w:tc>
        <w:tc>
          <w:tcPr>
            <w:tcW w:w="115" w:type="dxa"/>
            <w:tcBorders/>
            <w:vAlign w:val="center"/>
          </w:tcPr>
          <w:p>
            <w:pPr>
              <w:pStyle w:val="TableContents"/>
              <w:bidi w:val="0"/>
              <w:spacing w:before="0" w:after="283"/>
              <w:jc w:val="left"/>
              <w:rPr/>
            </w:pPr>
            <w:r>
              <w:rPr/>
              <w:t> </w:t>
            </w:r>
          </w:p>
        </w:tc>
      </w:tr>
      <w:tr>
        <w:trPr/>
        <w:tc>
          <w:tcPr>
            <w:tcW w:w="685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68"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24"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15" w:type="dxa"/>
            <w:tcBorders/>
            <w:vAlign w:val="center"/>
          </w:tcPr>
          <w:p>
            <w:pPr>
              <w:pStyle w:val="TableContents"/>
              <w:bidi w:val="0"/>
              <w:spacing w:before="0" w:after="283"/>
              <w:jc w:val="left"/>
              <w:rPr/>
            </w:pPr>
            <w:r>
              <w:rPr/>
              <w:t> </w:t>
            </w:r>
          </w:p>
        </w:tc>
      </w:tr>
      <w:tr>
        <w:trPr/>
        <w:tc>
          <w:tcPr>
            <w:tcW w:w="6856" w:type="dxa"/>
            <w:tcBorders/>
            <w:vAlign w:val="center"/>
          </w:tcPr>
          <w:p>
            <w:pPr>
              <w:pStyle w:val="TableContents"/>
              <w:bidi w:val="0"/>
              <w:spacing w:before="0" w:after="283"/>
              <w:jc w:val="both"/>
              <w:rPr>
                <w:u w:val="single"/>
              </w:rPr>
            </w:pPr>
            <w:r>
              <w:rPr>
                <w:u w:val="single"/>
              </w:rPr>
              <w:t>Cash flows from operating activities:</w:t>
            </w:r>
          </w:p>
        </w:tc>
        <w:tc>
          <w:tcPr>
            <w:tcW w:w="60" w:type="dxa"/>
            <w:tcBorders/>
            <w:vAlign w:val="center"/>
          </w:tcPr>
          <w:p>
            <w:pPr>
              <w:pStyle w:val="TableContents"/>
              <w:bidi w:val="0"/>
              <w:spacing w:before="0" w:after="283"/>
              <w:jc w:val="left"/>
              <w:rPr/>
            </w:pPr>
            <w:r>
              <w:rPr/>
              <w:t> </w:t>
            </w:r>
          </w:p>
        </w:tc>
        <w:tc>
          <w:tcPr>
            <w:tcW w:w="1568" w:type="dxa"/>
            <w:gridSpan w:val="2"/>
            <w:tcBorders/>
            <w:vAlign w:val="center"/>
          </w:tcPr>
          <w:p>
            <w:pPr>
              <w:pStyle w:val="TableContents"/>
              <w:bidi w:val="0"/>
              <w:spacing w:before="0" w:after="283"/>
              <w:jc w:val="both"/>
              <w:rPr/>
            </w:pPr>
            <w:r>
              <w:rPr/>
              <w:t> </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24" w:type="dxa"/>
            <w:gridSpan w:val="2"/>
            <w:tcBorders/>
            <w:vAlign w:val="center"/>
          </w:tcPr>
          <w:p>
            <w:pPr>
              <w:pStyle w:val="TableContents"/>
              <w:bidi w:val="0"/>
              <w:spacing w:before="0" w:after="283"/>
              <w:jc w:val="both"/>
              <w:rPr/>
            </w:pPr>
            <w:r>
              <w:rPr/>
              <w:t> </w:t>
            </w:r>
          </w:p>
        </w:tc>
        <w:tc>
          <w:tcPr>
            <w:tcW w:w="115" w:type="dxa"/>
            <w:tcBorders/>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402" w:type="dxa"/>
            <w:tcBorders>
              <w:bottom w:val="single" w:sz="12" w:space="0" w:color="000000"/>
            </w:tcBorders>
            <w:shd w:fill="CCEEFF" w:val="clear"/>
            <w:tcMar>
              <w:bottom w:w="28" w:type="dxa"/>
            </w:tcMar>
            <w:vAlign w:val="center"/>
          </w:tcPr>
          <w:p>
            <w:pPr>
              <w:pStyle w:val="TableContents"/>
              <w:bidi w:val="0"/>
              <w:spacing w:before="0" w:after="283"/>
              <w:jc w:val="right"/>
              <w:rPr/>
            </w:pPr>
            <w:r>
              <w:rPr/>
              <w:t>(21,537,430</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(1,939,917</w:t>
            </w:r>
          </w:p>
        </w:tc>
        <w:tc>
          <w:tcPr>
            <w:tcW w:w="115" w:type="dxa"/>
            <w:tcBorders/>
            <w:shd w:fill="CCEEFF" w:val="clear"/>
            <w:vAlign w:val="center"/>
          </w:tcPr>
          <w:p>
            <w:pPr>
              <w:pStyle w:val="TableContents"/>
              <w:bidi w:val="0"/>
              <w:spacing w:before="0" w:after="283"/>
              <w:jc w:val="left"/>
              <w:rPr/>
            </w:pPr>
            <w:r>
              <w:rPr/>
              <w:t>)</w:t>
            </w:r>
          </w:p>
        </w:tc>
      </w:tr>
      <w:tr>
        <w:trPr/>
        <w:tc>
          <w:tcPr>
            <w:tcW w:w="6856" w:type="dxa"/>
            <w:tcBorders/>
            <w:shd w:fill="FFFFFF" w:val="clear"/>
            <w:vAlign w:val="center"/>
          </w:tcPr>
          <w:p>
            <w:pPr>
              <w:pStyle w:val="TableContents"/>
              <w:bidi w:val="0"/>
              <w:spacing w:before="0" w:after="283"/>
              <w:jc w:val="left"/>
              <w:rPr/>
            </w:pPr>
            <w:r>
              <w:rPr/>
              <w:t>Adjustments to reconcile net loss to net cash used by operating activities: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left"/>
              <w:rPr/>
            </w:pPr>
            <w:r>
              <w:rPr/>
              <w:t>Change in fair value of SAFE agreements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14,492,176</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263,239</w:t>
            </w:r>
          </w:p>
        </w:tc>
        <w:tc>
          <w:tcPr>
            <w:tcW w:w="115" w:type="dxa"/>
            <w:tcBorders/>
            <w:shd w:fill="CCEEFF"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both"/>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197,006</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61,817</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both"/>
              <w:rPr/>
            </w:pPr>
            <w:r>
              <w:rPr/>
              <w:t>Amortization of right-of-use asset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23,586</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both"/>
              <w:rPr/>
            </w:pPr>
            <w:r>
              <w:rPr/>
              <w:t>Operating lease payments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14,103</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both"/>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(45,486</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108,008</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both"/>
              <w:rPr/>
            </w:pPr>
            <w:r>
              <w:rPr/>
              <w:t>Inventory</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(65,248</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both"/>
              <w:rPr/>
            </w:pPr>
            <w:r>
              <w:rPr/>
              <w:t>Advances to supplier</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(33,576</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both"/>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21,870</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(155,323</w:t>
            </w:r>
          </w:p>
        </w:tc>
        <w:tc>
          <w:tcPr>
            <w:tcW w:w="115" w:type="dxa"/>
            <w:tcBorders/>
            <w:shd w:fill="CCEEFF" w:val="clear"/>
            <w:vAlign w:val="center"/>
          </w:tcPr>
          <w:p>
            <w:pPr>
              <w:pStyle w:val="TableContents"/>
              <w:bidi w:val="0"/>
              <w:spacing w:before="0" w:after="283"/>
              <w:jc w:val="left"/>
              <w:rPr/>
            </w:pPr>
            <w:r>
              <w:rPr/>
              <w:t>)</w:t>
            </w:r>
          </w:p>
        </w:tc>
      </w:tr>
      <w:tr>
        <w:trPr/>
        <w:tc>
          <w:tcPr>
            <w:tcW w:w="6856" w:type="dxa"/>
            <w:tcBorders/>
            <w:shd w:fill="FFFFFF" w:val="clear"/>
            <w:vAlign w:val="center"/>
          </w:tcPr>
          <w:p>
            <w:pPr>
              <w:pStyle w:val="TableContents"/>
              <w:bidi w:val="0"/>
              <w:spacing w:before="0" w:after="283"/>
              <w:jc w:val="both"/>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(23,389</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both"/>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768,542</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(10,707</w:t>
            </w:r>
          </w:p>
        </w:tc>
        <w:tc>
          <w:tcPr>
            <w:tcW w:w="115" w:type="dxa"/>
            <w:tcBorders/>
            <w:shd w:fill="CCEEFF" w:val="clear"/>
            <w:vAlign w:val="center"/>
          </w:tcPr>
          <w:p>
            <w:pPr>
              <w:pStyle w:val="TableContents"/>
              <w:bidi w:val="0"/>
              <w:spacing w:before="0" w:after="283"/>
              <w:jc w:val="left"/>
              <w:rPr/>
            </w:pPr>
            <w:r>
              <w:rPr/>
              <w:t>)</w:t>
            </w:r>
          </w:p>
        </w:tc>
      </w:tr>
      <w:tr>
        <w:trPr/>
        <w:tc>
          <w:tcPr>
            <w:tcW w:w="6856" w:type="dxa"/>
            <w:tcBorders/>
            <w:shd w:fill="FFFFFF" w:val="clear"/>
            <w:vAlign w:val="center"/>
          </w:tcPr>
          <w:p>
            <w:pPr>
              <w:pStyle w:val="TableContents"/>
              <w:bidi w:val="0"/>
              <w:spacing w:before="0" w:after="283"/>
              <w:jc w:val="both"/>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714</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20,207</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both"/>
              <w:rPr/>
            </w:pPr>
            <w:r>
              <w:rPr/>
              <w:t>Payroll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227,852</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(15,827</w:t>
            </w:r>
          </w:p>
        </w:tc>
        <w:tc>
          <w:tcPr>
            <w:tcW w:w="115" w:type="dxa"/>
            <w:tcBorders/>
            <w:shd w:fill="CCEEFF" w:val="clear"/>
            <w:vAlign w:val="center"/>
          </w:tcPr>
          <w:p>
            <w:pPr>
              <w:pStyle w:val="TableContents"/>
              <w:bidi w:val="0"/>
              <w:spacing w:before="0" w:after="283"/>
              <w:jc w:val="left"/>
              <w:rPr/>
            </w:pPr>
            <w:r>
              <w:rPr/>
              <w:t>)</w:t>
            </w:r>
          </w:p>
        </w:tc>
      </w:tr>
      <w:tr>
        <w:trPr/>
        <w:tc>
          <w:tcPr>
            <w:tcW w:w="6856" w:type="dxa"/>
            <w:tcBorders/>
            <w:shd w:fill="FFFFFF" w:val="clear"/>
            <w:vAlign w:val="center"/>
          </w:tcPr>
          <w:p>
            <w:pPr>
              <w:pStyle w:val="TableContents"/>
              <w:bidi w:val="0"/>
              <w:spacing w:before="0" w:after="283"/>
              <w:jc w:val="both"/>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2,713,215</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both"/>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2" w:type="dxa"/>
            <w:tcBorders>
              <w:bottom w:val="single" w:sz="12" w:space="0" w:color="000000"/>
            </w:tcBorders>
            <w:shd w:fill="CCEEFF" w:val="clear"/>
            <w:tcMar>
              <w:bottom w:w="28" w:type="dxa"/>
            </w:tcMar>
            <w:vAlign w:val="center"/>
          </w:tcPr>
          <w:p>
            <w:pPr>
              <w:pStyle w:val="TableContents"/>
              <w:bidi w:val="0"/>
              <w:spacing w:before="0" w:after="283"/>
              <w:jc w:val="right"/>
              <w:rPr/>
            </w:pPr>
            <w:r>
              <w:rPr/>
              <w:t>(43,943</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both"/>
              <w:rPr/>
            </w:pPr>
            <w:r>
              <w:rPr/>
              <w:t>Total adjustments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2" w:type="dxa"/>
            <w:tcBorders>
              <w:bottom w:val="single" w:sz="12" w:space="0" w:color="000000"/>
            </w:tcBorders>
            <w:shd w:fill="FFFFFF" w:val="clear"/>
            <w:tcMar>
              <w:bottom w:w="28" w:type="dxa"/>
            </w:tcMar>
            <w:vAlign w:val="center"/>
          </w:tcPr>
          <w:p>
            <w:pPr>
              <w:pStyle w:val="TableContents"/>
              <w:bidi w:val="0"/>
              <w:spacing w:before="0" w:after="283"/>
              <w:jc w:val="right"/>
              <w:rPr/>
            </w:pPr>
            <w:r>
              <w:rPr/>
              <w:t>18,247,422</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pPr>
            <w:r>
              <w:rPr/>
              <w:t>271,414</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left"/>
              <w:rPr/>
            </w:pPr>
            <w:r>
              <w:rPr/>
              <w:t>Net cash used by operating activities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2" w:type="dxa"/>
            <w:tcBorders>
              <w:bottom w:val="single" w:sz="12" w:space="0" w:color="000000"/>
            </w:tcBorders>
            <w:shd w:fill="CCEEFF" w:val="clear"/>
            <w:tcMar>
              <w:bottom w:w="28" w:type="dxa"/>
            </w:tcMar>
            <w:vAlign w:val="center"/>
          </w:tcPr>
          <w:p>
            <w:pPr>
              <w:pStyle w:val="TableContents"/>
              <w:bidi w:val="0"/>
              <w:spacing w:before="0" w:after="283"/>
              <w:jc w:val="right"/>
              <w:rPr/>
            </w:pPr>
            <w:r>
              <w:rPr/>
              <w:t>(3,290,008</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(1,668,503</w:t>
            </w:r>
          </w:p>
        </w:tc>
        <w:tc>
          <w:tcPr>
            <w:tcW w:w="115" w:type="dxa"/>
            <w:tcBorders/>
            <w:shd w:fill="CCEEFF" w:val="clear"/>
            <w:vAlign w:val="center"/>
          </w:tcPr>
          <w:p>
            <w:pPr>
              <w:pStyle w:val="TableContents"/>
              <w:bidi w:val="0"/>
              <w:spacing w:before="0" w:after="283"/>
              <w:jc w:val="left"/>
              <w:rPr/>
            </w:pPr>
            <w:r>
              <w:rPr/>
              <w:t>)</w:t>
            </w:r>
          </w:p>
        </w:tc>
      </w:tr>
      <w:tr>
        <w:trPr/>
        <w:tc>
          <w:tcPr>
            <w:tcW w:w="6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both"/>
              <w:rPr>
                <w:u w:val="single"/>
              </w:rPr>
            </w:pPr>
            <w:r>
              <w:rPr>
                <w:u w:val="single"/>
              </w:rPr>
              <w:t>Cash flows used by investing activities: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left"/>
              <w:rPr/>
            </w:pPr>
            <w:r>
              <w:rPr/>
              <w:t>Capitalized software development costs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2" w:type="dxa"/>
            <w:tcBorders>
              <w:bottom w:val="single" w:sz="12" w:space="0" w:color="000000"/>
            </w:tcBorders>
            <w:shd w:fill="FFFFFF" w:val="clear"/>
            <w:tcMar>
              <w:bottom w:w="28" w:type="dxa"/>
            </w:tcMar>
            <w:vAlign w:val="center"/>
          </w:tcPr>
          <w:p>
            <w:pPr>
              <w:pStyle w:val="TableContents"/>
              <w:bidi w:val="0"/>
              <w:spacing w:before="0" w:after="283"/>
              <w:jc w:val="right"/>
              <w:rPr/>
            </w:pPr>
            <w:r>
              <w:rPr/>
              <w:t>(834,220</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pPr>
            <w:r>
              <w:rPr/>
              <w:t>(672,319</w:t>
            </w:r>
          </w:p>
        </w:tc>
        <w:tc>
          <w:tcPr>
            <w:tcW w:w="115" w:type="dxa"/>
            <w:tcBorders/>
            <w:shd w:fill="FFFFFF" w:val="clear"/>
            <w:vAlign w:val="center"/>
          </w:tcPr>
          <w:p>
            <w:pPr>
              <w:pStyle w:val="TableContents"/>
              <w:bidi w:val="0"/>
              <w:spacing w:before="0" w:after="283"/>
              <w:jc w:val="left"/>
              <w:rPr/>
            </w:pPr>
            <w:r>
              <w:rPr/>
              <w:t>)</w:t>
            </w:r>
          </w:p>
        </w:tc>
      </w:tr>
      <w:tr>
        <w:trPr/>
        <w:tc>
          <w:tcPr>
            <w:tcW w:w="68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left"/>
              <w:rPr>
                <w:u w:val="single"/>
              </w:rPr>
            </w:pPr>
            <w:r>
              <w:rPr>
                <w:u w:val="single"/>
              </w:rPr>
              <w:t>Cash flows provided by financing activities: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left"/>
              <w:rPr/>
            </w:pPr>
            <w:r>
              <w:rPr/>
              <w:t>Proceeds from issuance of SAFE agreements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2" w:type="dxa"/>
            <w:tcBorders>
              <w:bottom w:val="single" w:sz="12" w:space="0" w:color="000000"/>
            </w:tcBorders>
            <w:shd w:fill="CCEEFF" w:val="clear"/>
            <w:tcMar>
              <w:bottom w:w="28" w:type="dxa"/>
            </w:tcMar>
            <w:vAlign w:val="center"/>
          </w:tcPr>
          <w:p>
            <w:pPr>
              <w:pStyle w:val="TableContents"/>
              <w:bidi w:val="0"/>
              <w:spacing w:before="0" w:after="283"/>
              <w:jc w:val="right"/>
              <w:rPr/>
            </w:pPr>
            <w:r>
              <w:rPr/>
              <w:t>4,239,500</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2,120,000</w:t>
            </w:r>
          </w:p>
        </w:tc>
        <w:tc>
          <w:tcPr>
            <w:tcW w:w="115" w:type="dxa"/>
            <w:tcBorders/>
            <w:shd w:fill="CCEEFF"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left"/>
              <w:rPr/>
            </w:pPr>
            <w:r>
              <w:rPr/>
              <w:t>Net increase (decrease) in cash</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115,272</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(220,822</w:t>
            </w:r>
          </w:p>
        </w:tc>
        <w:tc>
          <w:tcPr>
            <w:tcW w:w="115" w:type="dxa"/>
            <w:tcBorders/>
            <w:shd w:fill="CCEEFF" w:val="clear"/>
            <w:vAlign w:val="center"/>
          </w:tcPr>
          <w:p>
            <w:pPr>
              <w:pStyle w:val="TableContents"/>
              <w:bidi w:val="0"/>
              <w:spacing w:before="0" w:after="283"/>
              <w:jc w:val="left"/>
              <w:rPr/>
            </w:pPr>
            <w:r>
              <w:rPr/>
              <w:t>)</w:t>
            </w:r>
          </w:p>
        </w:tc>
      </w:tr>
      <w:tr>
        <w:trPr/>
        <w:tc>
          <w:tcPr>
            <w:tcW w:w="6856" w:type="dxa"/>
            <w:tcBorders/>
            <w:shd w:fill="FFFFFF" w:val="clear"/>
            <w:vAlign w:val="center"/>
          </w:tcPr>
          <w:p>
            <w:pPr>
              <w:pStyle w:val="TableContents"/>
              <w:bidi w:val="0"/>
              <w:spacing w:before="0" w:after="283"/>
              <w:jc w:val="both"/>
              <w:rPr/>
            </w:pPr>
            <w:r>
              <w:rPr/>
              <w:t>Cash, beginning of year</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2" w:type="dxa"/>
            <w:tcBorders>
              <w:bottom w:val="single" w:sz="12" w:space="0" w:color="000000"/>
            </w:tcBorders>
            <w:shd w:fill="FFFFFF" w:val="clear"/>
            <w:tcMar>
              <w:bottom w:w="28" w:type="dxa"/>
            </w:tcMar>
            <w:vAlign w:val="center"/>
          </w:tcPr>
          <w:p>
            <w:pPr>
              <w:pStyle w:val="TableContents"/>
              <w:bidi w:val="0"/>
              <w:spacing w:before="0" w:after="283"/>
              <w:jc w:val="right"/>
              <w:rPr/>
            </w:pPr>
            <w:r>
              <w:rPr/>
              <w:t>605,760</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pPr>
            <w:r>
              <w:rPr/>
              <w:t>826,582</w:t>
            </w:r>
          </w:p>
        </w:tc>
        <w:tc>
          <w:tcPr>
            <w:tcW w:w="115" w:type="dxa"/>
            <w:tcBorders/>
            <w:shd w:fill="FFFFFF" w:val="cle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283"/>
              <w:jc w:val="both"/>
              <w:rPr/>
            </w:pPr>
            <w:r>
              <w:rPr/>
              <w:t>Cash, end of year</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2" w:type="dxa"/>
            <w:tcBorders>
              <w:bottom w:val="double" w:sz="10" w:space="0" w:color="000000"/>
            </w:tcBorders>
            <w:shd w:fill="CCEEFF" w:val="clear"/>
            <w:tcMar>
              <w:bottom w:w="28" w:type="dxa"/>
            </w:tcMar>
            <w:vAlign w:val="center"/>
          </w:tcPr>
          <w:p>
            <w:pPr>
              <w:pStyle w:val="TableContents"/>
              <w:bidi w:val="0"/>
              <w:spacing w:before="0" w:after="283"/>
              <w:jc w:val="right"/>
              <w:rPr/>
            </w:pPr>
            <w:r>
              <w:rPr/>
              <w:t>721,032</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8" w:type="dxa"/>
            <w:tcBorders>
              <w:bottom w:val="double" w:sz="10" w:space="0" w:color="000000"/>
            </w:tcBorders>
            <w:shd w:fill="CCEEFF" w:val="clear"/>
            <w:tcMar>
              <w:bottom w:w="28" w:type="dxa"/>
            </w:tcMar>
            <w:vAlign w:val="center"/>
          </w:tcPr>
          <w:p>
            <w:pPr>
              <w:pStyle w:val="TableContents"/>
              <w:bidi w:val="0"/>
              <w:spacing w:before="0" w:after="283"/>
              <w:jc w:val="right"/>
              <w:rPr/>
            </w:pPr>
            <w:r>
              <w:rPr/>
              <w:t>605,760</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55" w:name="a_005"/>
      <w:bookmarkEnd w:id="55"/>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1 - Organization and Description of the Business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Nature of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dba Dot AI (“SEE ID”) was incorporated in the state of Nevada on December 8, 2020 to help businesses transform their operations by optimizing safety, security and efficiency of operations through real-time tracking of resources. Through SEE ID’s extensive research and development initiatives, SEE ID’s main focus includes areas such as Industrial IoT, Indoor and Outdoor tracking with seamless transitions, Passive RFID (including Bluetooth and 5G), Collision Avoidance, real-time locating systems, Dolly Management, and related supported software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is the developer of an asset tracking platform intended to push the limits of real-time precision-based location technology. SEE ID’s platform leverages the technologies, including the patented passive and active RFID tracking solutions, low power edge camera platforms utilizing artificial intelligence, enabling users to give accuracy to have in transit visibility of their material flow. Through its technological solutions, SEE ID serves multiple industries including aviation, construction, delivery, military, mining, retail, sea ports, medical logistics, warehousing and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ID’s corporate headquarters is in Las Vegas, Nevada and SEE ID has offices in Massachusetts and Maryland.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SEE ID incorporated Dot Works, Inc. (“Dot Works”), a Puerto Rico corporation, as a wholly-owned subsidiary Dot Works, based in Puerto Rico, serves as the primary manufacturing facility for Dot Ai, producing smart hardware devices and embedded technology components used in AI-driven enterprise solutions (ZIM Bridges and Smart Industrial TAGS). Activities include assembly, quality control, and packaging of proprietary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accounts of SEE ID and its wholly-owned subsidiary, Dot Works, which are collectively referred to as the “Company” in these consolidated financial statements. All intercompany balances and transactions have been eliminated upon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Basis of Presentation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of the Company have been prepared in conformity with accounting principles generally accepted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Going Concern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the Company will continue as a going concern, which contemplates the realization of assets and satisfaction of liabilities in the normal course of business. The Company incurred net losses since its inception and at December 31, 2024 has an accumulated deficit of $24,733,263, cash of $721,032 and a working capital deficiency of $1,215,998. Management anticipates the Company will continue to incur operating losses for the foreseeable future. The Company’s ability to continue as a going concern is dependent on its ability to raise additional capital to fund its research and development (“R&amp;D”) activities and meet its obligations on a timely basis; however, there can be no assurance that sufficient funding will be available to allow the Company to successfully continue its R&amp;D activities and commercialize its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the Company signed a business combination agreement with ShoulderUp Technology Acquisition Corp. (“SUTA”), a special-purpose acquisition company. The Company’s strategic plan includes its business combination with SUTA to assist the Company in its efforts to raise capital and grow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necessary funds through its business operations and the proceeds realized through a business combination, or any other form of capital financing, significant reductions in spending and the delay or cancellation of planned activities may be necessary. These actions would have a material adverse effect on the Company’s business, results of operations, and prospects. These conditions raise substantial doubt about the Company’s ability to continue as a going concern within one year from the date these consolidated financial statements are issued. The accompanying consolidated financial statements do not include any adjustments relating to the recoverability and classification of recorded asset amounts or the amounts and classification of liabilities that might result from the outcome of these uncertainties.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Risks and Uncertainties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industry is subject to rapid technological change. The introduction of new technologies will continue to have a significant effect on competitive conditions to which the Company is subject. Certain technologies and industry developments may negatively impact the Company’s ability to compete within certain industry segments. If the Company is unable to develop new solutions that provide utility to its customers and provide enhancements and new features for its existing solutions that keep pace with rapid technological and regulatory change, the Company’s revenues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some of the inventory that the Company purchases includes components produced in foreign countries, the Company is subject to certain risks associated with tariffs on imports the government of the United States of America imposes, which could adversely impact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2 - Summary of Significant Accounting Policies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Use of Estimates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consolidated financial statements in conformity with US GAAP requires management to make estimates and assumptions that affect the reported amounts of assets and liabilities, as well as disclosure of contingent assets and liabilities at the date of the consolidated financial statements and the reported amounts of revenue and expenses during the reporting period. The Company believes judgment is involved in determining capitalized software development costs, the fair value of the SAFE agreements, useful lives of capitalized software development costs, stock-based compensation and the valuation allowance on deferred taxes. The Company bases these estimates on historical and anticipated results, trends, and various other assumptions that the Company believes are reasonable under the circumstances, including assumptions as to future events. Actual results could differ materially from those estimates and assumptions.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Accounts Receivable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derived from customers located primarily in North America. The Company generally does not require collateral to support customer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reduced by an allowance for credit losses to reserve for potentially uncollectible amounts. The Company evaluates the collectability of its accounts receivable monthly and amounts are written off when determined to be uncollectible by management. The maximum accounting loss from the credit risk associated with accounts receivable is the amount of the receivable recorded, which is the face amount of the receivable, net of the allowance for credit losses and deferred revenue, if any. The allowance for credit losses reflects the best estimate of probable losses. The Company writes off accounts receivable when they become uncollectible. No allowance for credit losses was necessary at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Inventory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raw materials and is valued at the lower of cost or net realizable value (“NRV”), with cost determined by the first-in, first-out method. NRV is determined as the estimated selling price in the ordinary course of business less the estimated selling costs. Valuations are periodically performed by management, and a charge to operations is recorded if the carrying value of the item exceeds its estimated net realizable value. Management also periodically performs a valuation on allowance for excess and obsolete inventory. No valuation allowance was necessary at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to supplier are adjusted against the final amounts due upon shipment of the related products to the Company and are expected to be utilized within one year.</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Prepaid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are amounts paid to secure the use of assets or the receipt of services at a future date or continuously over one or more future periods. When the prepaid expenses are consumed, they are charged to expense.</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Software Development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Financial Accounting Standards Board (“FASB”) Accounting Standards Codification (“ASC”) Topic 350-40, </w:t>
      </w:r>
      <w:r>
        <w:rPr>
          <w:rFonts w:ascii="Times New Roman;Times;Serif" w:hAnsi="Times New Roman;Times;Serif"/>
          <w:b w:val="false"/>
          <w:i/>
          <w:caps w:val="false"/>
          <w:smallCaps w:val="false"/>
          <w:sz w:val="20"/>
        </w:rPr>
        <w:t>Intangibles-Goodwill and Other-Internal-Use Software</w:t>
      </w:r>
      <w:r>
        <w:rPr>
          <w:rFonts w:ascii="Times New Roman;Times;Serif" w:hAnsi="Times New Roman;Times;Serif"/>
          <w:b w:val="false"/>
          <w:i w:val="false"/>
          <w:caps w:val="false"/>
          <w:smallCaps w:val="false"/>
          <w:sz w:val="20"/>
        </w:rPr>
        <w:t>, the Company capitalizes software development costs incurred on new applications or enhancements to applications during the application development phase of software for internal use to provide services to customers. These capitalized costs include certain payroll and payroll-related costs for employees and costs for outside consultants who are directly associated with and who devote time to internal-use software projects. Costs incurred prior to the application development phase and after the market release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and will test for impairment whenever events or changes in circumstances occur that could impact the recoverability of these assets. At December 31, 2024 and 2023, and for the years then ended, the Company was in the application development phase and as no projects have been substantially completed and ready for their intended use, no amortization was recorded during the years then ended.</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Impairment of Long-Lived 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reviewed for impairment whenever events or changes in circumstances indicate the carrying amount of an asset may not be fully recoverable. Recoverability of assets to be held and used is measured by a comparison of the carrying amount of the assets to their fair value, which is normally determined through analysis of the future net cash flows expected to be generated by the assets. If such assets are considered to be impaired, the impairment to be recognized is measured by the amount that the carrying amount of the assets exceeds the fair value of the assets. At December 31, 2024 and 2023, and for the years then ended, no such indicators of impairment were identified, and accordingly, no impairment losses were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Leases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and measures its leases in accordance with FASB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xml:space="preserve"> (“ASC 842”). The Company determines if an arrangement is a lease, or contains a lease, at inception of a contract and when the terms of an existing contract are changed. The Company recognizes a lease liability and a right-of-use (ROU) asset at the commencement date of each lease. The lease liability is initially and subsequently recognized based on the present value of the contract’s future lease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payments are included in the future lease payments when those variable payments depend on an index or a rate. The discount rate is the implicit rate, if it is readily determinable, or the Company’s incremental borrowing rate. The Company’s incremental borrowing rate for a lease is the rate of interest it would have to pay on a collateralized basis to borrow an amount equal to the lease payments under similar terms and in a similar economic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not recognize ROU assets and lease liabilities for short-term leases that have a lease term of 12 months or less at lease commencement and do not include an option to purchase the underlying asset that the Company is reasonably certain to exercise. The Company recognizes lease costs associated with its short-term leases on a straight-line basis over the lease term. When contracts contain lease and non-lease components, the Company accounts for each component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Recognition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FASB ASC Topic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primarily recognizes revenue from the delivery of subscription services and related professional services through a hosted cloud (SaaS) environment. Arrangements for services generally have terms of one year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service revenue is recognized on a straight-line basis over the contract term. The Company determined a time-based approach is the most appropriate measure of progress because customers simultaneously receive and consume the benefits as they can access the cloud-based software under the contract terms. The Company’s subscription service arrangements are noncancelable and do not contain refund-type provisions. The Company also sells hardware related to its subscription service arrangements. These hardware components are highly integrated with the subscription service and together represent a single performance obligation. Revenues attributable to this combined performance obligation are recognized over time as the services are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provides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consists of payments received in advance of satisfaction of a performance obligation and is recognized as the performance obligations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Company being in the early stages of developing its software as a service (Saas) product, revenues were primarily related to the delivery of feasibility study reports to customers seeking to gain insight into how data driven tracking could improve their business, which is recognized upon acceptance of the feasibility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2024, the Company entered into a five-year exclusivity and licensing agreement with a customer. In consideration of the exclusive rights granted through this agreement, the customer made payments to the Company totaling $2,000,000 by December 31, 2024, $36,785 of which has been recognized as revenue during the year ended December 31, 2024, and with the remaining $1,963,215 included in “Deferred revenue” at December 31, 2024 in the accompanying consolidated balance sheets, which will be recognized as follows: $392,643 (2025), $392,643 (2026), $392,643 (2027), $392,643 (2028), and $392,643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the Company also had deferred revenue amounting to $750,000 for a prepayment from a customer for certain products, hardware, installation, programming, subscription, and training services, which the Company is in the process of fulfilling and expects to deliver entirely before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Stock-Based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applies FASB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when recording stock-based compensation. The fair value of each stock option award is estimated on the date of grant using the Black-Scholes option valuation model. The assumptions used in the Black-Scholes valuation model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Grant Price</w:t>
      </w:r>
      <w:r>
        <w:rPr>
          <w:rFonts w:ascii="Times New Roman;Times;Serif" w:hAnsi="Times New Roman;Times;Serif"/>
          <w:b w:val="false"/>
          <w:i w:val="false"/>
          <w:caps w:val="false"/>
          <w:smallCaps w:val="false"/>
          <w:sz w:val="20"/>
        </w:rPr>
        <w:t xml:space="preserve"> - The grant price of the issuances is determined based on the estimated fair value of the shares at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Risk-Free Interest Rate</w:t>
      </w:r>
      <w:r>
        <w:rPr>
          <w:rFonts w:ascii="Times New Roman;Times;Serif" w:hAnsi="Times New Roman;Times;Serif"/>
          <w:b w:val="false"/>
          <w:i w:val="false"/>
          <w:caps w:val="false"/>
          <w:smallCaps w:val="false"/>
          <w:sz w:val="20"/>
        </w:rPr>
        <w:t xml:space="preserve"> - The risk-free interest rate for periods within the contractual life of the option is based on the U.S. Treasury yield in effect at the time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Expected Lives </w:t>
      </w:r>
      <w:r>
        <w:rPr>
          <w:rFonts w:ascii="Times New Roman;Times;Serif" w:hAnsi="Times New Roman;Times;Serif"/>
          <w:b w:val="false"/>
          <w:i w:val="false"/>
          <w:caps w:val="false"/>
          <w:smallCaps w:val="false"/>
          <w:sz w:val="20"/>
        </w:rPr>
        <w:t>- Due to the Company’s insufficient history of option activity, management utilizes the simplified approach to estimate the options’ expected term, which represents the period of time that options granted are expected to be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Volatility</w:t>
      </w:r>
      <w:r>
        <w:rPr>
          <w:rFonts w:ascii="Times New Roman;Times;Serif" w:hAnsi="Times New Roman;Times;Serif"/>
          <w:b w:val="false"/>
          <w:i w:val="false"/>
          <w:caps w:val="false"/>
          <w:smallCaps w:val="false"/>
          <w:sz w:val="20"/>
        </w:rPr>
        <w:t xml:space="preserve"> - Determined based on management’s estimate or historical volatilities of comparable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Dividend Yield</w:t>
      </w:r>
      <w:r>
        <w:rPr>
          <w:rFonts w:ascii="Times New Roman;Times;Serif" w:hAnsi="Times New Roman;Times;Serif"/>
          <w:b w:val="false"/>
          <w:i w:val="false"/>
          <w:caps w:val="false"/>
          <w:smallCaps w:val="false"/>
          <w:sz w:val="20"/>
        </w:rPr>
        <w:t xml:space="preserve"> - Based on current yield at the grant date or the average dividend yield over the historical period. The Company has never declared or paid dividends and has no plans to do so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stock-based compensation expense is recognized on a straight-line basis based on the number of awards expected to vest over the requisite service period, and is adjusted to reflect those awards that do ultimately vest with the offsetting credit to additional paid-in capital. For further details regarding stock-based compensation, see Note 7.</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Research and Development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related to the research and development of new products and processes are expensed as incurred. Research and development expenses consist primarily of compensation costs and fees paid to consultants and other expenses relating to the development and testing of the Company’s products.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Advertising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costs as incurred. For the years ended December 31, 2024 and 2023, advertising expenses totaled $818,538 and $47,850,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Income 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approach.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the deferred tax assets and liabilities of a change in tax rates is recognized in income in the period that includes the enactment date. The Company records a valuation allowance against deferred tax assets as deemed necessary.</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uncertainty in income taxes as prescribed by the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If applicable, the Company records interest and penalties as a component of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Fair Value of Financial Instruments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FASB ASC Topic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(“ASC 820”), establishes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Categorization within the valuation hierarchy is based upon the lowest level of input that is significant to the fair value measurement. Valuation techniques used need to maximize the use of observable inputs and minimize the use of unobservable inputs. Under the standard, fair value is defined as the exit price, or the amount that would be received to sell an asset or paid to transfer a liability in an orderly transaction between market participants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 levels of the fair value hierarchy under ASC 820 are described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Pricing inputs are unadjusted quoted prices available in active markets for identical assets or liabilities at the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Pricing inputs are quoted prices for similar investments, or inputs that are observable, either directly or indirectly, for substantially the full term through corroboration with observable market data. Level 2 includes assets and liabilities valued at quoted prices adjusted for legal or contractual restrictions specific to these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Pricing inputs are unobservable, supported by little or no market activity, and reflect the reporting entity’s own assumptions about the assumptions market participants would use in pricing the asset or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exception of the SAFE agreements, at December 31, 2024 and 2023, the fair value of all of the Company’s financial assets and liabilities approximate carrying value because of the short-term nature of these instruments. The SAFE agreements are carried at estimated fair value, determined by the Company using a probability weighted expected return method. The SAFE agreements are classified within Level 3 of the fair value hierarchy, since their fair values are determined using significant assumptions that are not observable in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 described above may produce a fair value calculation that may not be indicative of net realizable value or reflective of future fair values. Furthermore, although the Company believes its valuation methods are appropriate and consistent with other market participants; however, the use of different methodologies or assumptions to determine the fair value of certain financial instruments could result in a different fair value measurement at the reporting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Recently Issued Accounting Pronouncements: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FASB issued Accounting Standards Update (“ASU”) No. 2023-07 (“ASU 2023-07”), </w:t>
      </w:r>
      <w:r>
        <w:rPr>
          <w:rFonts w:ascii="Times New Roman;Times;Serif" w:hAnsi="Times New Roman;Times;Serif"/>
          <w:b w:val="false"/>
          <w:i/>
          <w:caps w:val="false"/>
          <w:smallCaps w:val="false"/>
          <w:sz w:val="20"/>
        </w:rPr>
        <w:t>Segment Reporting (Topic 280): Improvements to Reportable Segment Disclosures,</w:t>
      </w:r>
      <w:r>
        <w:rPr>
          <w:rFonts w:ascii="Times New Roman;Times;Serif" w:hAnsi="Times New Roman;Times;Serif"/>
          <w:b w:val="false"/>
          <w:i w:val="false"/>
          <w:caps w:val="false"/>
          <w:smallCaps w:val="false"/>
          <w:sz w:val="20"/>
        </w:rPr>
        <w:t xml:space="preserve"> to enhance disclosures about significant segment expenses for public entities reporting segment information under FASB ASC Topic 280. The amendments require public entities to disclose significant expense categories for each reportable segment, other segment items, the title and position of the chief financial decision-maker, and interim disclosures of certain segment-related information previously required only on an annual basis. The amendments clarify that entities reporting single segments must disclose both the new and existing segment disclosures under FASB ASC Topic 280, and a public entity is permitted to disclose multiple measures of segment profit or loss if certain criteria are met. This standard is effective for fiscal years beginning after December 15, 2023, and interim periods within fiscal years beginning after December 15, 2024. The adoption of ASU 2023-07 did not have a significant impact on the Company’s consolidated financial statements. See Note 13 for the required disclosures.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No.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xml:space="preserve"> (“ASU 2023-09”). ASU 2023-09 requires entities to disclose additional information in specified categories in the reconciliation of the effective tax rate to the statutory rate for federal, state, and foreign income taxes. ASU 2023-09 also requires greater detail about individual reconciling items in the rate reconciliation to the extent the impact of those items exceeds a specified threshold and eliminates certain existing disclosures. In addition to new disclosures associated with the rate reconciliation, the standard requires information pertaining to taxes paid (net of refunds received) to be disaggregated for federal, state, and foreign taxes and further disaggregated for specific jurisdictions to the extent the related amounts exceed a quantitative threshold. This standard will be effective for annual periods in fiscal years beginning after December 15, 2024, and for interim periods for fiscal years beginning after December 15, 2025. The guidance will be applied on a prospective basis with the option to apply the standard retrospectively, and early adoption is permitted. The Company is continuing to assess the potential impacts of the standard, and it does not expect this pronouncement to have a material effect on its consolidated financial statements, other than the required changes to the income tax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any other recently issued, but not yet effective, accounting standards could have a material effect on the Company’s consolidated financial statements. As new accounting pronouncements are issued, the Company will adopt those that are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3 - Concentrations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Concentration of Credit Risk Arising From Cash Deposits in Excess of Insured Limits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cash balance with a U.S. financial institution, in which the balance exceeds the FDIC insured limit of $250,000. At December 31, 2024 and 2023, the Company’s cash balance held at this financial institution exceeded the FDIC limit. The Company has not experienced losses on this account and management believes the Company is not exposed to significant risks on such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Significant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customer is defined as one from whom at least 10% of revenue is derived. For the year ended December 31, 2024, the Company had sales to three customers totaling approximately $154,000, which comprised approximately 89% of total revenues. For the year ended December 31, 2023, the Company had sales to two customers totaling approximately $361,000, which comprised approximately 82% of total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Significant Vendor: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purchases during the year ended December 31, 2024 were from a single vendor that provides polycarbonate plastic casings for the Company’s hardware products. Alternative suppliers are available for these items and management believes the loss of this supplier would be unlikely to have a material impact on the Company’s operations or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4 - Capitalized Software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2024 and 2023, SEE ID capitalized software development costs totaling $834,220 and $672,319, respectively. For the years ended December 31, 2024 and 2023, there was no amortization expense recorded on capitalized software development costs as the software was not substantially complete and ready for its intended use, which management currently expects to occur in or before July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5 - SAFE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SEE ID has issued Simple Agreements for Future Equity (the “SAFE agreements”) to investors for proceeds totaling $8,461,465 and $4,221,965, respectively. Under the terms of these SAFE agreements, which have stated discount rates which range from 67 - 80%, the following will happen upon the occurrence of these events (all capitalized terms are as defined in the SAFE agreements):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Equity Financing</w:t>
      </w:r>
      <w:r>
        <w:rPr>
          <w:rFonts w:ascii="Times New Roman;Times;Serif" w:hAnsi="Times New Roman;Times;Serif"/>
          <w:b w:val="false"/>
          <w:i w:val="false"/>
          <w:caps w:val="false"/>
          <w:smallCaps w:val="false"/>
          <w:sz w:val="20"/>
        </w:rPr>
        <w:t xml:space="preserve"> - the SAFE agreements will automatically convert into the number of shares of Safe Preferred Stock equal to the Purchase Amount divided by the Discount Price with certain SAFE agreements subject to a post-money valuation cap of $30,000,000.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Liquidity Event</w:t>
      </w:r>
      <w:r>
        <w:rPr>
          <w:rFonts w:ascii="Times New Roman;Times;Serif" w:hAnsi="Times New Roman;Times;Serif"/>
          <w:b w:val="false"/>
          <w:i w:val="false"/>
          <w:caps w:val="false"/>
          <w:smallCaps w:val="false"/>
          <w:sz w:val="20"/>
        </w:rPr>
        <w:t xml:space="preserve"> - the SAFE agreements will automatically be entitled to receive a portion of Proceeds, due and payable to the investor immediately prior to, or concurrent with, the consummation of such Liquidity Event, equal to the greater of (i) the Purchase Amount (the “Cash-Out Amount”) or (ii) the amount payable on the number of shares of Common Stock equal to the Purchase Amount divided by the Liquidity Price.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Dissolution Event</w:t>
      </w:r>
      <w:r>
        <w:rPr>
          <w:rFonts w:ascii="Times New Roman;Times;Serif" w:hAnsi="Times New Roman;Times;Serif"/>
          <w:b w:val="false"/>
          <w:i w:val="false"/>
          <w:caps w:val="false"/>
          <w:smallCaps w:val="false"/>
          <w:sz w:val="20"/>
        </w:rPr>
        <w:t xml:space="preserve"> - the Investor will automatically be entitled to receive a portion of Proceeds equal to the Cash-Out Amount, due and payable to the Investor immediately prior to the consummation of the Dissolution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these events had occurred at December 31, 2024, and the SAFE agreements remained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815-40, </w:t>
      </w:r>
      <w:r>
        <w:rPr>
          <w:rFonts w:ascii="Times New Roman;Times;Serif" w:hAnsi="Times New Roman;Times;Serif"/>
          <w:b w:val="false"/>
          <w:i/>
          <w:caps w:val="false"/>
          <w:smallCaps w:val="false"/>
          <w:sz w:val="20"/>
        </w:rPr>
        <w:t>Contracts in Entity’s Own Equity</w:t>
      </w:r>
      <w:r>
        <w:rPr>
          <w:rFonts w:ascii="Times New Roman;Times;Serif" w:hAnsi="Times New Roman;Times;Serif"/>
          <w:b w:val="false"/>
          <w:i w:val="false"/>
          <w:caps w:val="false"/>
          <w:smallCaps w:val="false"/>
          <w:sz w:val="20"/>
        </w:rPr>
        <w:t>, the Company determined the SAFE agreements are freestanding financial instruments and accordingly are classified as “liabilities” in the accompanying consolidated balance sheets. The SAFE agreements are carried at estimated fair value determined by the Company using a probability-weighted expected return method. During the years ended December 31, 2024 and 2023, SEE ID issued additional SAFE agreements to investors totaling $4,239,500 and $2,120,000, and the change in the fair value of the SAFE agreements was $14,492,176 and $263,239,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agreements activity for the years ended December 31, 2024 and 2023 is as follows:</w:t>
      </w:r>
    </w:p>
    <w:p>
      <w:pPr>
        <w:pStyle w:val="TextBody"/>
        <w:bidi w:val="0"/>
        <w:spacing w:before="0" w:after="0"/>
        <w:ind w:left="0" w:right="0" w:hanging="0"/>
        <w:jc w:val="both"/>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4715"/>
        <w:gridCol w:w="60"/>
        <w:gridCol w:w="140"/>
        <w:gridCol w:w="1100"/>
        <w:gridCol w:w="60"/>
        <w:gridCol w:w="60"/>
        <w:gridCol w:w="140"/>
        <w:gridCol w:w="980"/>
        <w:gridCol w:w="75"/>
      </w:tblGrid>
      <w:tr>
        <w:trPr/>
        <w:tc>
          <w:tcPr>
            <w:tcW w:w="4715"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ind w:left="0" w:right="0" w:hanging="180"/>
              <w:jc w:val="left"/>
              <w:rPr/>
            </w:pPr>
            <w:r>
              <w:rPr/>
              <w:t> </w:t>
            </w:r>
          </w:p>
        </w:tc>
      </w:tr>
      <w:tr>
        <w:trPr/>
        <w:tc>
          <w:tcPr>
            <w:tcW w:w="4715" w:type="dxa"/>
            <w:tcBorders/>
            <w:shd w:fill="CCEEFF" w:val="clear"/>
            <w:vAlign w:val="center"/>
          </w:tcPr>
          <w:p>
            <w:pPr>
              <w:pStyle w:val="TableContents"/>
              <w:bidi w:val="0"/>
              <w:spacing w:before="0" w:after="283"/>
              <w:jc w:val="both"/>
              <w:rPr/>
            </w:pPr>
            <w:r>
              <w:rPr/>
              <w:t>SAFE agreements at fair value,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4,602,950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2,219,711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715" w:type="dxa"/>
            <w:tcBorders/>
            <w:shd w:fill="FFFFFF" w:val="clear"/>
            <w:vAlign w:val="center"/>
          </w:tcPr>
          <w:p>
            <w:pPr>
              <w:pStyle w:val="TableContents"/>
              <w:bidi w:val="0"/>
              <w:spacing w:before="0" w:after="283"/>
              <w:jc w:val="both"/>
              <w:rPr/>
            </w:pPr>
            <w:r>
              <w:rPr/>
              <w:t>Plus: SAFE agreements issued for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4,239,500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2,120,000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715" w:type="dxa"/>
            <w:tcBorders/>
            <w:shd w:fill="CCEEFF" w:val="clear"/>
            <w:vAlign w:val="center"/>
          </w:tcPr>
          <w:p>
            <w:pPr>
              <w:pStyle w:val="TableContents"/>
              <w:bidi w:val="0"/>
              <w:spacing w:before="0" w:after="283"/>
              <w:jc w:val="both"/>
              <w:rPr/>
            </w:pPr>
            <w:r>
              <w:rPr/>
              <w:t>Plus: Change in fair value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14,492,176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263,239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715" w:type="dxa"/>
            <w:tcBorders/>
            <w:shd w:fill="FFFFFF" w:val="clear"/>
            <w:vAlign w:val="center"/>
          </w:tcPr>
          <w:p>
            <w:pPr>
              <w:pStyle w:val="TableContents"/>
              <w:bidi w:val="0"/>
              <w:spacing w:before="0" w:after="283"/>
              <w:jc w:val="both"/>
              <w:rPr/>
            </w:pPr>
            <w:r>
              <w:rPr/>
              <w:t>SAFE agreements at fair value, end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23,334,626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4,602,950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6 -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is authorized to issue 200,000,000 shares of common stock at $0.001 par value, comprised of (i) 165,000,000 shares of Class A Common Stock (voting) and (ii) 35,000,000 shares of Class B Common Stock (non-voting).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SEE ID had 108,975,000 shares of Class A Common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7 -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2021, SEE ID adopted the 2021 Equity Inventive Plan (the “Plan”), which provides for grants of awards in the form of incentive stock options, nonqualified stock options, and restricted stock awards to selected employees, directors, and independent contractors of the Company and its affiliates, as defined in the Plan. The aggregate number of shares of SEE ID’s common stock that may be issued under the Plan shall not exceed 57,477,460. The purpose of the Plan is to encourage and enable selected participants to acquire or to increase their holdings of SEE ID’s common stock in order to promote a closer identification of their interests with those of the Company and its stockholders. The Plan is administered by the Company’s Board of Directors, which determines the persons to whom awards will be granted, the type of awards to be granted, the number of awards to be granted and the specific terms of each grant, including the vesting thereof, subject to the provisions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SEE ID granted stock options to purchase 86,700 shares of its common stock at an exercise price of $0.70 per share, which all have a ten-year life and vest ratably over the 18 months following the date of grant. The fair value of the stock options granted during the year ended December 31, 2024, was determined to be approximately $44,000 on the date of grant using the Black-Scholes option-pricing model, with the following assumptions:</w:t>
      </w:r>
    </w:p>
    <w:p>
      <w:pPr>
        <w:pStyle w:val="TextBody"/>
        <w:bidi w:val="0"/>
        <w:spacing w:before="0" w:after="0"/>
        <w:ind w:left="0" w:right="0" w:hanging="0"/>
        <w:jc w:val="both"/>
        <w:rPr>
          <w:caps w:val="false"/>
          <w:smallCaps w:val="false"/>
        </w:rPr>
      </w:pPr>
      <w:r>
        <w:rPr>
          <w:caps w:val="false"/>
          <w:smallCaps w:val="false"/>
        </w:rPr>
        <w:t> </w:t>
      </w:r>
    </w:p>
    <w:tbl>
      <w:tblPr>
        <w:tblW w:w="5570" w:type="dxa"/>
        <w:jc w:val="left"/>
        <w:tblInd w:w="0" w:type="dxa"/>
        <w:tblLayout w:type="fixed"/>
        <w:tblCellMar>
          <w:top w:w="0" w:type="dxa"/>
          <w:left w:w="0" w:type="dxa"/>
          <w:bottom w:w="0" w:type="dxa"/>
          <w:right w:w="0" w:type="dxa"/>
        </w:tblCellMar>
      </w:tblPr>
      <w:tblGrid>
        <w:gridCol w:w="4700"/>
        <w:gridCol w:w="60"/>
        <w:gridCol w:w="140"/>
        <w:gridCol w:w="440"/>
        <w:gridCol w:w="230"/>
      </w:tblGrid>
      <w:tr>
        <w:trPr/>
        <w:tc>
          <w:tcPr>
            <w:tcW w:w="4700" w:type="dxa"/>
            <w:tcBorders/>
            <w:shd w:fill="CCEEFF" w:val="clear"/>
            <w:vAlign w:val="center"/>
          </w:tcPr>
          <w:p>
            <w:pPr>
              <w:pStyle w:val="TableContents"/>
              <w:bidi w:val="0"/>
              <w:spacing w:before="0" w:after="283"/>
              <w:jc w:val="left"/>
              <w:rPr/>
            </w:pPr>
            <w:r>
              <w:rPr/>
              <w:t>Expected life (in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5.75</w:t>
            </w:r>
          </w:p>
        </w:tc>
        <w:tc>
          <w:tcPr>
            <w:tcW w:w="23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pPr>
            <w:r>
              <w:rPr/>
              <w:t>Average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85</w:t>
            </w:r>
          </w:p>
        </w:tc>
        <w:tc>
          <w:tcPr>
            <w:tcW w:w="230" w:type="dxa"/>
            <w:tcBorders/>
            <w:shd w:fill="FFFFFF" w:val="clear"/>
            <w:vAlign w:val="center"/>
          </w:tcPr>
          <w:p>
            <w:pPr>
              <w:pStyle w:val="TableContents"/>
              <w:bidi w:val="0"/>
              <w:spacing w:before="0" w:after="283"/>
              <w:jc w:val="left"/>
              <w:rPr/>
            </w:pPr>
            <w:r>
              <w:rPr/>
              <w:t>%</w:t>
            </w:r>
          </w:p>
        </w:tc>
      </w:tr>
      <w:tr>
        <w:trPr/>
        <w:tc>
          <w:tcPr>
            <w:tcW w:w="4700" w:type="dxa"/>
            <w:tcBorders/>
            <w:shd w:fill="CCEEFF" w:val="clear"/>
            <w:vAlign w:val="center"/>
          </w:tcPr>
          <w:p>
            <w:pPr>
              <w:pStyle w:val="TableContents"/>
              <w:bidi w:val="0"/>
              <w:spacing w:before="0" w:after="283"/>
              <w:jc w:val="left"/>
              <w:rPr/>
            </w:pPr>
            <w:r>
              <w:rPr/>
              <w:t>Risk-free rates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4.13</w:t>
            </w:r>
          </w:p>
        </w:tc>
        <w:tc>
          <w:tcPr>
            <w:tcW w:w="230" w:type="dxa"/>
            <w:tcBorders/>
            <w:shd w:fill="CCEEFF" w:val="clear"/>
            <w:vAlign w:val="center"/>
          </w:tcPr>
          <w:p>
            <w:pPr>
              <w:pStyle w:val="TableContents"/>
              <w:bidi w:val="0"/>
              <w:spacing w:before="0" w:after="283"/>
              <w:jc w:val="left"/>
              <w:rPr/>
            </w:pPr>
            <w:r>
              <w:rPr/>
              <w:t>%</w:t>
            </w:r>
          </w:p>
        </w:tc>
      </w:tr>
      <w:tr>
        <w:trPr/>
        <w:tc>
          <w:tcPr>
            <w:tcW w:w="4700" w:type="dxa"/>
            <w:tcBorders/>
            <w:shd w:fill="FFFFFF" w:val="clear"/>
            <w:vAlign w:val="center"/>
          </w:tcPr>
          <w:p>
            <w:pPr>
              <w:pStyle w:val="TableContents"/>
              <w:bidi w:val="0"/>
              <w:spacing w:before="0" w:after="283"/>
              <w:jc w:val="left"/>
              <w:rPr/>
            </w:pPr>
            <w:r>
              <w:rPr/>
              <w:t>Expected dividend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pPr>
            <w:r>
              <w:rPr/>
              <w:t>Weighted-average grant date calculated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0.51</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for the years ended December 31, 2024 and 2023, is as follows:</w:t>
      </w:r>
    </w:p>
    <w:p>
      <w:pPr>
        <w:pStyle w:val="TextBody"/>
        <w:bidi w:val="0"/>
        <w:spacing w:before="0" w:after="0"/>
        <w:ind w:left="0" w:right="0" w:hanging="0"/>
        <w:jc w:val="both"/>
        <w:rPr>
          <w:caps w:val="false"/>
          <w:smallCaps w:val="false"/>
        </w:rPr>
      </w:pPr>
      <w:r>
        <w:rPr>
          <w:caps w:val="false"/>
          <w:smallCaps w:val="false"/>
        </w:rPr>
        <w:t> </w:t>
      </w:r>
    </w:p>
    <w:tbl>
      <w:tblPr>
        <w:tblW w:w="9649" w:type="dxa"/>
        <w:jc w:val="left"/>
        <w:tblInd w:w="0" w:type="dxa"/>
        <w:tblLayout w:type="fixed"/>
        <w:tblCellMar>
          <w:top w:w="0" w:type="dxa"/>
          <w:left w:w="0" w:type="dxa"/>
          <w:bottom w:w="0" w:type="dxa"/>
          <w:right w:w="0" w:type="dxa"/>
        </w:tblCellMar>
      </w:tblPr>
      <w:tblGrid>
        <w:gridCol w:w="4520"/>
        <w:gridCol w:w="60"/>
        <w:gridCol w:w="60"/>
        <w:gridCol w:w="1100"/>
        <w:gridCol w:w="60"/>
        <w:gridCol w:w="60"/>
        <w:gridCol w:w="448"/>
        <w:gridCol w:w="1792"/>
        <w:gridCol w:w="60"/>
        <w:gridCol w:w="60"/>
        <w:gridCol w:w="161"/>
        <w:gridCol w:w="1193"/>
        <w:gridCol w:w="75"/>
      </w:tblGrid>
      <w:tr>
        <w:trPr/>
        <w:tc>
          <w:tcPr>
            <w:tcW w:w="4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0"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Weighted- </w:t>
              <w:br/>
              <w:t>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Weighted- </w:t>
              <w:br/>
              <w:t xml:space="preserve">Average </w:t>
              <w:br/>
              <w:t xml:space="preserve">Remaining </w:t>
              <w:br/>
              <w:t xml:space="preserve">Contractual </w:t>
              <w:br/>
              <w:t>Life (in years)</w:t>
            </w:r>
          </w:p>
        </w:tc>
        <w:tc>
          <w:tcPr>
            <w:tcW w:w="7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Options outstanding at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13,060,760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w:t>
            </w:r>
          </w:p>
        </w:tc>
        <w:tc>
          <w:tcPr>
            <w:tcW w:w="1792" w:type="dxa"/>
            <w:tcBorders/>
            <w:shd w:fill="CCEEFF" w:val="clear"/>
            <w:vAlign w:val="center"/>
          </w:tcPr>
          <w:p>
            <w:pPr>
              <w:pStyle w:val="TableContents"/>
              <w:bidi w:val="0"/>
              <w:spacing w:before="0" w:after="283"/>
              <w:jc w:val="right"/>
              <w:rPr/>
            </w:pPr>
            <w:r>
              <w:rPr/>
              <w:t>0.010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9.34</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w:t>
            </w:r>
          </w:p>
        </w:tc>
        <w:tc>
          <w:tcPr>
            <w:tcW w:w="1792" w:type="dxa"/>
            <w:tcBorders/>
            <w:shd w:fill="FFFFFF" w:val="clear"/>
            <w:vAlign w:val="center"/>
          </w:tcPr>
          <w:p>
            <w:pPr>
              <w:pStyle w:val="TableContents"/>
              <w:bidi w:val="0"/>
              <w:spacing w:before="0" w:after="283"/>
              <w:jc w:val="right"/>
              <w:rPr/>
            </w:pPr>
            <w:r>
              <w:rPr/>
              <w:t>0.010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7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Options 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 </w:t>
            </w:r>
          </w:p>
        </w:tc>
        <w:tc>
          <w:tcPr>
            <w:tcW w:w="17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Options outstanding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13,460,760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w:t>
            </w:r>
          </w:p>
        </w:tc>
        <w:tc>
          <w:tcPr>
            <w:tcW w:w="1792" w:type="dxa"/>
            <w:tcBorders/>
            <w:shd w:fill="CCEEFF" w:val="clear"/>
            <w:vAlign w:val="center"/>
          </w:tcPr>
          <w:p>
            <w:pPr>
              <w:pStyle w:val="TableContents"/>
              <w:bidi w:val="0"/>
              <w:spacing w:before="0" w:after="283"/>
              <w:jc w:val="right"/>
              <w:rPr/>
            </w:pPr>
            <w:r>
              <w:rPr/>
              <w:t>0.010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8.29</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Adjustment to options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11,455,000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w:t>
            </w:r>
          </w:p>
        </w:tc>
        <w:tc>
          <w:tcPr>
            <w:tcW w:w="1792" w:type="dxa"/>
            <w:tcBorders/>
            <w:shd w:fill="FFFFFF" w:val="clear"/>
            <w:vAlign w:val="center"/>
          </w:tcPr>
          <w:p>
            <w:pPr>
              <w:pStyle w:val="TableContents"/>
              <w:bidi w:val="0"/>
              <w:spacing w:before="0" w:after="283"/>
              <w:jc w:val="right"/>
              <w:rPr/>
            </w:pPr>
            <w:r>
              <w:rPr/>
              <w:t>0.003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Options 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w:t>
            </w:r>
          </w:p>
        </w:tc>
        <w:tc>
          <w:tcPr>
            <w:tcW w:w="1792" w:type="dxa"/>
            <w:tcBorders/>
            <w:shd w:fill="CCEEFF" w:val="clear"/>
            <w:vAlign w:val="center"/>
          </w:tcPr>
          <w:p>
            <w:pPr>
              <w:pStyle w:val="TableContents"/>
              <w:bidi w:val="0"/>
              <w:spacing w:before="0" w:after="283"/>
              <w:jc w:val="right"/>
              <w:rPr/>
            </w:pPr>
            <w:r>
              <w:rPr/>
              <w:t>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 </w:t>
            </w:r>
          </w:p>
        </w:tc>
        <w:tc>
          <w:tcPr>
            <w:tcW w:w="17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Options cancelled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7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Options outstanding at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25,002,460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w:t>
            </w:r>
          </w:p>
        </w:tc>
        <w:tc>
          <w:tcPr>
            <w:tcW w:w="1792" w:type="dxa"/>
            <w:tcBorders/>
            <w:shd w:fill="FFFFFF" w:val="clear"/>
            <w:vAlign w:val="center"/>
          </w:tcPr>
          <w:p>
            <w:pPr>
              <w:pStyle w:val="TableContents"/>
              <w:bidi w:val="0"/>
              <w:spacing w:before="0" w:after="283"/>
              <w:jc w:val="right"/>
              <w:rPr/>
            </w:pPr>
            <w:r>
              <w:rPr/>
              <w:t>0.009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6.22</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Vested (i.e., exercisable)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22,615,760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w:t>
            </w:r>
          </w:p>
        </w:tc>
        <w:tc>
          <w:tcPr>
            <w:tcW w:w="1792" w:type="dxa"/>
            <w:tcBorders/>
            <w:shd w:fill="CCEEFF" w:val="clear"/>
            <w:vAlign w:val="center"/>
          </w:tcPr>
          <w:p>
            <w:pPr>
              <w:pStyle w:val="TableContents"/>
              <w:bidi w:val="0"/>
              <w:spacing w:before="0" w:after="283"/>
              <w:jc w:val="right"/>
              <w:rPr/>
            </w:pPr>
            <w:r>
              <w:rPr/>
              <w:t>0.006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6.63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368"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27" w:type="dxa"/>
            <w:tcBorders/>
            <w:vAlign w:val="center"/>
          </w:tcPr>
          <w:p>
            <w:pPr>
              <w:pStyle w:val="TableContents"/>
              <w:bidi w:val="0"/>
              <w:spacing w:before="0" w:after="283"/>
              <w:jc w:val="both"/>
              <w:rPr/>
            </w:pPr>
            <w:r>
              <w:rPr/>
              <w:t>This represents stock options for common stock awards issued prior to January 1, 2024 that were incorrectly excluded from the total number of stock options for common stock outstanding at December 31, 2023. The related stock-based compensation that should have been recorded in the prior periods was immaterial to the overall consolidated financial statements for the years ended December 31, 2023 and 2022. SEE ID recorded the catch-up stock-based compensation of approximately $63,000 on January 1,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SEE ID recognized stock-based compensation relating to stock options totaling $90,377, which is included in “General and administrative” in the accompanying consolidated statements of operations. During the year ended December 31, 2023, SEE ID did not recognize any stock-based compensation relating to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there was a total of approximately $47,000 of unrecognized stock-based compensation cost relating to outstanding stock options, which is expected to be recognized over a weighted-average period of 1.25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Stock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the outstanding restricted stock awards amounted to 32,475,000 shares of SEE ID’s common stock and includes restricted stock awards for 16,537,500 shares of common stock issued prior to January 1, 2024 that were incorrectly excluded from the total number of restricted stock awards for common stock outstanding at December 31, 2023. The related stock-based compensation that should have been recorded in the prior periods was immaterial to the overall consolidated financial statements for the years ended December 31, 2023 and 2022. SEE ID recorded the catch-up stock-based compensation of approximately $66,000 on January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2024 and 2023, SEE ID did not grant any 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2020 and August 2021, the Company granted restricted stock awards of 15,937,500 shares of the Company’s common stock to each its chief financial officer (“CFO”) and chief executive officer (“CEO”), respectively (collectively referred to as the “Awards”). The Awards included vesting conditions with provisions that were considered “performance conditions” under FASB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that management concluded were probable to occur at the time of grant. The fair value of each of the Awards was determined to be approximately $67,000 (subsequently adjusted, as discussed above) on the date of grant based on the estimated fair value of the Company’s common stock at that time and was being recognized in equal monthly amounts through the date the vesting conditions were expected to be achieved. In December 2023, the Company’s board of directors approved the removal of the performance condition portion of the vesting conditions included in the Awards. As a result of this modification to the Awards, the restricted stock awarded to the CFO became fully vested at the date of the modification date and the restricted stock awarded to the CEO will become fully vested under the timing vesting condition noted in their original agreement (i.e., the third anniversary of the grant date, or August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unvested restricted stock awards granted amounted to zero and 3,115,625,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2024 and 2023, SEE ID recognized stock-based compensation relating to restricted stock awards totaling $106,629 and $61,817, respectively. Stock-based compensation relating to restricted stock awards is included in “General and administrative”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there was no unrecognized stock-based compensation costs relating to 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8 -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 consisted of the following for the years ended December 31:</w:t>
      </w:r>
    </w:p>
    <w:p>
      <w:pPr>
        <w:pStyle w:val="TextBody"/>
        <w:bidi w:val="0"/>
        <w:spacing w:before="0" w:after="0"/>
        <w:ind w:left="0" w:right="0" w:hanging="0"/>
        <w:jc w:val="left"/>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3440"/>
        <w:gridCol w:w="60"/>
        <w:gridCol w:w="140"/>
        <w:gridCol w:w="1055"/>
        <w:gridCol w:w="95"/>
        <w:gridCol w:w="60"/>
        <w:gridCol w:w="140"/>
        <w:gridCol w:w="875"/>
        <w:gridCol w:w="110"/>
      </w:tblGrid>
      <w:tr>
        <w:trPr/>
        <w:tc>
          <w:tcPr>
            <w:tcW w:w="34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both"/>
              <w:rPr>
                <w:u w:val="single"/>
              </w:rPr>
            </w:pPr>
            <w:r>
              <w:rPr>
                <w:u w:val="single"/>
              </w:rPr>
              <w:t>Current tax expense: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pPr>
            <w:r>
              <w:rPr/>
              <w:t>Federal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pPr>
            <w:r>
              <w:rPr/>
              <w:t>State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pPr>
            <w:r>
              <w:rPr/>
              <w:t>Foreign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pPr>
            <w:r>
              <w:rPr/>
              <w:t>Current 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u w:val="single"/>
              </w:rPr>
            </w:pPr>
            <w:r>
              <w:rPr>
                <w:u w:val="single"/>
              </w:rPr>
              <w:t>Deferred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pPr>
            <w:r>
              <w:rPr/>
              <w:t>Federal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4,045,818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397,951</w:t>
            </w:r>
          </w:p>
        </w:tc>
        <w:tc>
          <w:tcPr>
            <w:tcW w:w="11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pPr>
            <w:r>
              <w:rPr/>
              <w:t>State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105,464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27,676</w:t>
            </w:r>
          </w:p>
        </w:tc>
        <w:tc>
          <w:tcPr>
            <w:tcW w:w="11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pPr>
            <w:r>
              <w:rPr/>
              <w:t>Foreign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(4,161,621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(425,627</w:t>
            </w:r>
          </w:p>
        </w:tc>
        <w:tc>
          <w:tcPr>
            <w:tcW w:w="110" w:type="dxa"/>
            <w:tcBorders/>
            <w:shd w:fill="CCEEFF" w:val="clear"/>
            <w:vAlign w:val="center"/>
          </w:tcPr>
          <w:p>
            <w:pPr>
              <w:pStyle w:val="TableContents"/>
              <w:bidi w:val="0"/>
              <w:spacing w:before="0" w:after="283"/>
              <w:jc w:val="left"/>
              <w:rPr/>
            </w:pPr>
            <w:r>
              <w:rPr/>
              <w:t>)</w:t>
            </w:r>
          </w:p>
        </w:tc>
      </w:tr>
      <w:tr>
        <w:trPr/>
        <w:tc>
          <w:tcPr>
            <w:tcW w:w="3440" w:type="dxa"/>
            <w:tcBorders/>
            <w:shd w:fill="FFFFFF" w:val="clear"/>
            <w:vAlign w:val="center"/>
          </w:tcPr>
          <w:p>
            <w:pPr>
              <w:pStyle w:val="TableContents"/>
              <w:bidi w:val="0"/>
              <w:spacing w:before="0" w:after="283"/>
              <w:jc w:val="both"/>
              <w:rPr/>
            </w:pPr>
            <w:r>
              <w:rPr/>
              <w:t>Deferred 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pPr>
            <w:r>
              <w:rPr/>
              <w:t>Net 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581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effects of temporary differences that give rise to significant portions of the deferred taxes consist of the following at December 31:</w:t>
      </w:r>
    </w:p>
    <w:p>
      <w:pPr>
        <w:pStyle w:val="TextBody"/>
        <w:bidi w:val="0"/>
        <w:spacing w:before="0" w:after="0"/>
        <w:ind w:left="0" w:right="0" w:hanging="0"/>
        <w:jc w:val="both"/>
        <w:rPr>
          <w:caps w:val="false"/>
          <w:smallCaps w:val="false"/>
        </w:rPr>
      </w:pPr>
      <w:r>
        <w:rPr>
          <w:caps w:val="false"/>
          <w:smallCaps w:val="false"/>
        </w:rPr>
        <w:t> </w:t>
      </w:r>
    </w:p>
    <w:tbl>
      <w:tblPr>
        <w:tblW w:w="6530" w:type="dxa"/>
        <w:jc w:val="left"/>
        <w:tblInd w:w="0" w:type="dxa"/>
        <w:tblLayout w:type="fixed"/>
        <w:tblCellMar>
          <w:top w:w="0" w:type="dxa"/>
          <w:left w:w="0" w:type="dxa"/>
          <w:bottom w:w="0" w:type="dxa"/>
          <w:right w:w="0" w:type="dxa"/>
        </w:tblCellMar>
      </w:tblPr>
      <w:tblGrid>
        <w:gridCol w:w="3995"/>
        <w:gridCol w:w="60"/>
        <w:gridCol w:w="140"/>
        <w:gridCol w:w="1055"/>
        <w:gridCol w:w="95"/>
        <w:gridCol w:w="60"/>
        <w:gridCol w:w="140"/>
        <w:gridCol w:w="875"/>
        <w:gridCol w:w="110"/>
      </w:tblGrid>
      <w:tr>
        <w:trPr/>
        <w:tc>
          <w:tcPr>
            <w:tcW w:w="39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both"/>
              <w:rPr/>
            </w:pPr>
            <w:r>
              <w:rPr>
                <w:u w:val="single"/>
              </w:rPr>
              <w:t>Deferred tax asset (liability)</w:t>
            </w:r>
            <w:r>
              <w:rPr/>
              <w:t>:</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both"/>
              <w:rPr/>
            </w:pPr>
            <w:r>
              <w:rPr/>
              <w:t>Accrual to cash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729,287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both"/>
              <w:rPr/>
            </w:pPr>
            <w:r>
              <w:rPr/>
              <w:t>Charitable contributions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109</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both"/>
              <w:rPr/>
            </w:pPr>
            <w:r>
              <w:rPr/>
              <w:t>Change in fair value of SAFE agreements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3,106,508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both"/>
              <w:rPr/>
            </w:pPr>
            <w:r>
              <w:rPr/>
              <w:t>R&amp;D expenditures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359,433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255,835</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both"/>
              <w:rPr/>
            </w:pPr>
            <w:r>
              <w:rPr/>
              <w:t>R&amp;D tax credit carryovers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239,142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43,669</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both"/>
              <w:rPr/>
            </w:pPr>
            <w:r>
              <w:rPr/>
              <w:t>Right-of-use asset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(65,999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both"/>
              <w:rPr/>
            </w:pPr>
            <w:r>
              <w:rPr/>
              <w:t>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56,893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both"/>
              <w:rPr/>
            </w:pPr>
            <w:r>
              <w:rPr/>
              <w:t>Stock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55,481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both"/>
              <w:rPr/>
            </w:pPr>
            <w:r>
              <w:rPr/>
              <w:t>Federal net operating loss carryforwards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304,628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343,123</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both"/>
              <w:rPr/>
            </w:pPr>
            <w:r>
              <w:rPr/>
              <w:t>Foreign net operating loss carryforwards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both"/>
              <w:rPr/>
            </w:pPr>
            <w:r>
              <w:rPr/>
              <w:t>State net operating loss carryforwards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7,028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both"/>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(4,804,357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(642,736</w:t>
            </w:r>
          </w:p>
        </w:tc>
        <w:tc>
          <w:tcPr>
            <w:tcW w:w="110" w:type="dxa"/>
            <w:tcBorders/>
            <w:shd w:fill="FFFFFF" w:val="clear"/>
            <w:vAlign w:val="center"/>
          </w:tcPr>
          <w:p>
            <w:pPr>
              <w:pStyle w:val="TableContents"/>
              <w:bidi w:val="0"/>
              <w:spacing w:before="0" w:after="283"/>
              <w:jc w:val="left"/>
              <w:rPr/>
            </w:pPr>
            <w:r>
              <w:rPr/>
              <w:t>)</w:t>
            </w:r>
          </w:p>
        </w:tc>
      </w:tr>
      <w:tr>
        <w:trPr/>
        <w:tc>
          <w:tcPr>
            <w:tcW w:w="3995" w:type="dxa"/>
            <w:tcBorders/>
            <w:shd w:fill="CCEEFF" w:val="clear"/>
            <w:vAlign w:val="center"/>
          </w:tcPr>
          <w:p>
            <w:pPr>
              <w:pStyle w:val="TableContents"/>
              <w:bidi w:val="0"/>
              <w:spacing w:before="0" w:after="283"/>
              <w:jc w:val="both"/>
              <w:rPr/>
            </w:pPr>
            <w:r>
              <w:rPr/>
              <w:t>Net deferred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the Company had available net research and development tax credit carryforwards amounting to approximately $239,000 and $44,000, respectively, for state tax purposes that do not expire.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the Company has generated net operating loss (“NOL”) carryforwards for federal tax purposes of approximately $1,451,000 and $1,394,000, respectively, which can be carried forward to offset future taxable income. These federal NOL carryforwards do not expire. At December 31, 2024 and 2023, the Company has generated NOL carryforwards for foreign tax purposes of approximately $258,000 and zero, respectively, which can be carried forward to offset future taxable income. These foreign NOL carryforwards expire in 2034. At December 31, 2024 and 2023, the Company has generated NOL carryforwards for state tax purposes of approximately $1,022,000 and $1,019,000, respectively, which can be carried forward to offset future taxable income. Approximately $754,000 of the state NOL carryforwards do not expire and the remaining approximately $268,000 expire through 2044.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valuation allowance, the Company had a net deferred tax asset of $4,804,357 and $642,736 at December 31, 2024 and 2023, respectively; however, the ultimate realization of deferred income tax assets is dependent upon the generation of future taxable income. The Company has placed a full valuation allowance against the net deferred income tax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interest and penalties related to income tax matters in interest expense and general and administrative, respectively. At December 31, 2024 and 2023, the Company has no accrued interest and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taxation in the U.S. federal jurisdiction, various state jurisdictions and in Puerto Rico. The Company is currently not under examination by any tax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9 -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accounting requires the presentation of both basic and diluted earnings per share on the face of the consolidated statements of operations. The Company’s basic net loss per share is computed by dividing net loss by the weighted-average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shares of common stock for stock options amounting to 25,002,460 and 24,915,760, respectively, and for unvested restricted stock awards amounting to zero and 3,115,625, respectively, were not included in the calculation of diluted net loss per share because such shares are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10 -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SEE ID entered into a noncancelable lease agreement for a facility in Bethesda, Maryland. This lease commenced on July 1, 2024, has a term of 63 calendar months, and has an initial base rent of approximately $7,000 that increases annually by three percent. Under the terms of this lease, SEE ID is also responsible for their proportionate share of expenses associated with the facility and its premises.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were as follows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6345" w:type="dxa"/>
        <w:jc w:val="left"/>
        <w:tblInd w:w="0" w:type="dxa"/>
        <w:tblLayout w:type="fixed"/>
        <w:tblCellMar>
          <w:top w:w="0" w:type="dxa"/>
          <w:left w:w="0" w:type="dxa"/>
          <w:bottom w:w="0" w:type="dxa"/>
          <w:right w:w="0" w:type="dxa"/>
        </w:tblCellMar>
      </w:tblPr>
      <w:tblGrid>
        <w:gridCol w:w="5390"/>
        <w:gridCol w:w="60"/>
        <w:gridCol w:w="140"/>
        <w:gridCol w:w="680"/>
        <w:gridCol w:w="75"/>
      </w:tblGrid>
      <w:tr>
        <w:trPr/>
        <w:tc>
          <w:tcPr>
            <w:tcW w:w="5390" w:type="dxa"/>
            <w:tcBorders/>
            <w:shd w:fill="CCEEFF" w:val="clear"/>
            <w:vAlign w:val="center"/>
          </w:tcPr>
          <w:p>
            <w:pPr>
              <w:pStyle w:val="TableContents"/>
              <w:bidi w:val="0"/>
              <w:spacing w:before="0" w:after="283"/>
              <w:jc w:val="left"/>
              <w:rPr/>
            </w:pPr>
            <w:r>
              <w:rPr/>
              <w:t>Operating lease cost (cost resulting from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43,106</w:t>
            </w:r>
          </w:p>
        </w:tc>
        <w:tc>
          <w:tcPr>
            <w:tcW w:w="75" w:type="dxa"/>
            <w:tcBorders/>
            <w:shd w:fill="CCEEFF" w:val="clear"/>
            <w:vAlign w:val="center"/>
          </w:tcPr>
          <w:p>
            <w:pPr>
              <w:pStyle w:val="TableContents"/>
              <w:bidi w:val="0"/>
              <w:spacing w:before="0" w:after="283"/>
              <w:jc w:val="left"/>
              <w:rPr/>
            </w:pPr>
            <w:r>
              <w:rPr/>
              <w:t> </w:t>
            </w:r>
          </w:p>
        </w:tc>
      </w:tr>
      <w:tr>
        <w:trPr/>
        <w:tc>
          <w:tcPr>
            <w:tcW w:w="539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31,470</w:t>
            </w:r>
          </w:p>
        </w:tc>
        <w:tc>
          <w:tcPr>
            <w:tcW w:w="75"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Variable lease cost (cost excluded from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3,536</w:t>
            </w:r>
          </w:p>
        </w:tc>
        <w:tc>
          <w:tcPr>
            <w:tcW w:w="75" w:type="dxa"/>
            <w:tcBorders/>
            <w:shd w:fill="CCEEFF" w:val="clear"/>
            <w:vAlign w:val="center"/>
          </w:tcPr>
          <w:p>
            <w:pPr>
              <w:pStyle w:val="TableContents"/>
              <w:bidi w:val="0"/>
              <w:spacing w:before="0" w:after="283"/>
              <w:jc w:val="left"/>
              <w:rPr/>
            </w:pPr>
            <w:r>
              <w:rPr/>
              <w:t> </w:t>
            </w:r>
          </w:p>
        </w:tc>
      </w:tr>
      <w:tr>
        <w:trPr/>
        <w:tc>
          <w:tcPr>
            <w:tcW w:w="5390" w:type="dxa"/>
            <w:tcBorders/>
            <w:shd w:fill="FFFFFF" w:val="clear"/>
            <w:vAlign w:val="center"/>
          </w:tcPr>
          <w:p>
            <w:pPr>
              <w:pStyle w:val="TableContents"/>
              <w:bidi w:val="0"/>
              <w:spacing w:before="0" w:after="283"/>
              <w:jc w:val="left"/>
              <w:rPr/>
            </w:pPr>
            <w:r>
              <w:rPr/>
              <w:t>Total lease cost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78,112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leases is as follows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6680" w:type="dxa"/>
        <w:jc w:val="left"/>
        <w:tblInd w:w="0" w:type="dxa"/>
        <w:tblLayout w:type="fixed"/>
        <w:tblCellMar>
          <w:top w:w="0" w:type="dxa"/>
          <w:left w:w="0" w:type="dxa"/>
          <w:bottom w:w="0" w:type="dxa"/>
          <w:right w:w="0" w:type="dxa"/>
        </w:tblCellMar>
      </w:tblPr>
      <w:tblGrid>
        <w:gridCol w:w="5570"/>
        <w:gridCol w:w="60"/>
        <w:gridCol w:w="140"/>
        <w:gridCol w:w="800"/>
        <w:gridCol w:w="110"/>
      </w:tblGrid>
      <w:tr>
        <w:trPr/>
        <w:tc>
          <w:tcPr>
            <w:tcW w:w="5570" w:type="dxa"/>
            <w:tcBorders/>
            <w:shd w:fill="CCEEFF" w:val="clear"/>
            <w:vAlign w:val="center"/>
          </w:tcPr>
          <w:p>
            <w:pPr>
              <w:pStyle w:val="TableContents"/>
              <w:bidi w:val="0"/>
              <w:spacing w:before="0" w:after="283"/>
              <w:jc w:val="left"/>
              <w:rPr/>
            </w:pPr>
            <w:r>
              <w:rPr/>
              <w:t>Operating lease - Operating cash flows (fixed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14,103</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Operating lease - Operating cash flows (liability reduction)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(5,417</w:t>
            </w:r>
          </w:p>
        </w:tc>
        <w:tc>
          <w:tcPr>
            <w:tcW w:w="110" w:type="dxa"/>
            <w:tcBorders/>
            <w:shd w:fill="FFFFFF" w:val="clear"/>
            <w:vAlign w:val="center"/>
          </w:tcPr>
          <w:p>
            <w:pPr>
              <w:pStyle w:val="TableContents"/>
              <w:bidi w:val="0"/>
              <w:spacing w:before="0" w:after="283"/>
              <w:jc w:val="left"/>
              <w:rPr/>
            </w:pPr>
            <w:r>
              <w:rPr/>
              <w:t>)</w:t>
            </w:r>
          </w:p>
        </w:tc>
      </w:tr>
      <w:tr>
        <w:trPr/>
        <w:tc>
          <w:tcPr>
            <w:tcW w:w="5570" w:type="dxa"/>
            <w:tcBorders/>
            <w:shd w:fill="CCEEFF" w:val="clear"/>
            <w:vAlign w:val="center"/>
          </w:tcPr>
          <w:p>
            <w:pPr>
              <w:pStyle w:val="TableContents"/>
              <w:bidi w:val="0"/>
              <w:spacing w:before="0" w:after="283"/>
              <w:jc w:val="left"/>
              <w:rPr/>
            </w:pPr>
            <w:r>
              <w:rPr/>
              <w:t>Operating lease - Change in ROU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23,586</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New lease liabilities - Operating lease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324,426</w:t>
            </w:r>
          </w:p>
        </w:tc>
        <w:tc>
          <w:tcPr>
            <w:tcW w:w="11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New ROU asset - Operating lease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331,478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operating lease asset and liabilities recorded at December 31, 2024:</w:t>
      </w:r>
    </w:p>
    <w:p>
      <w:pPr>
        <w:pStyle w:val="TextBody"/>
        <w:bidi w:val="0"/>
        <w:spacing w:before="0" w:after="0"/>
        <w:ind w:left="0" w:right="0" w:hanging="0"/>
        <w:jc w:val="both"/>
        <w:rPr>
          <w:caps w:val="false"/>
          <w:smallCaps w:val="false"/>
        </w:rPr>
      </w:pPr>
      <w:r>
        <w:rPr>
          <w:caps w:val="false"/>
          <w:smallCaps w:val="false"/>
        </w:rPr>
        <w:t> </w:t>
      </w:r>
    </w:p>
    <w:tbl>
      <w:tblPr>
        <w:tblW w:w="6140" w:type="dxa"/>
        <w:jc w:val="left"/>
        <w:tblInd w:w="0" w:type="dxa"/>
        <w:tblLayout w:type="fixed"/>
        <w:tblCellMar>
          <w:top w:w="0" w:type="dxa"/>
          <w:left w:w="0" w:type="dxa"/>
          <w:bottom w:w="0" w:type="dxa"/>
          <w:right w:w="0" w:type="dxa"/>
        </w:tblCellMar>
      </w:tblPr>
      <w:tblGrid>
        <w:gridCol w:w="4715"/>
        <w:gridCol w:w="60"/>
        <w:gridCol w:w="140"/>
        <w:gridCol w:w="995"/>
        <w:gridCol w:w="230"/>
      </w:tblGrid>
      <w:tr>
        <w:trPr/>
        <w:tc>
          <w:tcPr>
            <w:tcW w:w="4715" w:type="dxa"/>
            <w:tcBorders/>
            <w:shd w:fill="CCEEFF" w:val="clear"/>
            <w:vAlign w:val="center"/>
          </w:tcPr>
          <w:p>
            <w:pPr>
              <w:pStyle w:val="TableContents"/>
              <w:bidi w:val="0"/>
              <w:spacing w:before="0" w:after="283"/>
              <w:jc w:val="both"/>
              <w:rPr/>
            </w:pPr>
            <w:r>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307,892</w:t>
            </w:r>
          </w:p>
        </w:tc>
        <w:tc>
          <w:tcPr>
            <w:tcW w:w="23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95" w:type="dxa"/>
            <w:tcBorders/>
            <w:shd w:fill="FFFFFF" w:val="clear"/>
            <w:vAlign w:val="center"/>
          </w:tcPr>
          <w:p>
            <w:pPr>
              <w:pStyle w:val="TableContents"/>
              <w:bidi w:val="0"/>
              <w:spacing w:before="0" w:after="283"/>
              <w:jc w:val="right"/>
              <w:rPr/>
            </w:pPr>
            <w:r>
              <w:rPr/>
              <w:t>36,225</w:t>
            </w:r>
          </w:p>
        </w:tc>
        <w:tc>
          <w:tcPr>
            <w:tcW w:w="23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Operating lease liability, less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CCEEFF" w:val="clear"/>
            <w:tcMar>
              <w:bottom w:w="28" w:type="dxa"/>
            </w:tcMar>
            <w:vAlign w:val="center"/>
          </w:tcPr>
          <w:p>
            <w:pPr>
              <w:pStyle w:val="TableContents"/>
              <w:bidi w:val="0"/>
              <w:spacing w:before="0" w:after="283"/>
              <w:jc w:val="right"/>
              <w:rPr/>
            </w:pPr>
            <w:r>
              <w:rPr/>
              <w:t>265,413</w:t>
            </w:r>
          </w:p>
        </w:tc>
        <w:tc>
          <w:tcPr>
            <w:tcW w:w="23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5" w:type="dxa"/>
            <w:tcBorders>
              <w:bottom w:val="double" w:sz="10" w:space="0" w:color="000000"/>
            </w:tcBorders>
            <w:shd w:fill="FFFFFF" w:val="clear"/>
            <w:tcMar>
              <w:bottom w:w="28" w:type="dxa"/>
            </w:tcMar>
            <w:vAlign w:val="center"/>
          </w:tcPr>
          <w:p>
            <w:pPr>
              <w:pStyle w:val="TableContents"/>
              <w:bidi w:val="0"/>
              <w:spacing w:before="0" w:after="283"/>
              <w:jc w:val="right"/>
              <w:rPr/>
            </w:pPr>
            <w:r>
              <w:rPr/>
              <w:t>301,638</w:t>
            </w:r>
          </w:p>
        </w:tc>
        <w:tc>
          <w:tcPr>
            <w:tcW w:w="23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Weighted-average remaining operating lease term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4.75 years</w:t>
            </w:r>
          </w:p>
        </w:tc>
        <w:tc>
          <w:tcPr>
            <w:tcW w:w="23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Weighted-average operating lease discount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11.83</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future minimum lease commitments at December 31, 2024:</w:t>
      </w:r>
    </w:p>
    <w:p>
      <w:pPr>
        <w:pStyle w:val="TextBody"/>
        <w:bidi w:val="0"/>
        <w:spacing w:before="0" w:after="0"/>
        <w:ind w:left="0" w:right="0" w:hanging="0"/>
        <w:jc w:val="both"/>
        <w:rPr>
          <w:caps w:val="false"/>
          <w:smallCaps w:val="false"/>
        </w:rPr>
      </w:pPr>
      <w:r>
        <w:rPr>
          <w:caps w:val="false"/>
          <w:smallCaps w:val="false"/>
        </w:rPr>
        <w:t> </w:t>
      </w:r>
    </w:p>
    <w:tbl>
      <w:tblPr>
        <w:tblW w:w="3675" w:type="dxa"/>
        <w:jc w:val="left"/>
        <w:tblInd w:w="0" w:type="dxa"/>
        <w:tblLayout w:type="fixed"/>
        <w:tblCellMar>
          <w:top w:w="0" w:type="dxa"/>
          <w:left w:w="0" w:type="dxa"/>
          <w:bottom w:w="28" w:type="dxa"/>
          <w:right w:w="0" w:type="dxa"/>
        </w:tblCellMar>
      </w:tblPr>
      <w:tblGrid>
        <w:gridCol w:w="2600"/>
        <w:gridCol w:w="60"/>
        <w:gridCol w:w="140"/>
        <w:gridCol w:w="800"/>
        <w:gridCol w:w="75"/>
      </w:tblGrid>
      <w:tr>
        <w:trPr/>
        <w:tc>
          <w:tcPr>
            <w:tcW w:w="2600" w:type="dxa"/>
            <w:tcBorders>
              <w:bottom w:val="single" w:sz="12" w:space="0" w:color="000000"/>
            </w:tcBorders>
            <w:vAlign w:val="center"/>
          </w:tcPr>
          <w:p>
            <w:pPr>
              <w:pStyle w:val="TableContents"/>
              <w:bidi w:val="0"/>
              <w:spacing w:before="0" w:after="283"/>
              <w:jc w:val="left"/>
              <w:rPr/>
            </w:pPr>
            <w:r>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57,680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88,462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91,116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93,850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72,142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pPr>
            <w:r>
              <w:rPr/>
              <w:t>Total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403,250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Less: imputed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101,612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pPr>
            <w:r>
              <w:rPr/>
              <w:t>Total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800" w:type="dxa"/>
            <w:tcBorders>
              <w:bottom w:val="double" w:sz="10" w:space="0" w:color="000000"/>
            </w:tcBorders>
            <w:shd w:fill="FFFFFF" w:val="clear"/>
            <w:vAlign w:val="center"/>
          </w:tcPr>
          <w:p>
            <w:pPr>
              <w:pStyle w:val="TableContents"/>
              <w:bidi w:val="0"/>
              <w:spacing w:before="0" w:after="283"/>
              <w:jc w:val="right"/>
              <w:rPr/>
            </w:pPr>
            <w:r>
              <w:rPr/>
              <w:t>301,638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11 -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SEE ID has entered into SAFE agreements with Charles Maddox, SEE ID’s Chief Financial Officer and a stockholder of SEE ID, for proceeds totaling $28,833.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SEE ID entered into a $1,500,000 purchase order with Pope Technologies LLC for certain products, hardware, installation, programming, subscription, and training, of which $750,000 has been received by the Company and is reported as deferred revenue at December 31, 2024 in the accompanying consolidated balance sheets. Pope Technologies LLC is owned by a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2022, SEE ID entered into a customer agreement with PRB Transportation, LLC, which is owned, in part, by Charles Maddox, SEE ID’s Chief Financial Officer and a stockholder of SEE ID, and Jeff Andersen, a stockholder of SEE ID. For the years ended December 31, 2024 and 2023, revenues recognized from this agreement with PRB Transportation, LLC amounted to $15,145 and $19,957, respectively. As of December 31, 2024 and 2023, $1,164 and zero, respectively, were outstanding from this related party under this agreement and included in “Accounts receivable” in the accompanying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August 1, 2024, SEE ID began subleasing an office/warehouse space in Las Vegas, Nevada from Pope Technologies LLC. The term of this sublease is for one year and the rent is $1,280 per month. Pope Technologies LLC is owned by a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March 1, 2024, SEE ID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SEE ID. This lease terminated on February 28, 2025, and was not renewed.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12 -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involved in litigation and claims arising in the ordinary course of business. It is management’s opinion that the outcome of such matters will not have a material adverse effect on the Company’s consolidated financial statements; however, the results of litigation and claims are inherently unpredictable. Regardless of outcome, litigation can have an adverse impact on the Company because of legal costs, diversion of management resources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13 -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single reportable segment that derives revenues from the delivery of feasibility study reports to customers seeking to gain insight into how data driven tracking could improve their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decision-makers (the “CODM”), which are SEE ID’s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sales, can be easily computed from the provided information. This segment measures of profitability are shown in the consolidated statements of operations. The measure of segment assets is reported on the consolidated balance sheets as total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14 -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Safe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2024, SEE ID issued an additional SAFE agreement to an investor for proceeds of $23,752, which has a stated discount rate of 67%. All other terms are consistent with the terms of the SAFE agreements in Note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received two orders from a customer: 1) one for approximately $459,000 of equipment, which has not been fulfilled as of June 25, 2025, the date with which the consolidated financial statements were available to be issued, and 2) one for a feasibility study for $250,000, which was pre-paid by the customer, and delivered and recognized in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Dot Works entered into a noncancelable lease agreement for a 16,000 square foot facility in Puerto Rico. This lease commenced on February 1, 2025 on a month-to-month basis and then became a long-term lease with an initial term of 5 years on June 1, 2025. The initial base rent is $7.00 per square foot (i.e., $9,333 per month) for the first two years, increasing to $7.50 per square for the third year and increases by 3% annually thereafter. Under the terms of this lease, the Company is also responsible for their own utilities and a proportionate share of the operating expenses of the premises, not to exceed $3.25 per square foot.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Bridge Loan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entered into the following unsecured Bridge Loan Agreements with lenders totaling $2,850,000 for operational expenses, working capital, or other general corporate purposes. These loans all bear interest at an annual rate of 20% calculated on a 365-day basis and include a minimum interest provision requiring a minimum of 8% or 10% of the principal amount as interest if the loans are repaid prior to their maturity dates, which is six months from their respective effective dates. In the event SEE ID is unable to repay these loans by the end of the term, the outstanding principal and accrued interest shall convert into shares of SEE ID at a discount of an additional 10%.</w:t>
      </w:r>
    </w:p>
    <w:p>
      <w:pPr>
        <w:pStyle w:val="TextBody"/>
        <w:bidi w:val="0"/>
        <w:spacing w:before="0" w:after="0"/>
        <w:ind w:left="0" w:right="0" w:hanging="0"/>
        <w:jc w:val="both"/>
        <w:rPr>
          <w:caps w:val="false"/>
          <w:smallCaps w:val="false"/>
        </w:rPr>
      </w:pPr>
      <w:r>
        <w:rPr>
          <w:caps w:val="false"/>
          <w:smallCaps w:val="false"/>
        </w:rPr>
        <w:t> </w:t>
      </w:r>
    </w:p>
    <w:tbl>
      <w:tblPr>
        <w:tblW w:w="3279" w:type="dxa"/>
        <w:jc w:val="left"/>
        <w:tblInd w:w="0" w:type="dxa"/>
        <w:tblLayout w:type="fixed"/>
        <w:tblCellMar>
          <w:top w:w="0" w:type="dxa"/>
          <w:left w:w="0" w:type="dxa"/>
          <w:bottom w:w="28" w:type="dxa"/>
          <w:right w:w="0" w:type="dxa"/>
        </w:tblCellMar>
      </w:tblPr>
      <w:tblGrid>
        <w:gridCol w:w="1790"/>
        <w:gridCol w:w="60"/>
        <w:gridCol w:w="169"/>
        <w:gridCol w:w="1185"/>
        <w:gridCol w:w="75"/>
      </w:tblGrid>
      <w:tr>
        <w:trPr/>
        <w:tc>
          <w:tcPr>
            <w:tcW w:w="1790" w:type="dxa"/>
            <w:tcBorders>
              <w:bottom w:val="single" w:sz="12" w:space="0" w:color="000000"/>
            </w:tcBorders>
            <w:vAlign w:val="center"/>
          </w:tcPr>
          <w:p>
            <w:pPr>
              <w:pStyle w:val="TableContents"/>
              <w:bidi w:val="0"/>
              <w:spacing w:before="0" w:after="283"/>
              <w:jc w:val="left"/>
              <w:rPr/>
            </w:pPr>
            <w:r>
              <w:rPr/>
              <w:t>Effective Date</w:t>
            </w:r>
          </w:p>
        </w:tc>
        <w:tc>
          <w:tcPr>
            <w:tcW w:w="60" w:type="dxa"/>
            <w:tcBorders/>
            <w:tcMar>
              <w:bottom w:w="0" w:type="dxa"/>
            </w:tcMar>
            <w:vAlign w:val="center"/>
          </w:tcPr>
          <w:p>
            <w:pPr>
              <w:pStyle w:val="TableContents"/>
              <w:bidi w:val="0"/>
              <w:spacing w:before="0" w:after="283"/>
              <w:jc w:val="left"/>
              <w:rPr/>
            </w:pPr>
            <w:r>
              <w:rPr/>
              <w:t> </w:t>
            </w:r>
          </w:p>
        </w:tc>
        <w:tc>
          <w:tcPr>
            <w:tcW w:w="1354" w:type="dxa"/>
            <w:gridSpan w:val="2"/>
            <w:tcBorders>
              <w:bottom w:val="single" w:sz="12" w:space="0" w:color="000000"/>
            </w:tcBorders>
            <w:vAlign w:val="center"/>
          </w:tcPr>
          <w:p>
            <w:pPr>
              <w:pStyle w:val="TableContents"/>
              <w:bidi w:val="0"/>
              <w:spacing w:before="0" w:after="283"/>
              <w:jc w:val="center"/>
              <w:rPr/>
            </w:pPr>
            <w:r>
              <w:rPr/>
              <w:t>Loan Amount</w:t>
            </w:r>
          </w:p>
        </w:tc>
        <w:tc>
          <w:tcPr>
            <w:tcW w:w="75" w:type="dxa"/>
            <w:tcBorders/>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both"/>
              <w:rPr/>
            </w:pPr>
            <w:r>
              <w:rPr/>
              <w:t>January 29,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w:t>
            </w:r>
          </w:p>
        </w:tc>
        <w:tc>
          <w:tcPr>
            <w:tcW w:w="1185" w:type="dxa"/>
            <w:tcBorders/>
            <w:shd w:fill="CCEEFF" w:val="clear"/>
            <w:tcMar>
              <w:bottom w:w="0" w:type="dxa"/>
            </w:tcMar>
            <w:vAlign w:val="center"/>
          </w:tcPr>
          <w:p>
            <w:pPr>
              <w:pStyle w:val="TableContents"/>
              <w:bidi w:val="0"/>
              <w:spacing w:before="0" w:after="283"/>
              <w:jc w:val="right"/>
              <w:rPr/>
            </w:pPr>
            <w:r>
              <w:rPr/>
              <w:t>1,500,000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both"/>
              <w:rPr/>
            </w:pPr>
            <w:r>
              <w:rPr/>
              <w:t>March 29,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1185" w:type="dxa"/>
            <w:tcBorders/>
            <w:shd w:fill="FFFFFF" w:val="clear"/>
            <w:tcMar>
              <w:bottom w:w="0" w:type="dxa"/>
            </w:tcMar>
            <w:vAlign w:val="center"/>
          </w:tcPr>
          <w:p>
            <w:pPr>
              <w:pStyle w:val="TableContents"/>
              <w:bidi w:val="0"/>
              <w:spacing w:before="0" w:after="283"/>
              <w:jc w:val="right"/>
              <w:rPr/>
            </w:pPr>
            <w:r>
              <w:rPr/>
              <w:t>100,000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both"/>
              <w:rPr/>
            </w:pPr>
            <w:r>
              <w:rPr/>
              <w:t>April 9,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185" w:type="dxa"/>
            <w:tcBorders/>
            <w:shd w:fill="CCEEFF" w:val="clear"/>
            <w:tcMar>
              <w:bottom w:w="0" w:type="dxa"/>
            </w:tcMar>
            <w:vAlign w:val="center"/>
          </w:tcPr>
          <w:p>
            <w:pPr>
              <w:pStyle w:val="TableContents"/>
              <w:bidi w:val="0"/>
              <w:spacing w:before="0" w:after="283"/>
              <w:jc w:val="right"/>
              <w:rPr/>
            </w:pPr>
            <w:r>
              <w:rPr/>
              <w:t>500,000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both"/>
              <w:rPr/>
            </w:pPr>
            <w:r>
              <w:rPr/>
              <w:t>May 7,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1185" w:type="dxa"/>
            <w:tcBorders/>
            <w:shd w:fill="FFFFFF" w:val="clear"/>
            <w:tcMar>
              <w:bottom w:w="0" w:type="dxa"/>
            </w:tcMar>
            <w:vAlign w:val="center"/>
          </w:tcPr>
          <w:p>
            <w:pPr>
              <w:pStyle w:val="TableContents"/>
              <w:bidi w:val="0"/>
              <w:spacing w:before="0" w:after="283"/>
              <w:jc w:val="right"/>
              <w:rPr/>
            </w:pPr>
            <w:r>
              <w:rPr/>
              <w:t>500,000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both"/>
              <w:rPr/>
            </w:pPr>
            <w:r>
              <w:rPr/>
              <w:t>June 5,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bottom w:val="single" w:sz="12" w:space="0" w:color="000000"/>
            </w:tcBorders>
            <w:shd w:fill="CCEEFF" w:val="clear"/>
            <w:vAlign w:val="center"/>
          </w:tcPr>
          <w:p>
            <w:pPr>
              <w:pStyle w:val="TableContents"/>
              <w:bidi w:val="0"/>
              <w:spacing w:before="0" w:after="283"/>
              <w:jc w:val="left"/>
              <w:rPr/>
            </w:pPr>
            <w:r>
              <w:rPr/>
              <w:t> </w:t>
            </w:r>
          </w:p>
        </w:tc>
        <w:tc>
          <w:tcPr>
            <w:tcW w:w="1185" w:type="dxa"/>
            <w:tcBorders>
              <w:bottom w:val="single" w:sz="12" w:space="0" w:color="000000"/>
            </w:tcBorders>
            <w:shd w:fill="CCEEFF" w:val="clear"/>
            <w:vAlign w:val="center"/>
          </w:tcPr>
          <w:p>
            <w:pPr>
              <w:pStyle w:val="TableContents"/>
              <w:bidi w:val="0"/>
              <w:spacing w:before="0" w:after="283"/>
              <w:jc w:val="right"/>
              <w:rPr/>
            </w:pPr>
            <w:r>
              <w:rPr/>
              <w:t>250,000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bottom w:val="double" w:sz="10" w:space="0" w:color="000000"/>
            </w:tcBorders>
            <w:shd w:fill="FFFFFF" w:val="clear"/>
            <w:vAlign w:val="center"/>
          </w:tcPr>
          <w:p>
            <w:pPr>
              <w:pStyle w:val="TableContents"/>
              <w:bidi w:val="0"/>
              <w:spacing w:before="0" w:after="283"/>
              <w:jc w:val="left"/>
              <w:rPr/>
            </w:pPr>
            <w:r>
              <w:rPr/>
              <w:t>$</w:t>
            </w:r>
          </w:p>
        </w:tc>
        <w:tc>
          <w:tcPr>
            <w:tcW w:w="1185" w:type="dxa"/>
            <w:tcBorders>
              <w:bottom w:val="double" w:sz="10" w:space="0" w:color="000000"/>
            </w:tcBorders>
            <w:shd w:fill="FFFFFF" w:val="clear"/>
            <w:vAlign w:val="center"/>
          </w:tcPr>
          <w:p>
            <w:pPr>
              <w:pStyle w:val="TableContents"/>
              <w:bidi w:val="0"/>
              <w:spacing w:before="0" w:after="283"/>
              <w:jc w:val="right"/>
              <w:rPr/>
            </w:pPr>
            <w:r>
              <w:rPr/>
              <w:t>2,850,000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Bridge loans from this investor (who, as discussed below, is also a PIPE investor) had an aggregate principal amount of $2,500,000. At closing of the BCA (as defined in the Business Combination disclosure below) on June 18, 2025, the investor received a cash payment of $293,500, comprised of $250,000 of minimum 10% interest and $43,500 of principal repayment, and a number of shares equivalent to $2,456,500 at a per share price of $4.</w:t>
            </w:r>
          </w:p>
        </w:tc>
      </w:tr>
    </w:tbl>
    <w:p>
      <w:pPr>
        <w:pStyle w:val="TextBody"/>
        <w:bidi w:val="0"/>
        <w:spacing w:before="0" w:after="0"/>
        <w:ind w:left="72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w:t>
            </w:r>
          </w:p>
        </w:tc>
        <w:tc>
          <w:tcPr>
            <w:tcW w:w="9932" w:type="dxa"/>
            <w:tcBorders/>
            <w:vAlign w:val="center"/>
          </w:tcPr>
          <w:p>
            <w:pPr>
              <w:pStyle w:val="TableContents"/>
              <w:bidi w:val="0"/>
              <w:spacing w:before="0" w:after="283"/>
              <w:jc w:val="both"/>
              <w:rPr/>
            </w:pPr>
            <w:r>
              <w:rPr/>
              <w:t>Aggregate loan principal and minimum 10% interest totaling $110,000 was paid in cash at closing of the BCA on June 18, 2025.</w:t>
            </w:r>
          </w:p>
        </w:tc>
      </w:tr>
    </w:tbl>
    <w:p>
      <w:pPr>
        <w:pStyle w:val="TextBody"/>
        <w:bidi w:val="0"/>
        <w:spacing w:before="0" w:after="0"/>
        <w:ind w:left="72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1"/>
        <w:gridCol w:w="9836"/>
      </w:tblGrid>
      <w:tr>
        <w:trPr/>
        <w:tc>
          <w:tcPr>
            <w:tcW w:w="3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pPr>
            <w:r>
              <w:rPr/>
              <w:t>***</w:t>
            </w:r>
          </w:p>
        </w:tc>
        <w:tc>
          <w:tcPr>
            <w:tcW w:w="9836" w:type="dxa"/>
            <w:tcBorders/>
            <w:vAlign w:val="center"/>
          </w:tcPr>
          <w:p>
            <w:pPr>
              <w:pStyle w:val="TableContents"/>
              <w:bidi w:val="0"/>
              <w:spacing w:before="0" w:after="283"/>
              <w:jc w:val="both"/>
              <w:rPr/>
            </w:pPr>
            <w:r>
              <w:rPr/>
              <w:t>Aggregate loan principal and minimum 8% interest totaling $270,000 was paid in cash at closing of the BCA on June 18,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“Closing Date”), SUTA, a Delaware corporation, completed the transactions contemplated by that certain business combination agreement, dated as of March 18, 2024 (the “Business Combination Agreement”), by and among CID Holdco, Inc., a Delaware corporation (“Holdings”) and a wholly-owned subsidiary of ShoulderUp, ShoulderUp Merger Sub, Inc., a Delaware corporation (“ShoulderUp Merger Sub”) and wholly-owned subsidiary of ShoulderUp, SEE ID Merger Sub, Inc., a Nevada corporation (“SEE ID Merger Sub”) and wholly-owned subsidiary of ShoulderUp, and SEE ID, Inc., a Nevada corporation (“SEE 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transactions contemplated by the Business Combination Agreement (the “Closing”), (i) ShoulderUp Merger Sub, merged with and into ShoulderUp, with ShoulderUp continuing as the surviving company in the merger, and with the security holders of ShoulderUp receiving substantially equivalent securities of Holdings, and (ii) SEE ID Merger Sub, merged with and into SEE ID, with SEE ID continuing as the surviving company in the merger, and with the shareholders of SEE ID receiving shares of Holdings common stock, par value $0.0001 per share (the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Business Combination Agreement, (i) the holders of shares of SUTA’s common stock (“SUTA Common Stock”) issued and outstanding immediately prior to the effective time of the Business Combination (other than any redeemed shares) received one share of common stock of Holdings (“Holdings Common Stock”) in exchange for each share of SUTA Common Stock held by them, (ii) the holders of each whole warrant to purchase SUTA Class A Common Stock received one warrant to purchase Holdings Common Stock at an exercise price of $11.50 per share, and (iii) 13 million shares of Holdings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PIPE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2025, an investor subscribed to 250,000 common shares of Holdings in exchange for $1,000,000.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2025, an investor subscribed to 1,317,750 common shares of Holdings in exchange for $5,271,000. This investor previously extended to the Company bridge loans in the aggregate principal amount of $2,500,000, which was settled at closing of the BCA (as defined in the Business Combination disclosure above) on June 18, 2025, as discussed in the Bridge Loan Agreements disclosure above. The remaining PIPE commitment of $2,814,500 was paid to the Company at closing at which time 1,317,750 common shares of Holdings were issued to the investor.</w:t>
      </w:r>
    </w:p>
    <w:p>
      <w:pPr>
        <w:pStyle w:val="TextBody"/>
        <w:bidi w:val="0"/>
        <w:spacing w:before="0" w:after="0"/>
        <w:ind w:left="274" w:right="2981"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17, 2025, an investor subscribed to 1,755,786 common shares of Holdings in exchange for $7,023,143.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Company entered into a share subscription of line of credit agreement (the “ELOC”) with New Circle Principle Investments LLC (“New Circle”) under which the Company can access up to fifty million ($50,000,000) in aggregate proceeds. The Company shall pay a commitment fee to the New Circle in the form of shares of common stock of Holding’s with an aggregate market value equal to $350,000, the market value of which shall be determined based on the closing price of the such common stock on the date a Form S-1 is declared effective by the SEC. Such Form S-1 is to be filed 60 days after the close of the BCA agreement. No commitment fee payment nor draw down of the ELOC has occurred as of the date of issuance of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56" w:name="ea024660701ex99-2_cidhold.htm"/>
      <w:bookmarkStart w:id="57" w:name="ksea024660701ex992_cidhold"/>
      <w:bookmarkEnd w:id="56"/>
      <w:bookmarkEnd w:id="57"/>
      <w:r>
        <w:rPr>
          <w:b/>
        </w:rPr>
        <w:t>Exhibit 99.2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ID, INC. AND SUBSIDIARY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 and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ind w:left="72" w:right="72" w:hanging="0"/>
        <w:jc w:val="left"/>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9305"/>
        <w:gridCol w:w="680"/>
      </w:tblGrid>
      <w:tr>
        <w:trPr/>
        <w:tc>
          <w:tcPr>
            <w:tcW w:w="9305" w:type="dxa"/>
            <w:tcBorders/>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center"/>
              <w:rPr/>
            </w:pPr>
            <w:r>
              <w:rPr/>
              <w:t>PAGE</w:t>
            </w:r>
          </w:p>
        </w:tc>
      </w:tr>
      <w:tr>
        <w:trPr/>
        <w:tc>
          <w:tcPr>
            <w:tcW w:w="9305" w:type="dxa"/>
            <w:tcBorders/>
            <w:vAlign w:val="center"/>
          </w:tcPr>
          <w:p>
            <w:pPr>
              <w:pStyle w:val="TableContents"/>
              <w:bidi w:val="0"/>
              <w:spacing w:before="0" w:after="283"/>
              <w:jc w:val="left"/>
              <w:rPr/>
            </w:pPr>
            <w:r>
              <w:rPr/>
              <w:t>Unaudited Consolidated Financial Statements:</w:t>
            </w:r>
          </w:p>
        </w:tc>
        <w:tc>
          <w:tcPr>
            <w:tcW w:w="680" w:type="dxa"/>
            <w:tcBorders/>
            <w:vAlign w:val="center"/>
          </w:tcPr>
          <w:p>
            <w:pPr>
              <w:pStyle w:val="TableContents"/>
              <w:bidi w:val="0"/>
              <w:spacing w:before="0" w:after="283"/>
              <w:jc w:val="center"/>
              <w:rPr/>
            </w:pPr>
            <w:r>
              <w:rPr/>
              <w:t> </w:t>
            </w:r>
          </w:p>
        </w:tc>
      </w:tr>
      <w:tr>
        <w:trPr/>
        <w:tc>
          <w:tcPr>
            <w:tcW w:w="930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 </w:t>
            </w:r>
          </w:p>
        </w:tc>
      </w:tr>
      <w:tr>
        <w:trPr/>
        <w:tc>
          <w:tcPr>
            <w:tcW w:w="9305" w:type="dxa"/>
            <w:tcBorders/>
            <w:shd w:fill="CCEEFF" w:val="clear"/>
            <w:vAlign w:val="center"/>
          </w:tcPr>
          <w:p>
            <w:pPr>
              <w:pStyle w:val="TableContents"/>
              <w:bidi w:val="0"/>
              <w:spacing w:before="0" w:after="283"/>
              <w:jc w:val="left"/>
              <w:rPr/>
            </w:pPr>
            <w:hyperlink w:anchor="f_001">
              <w:r>
                <w:rPr>
                  <w:rStyle w:val="InternetLink"/>
                  <w:rFonts w:ascii="Times New Roman;Times;Serif" w:hAnsi="Times New Roman;Times;Serif"/>
                  <w:sz w:val="20"/>
                </w:rPr>
                <w:t>Consolidated balance sheets at March 31, 2025 (unaudited) and December 31, 2024</w:t>
              </w:r>
            </w:hyperlink>
          </w:p>
        </w:tc>
        <w:tc>
          <w:tcPr>
            <w:tcW w:w="6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1 - 2</w:t>
            </w:r>
          </w:p>
        </w:tc>
      </w:tr>
      <w:tr>
        <w:trPr/>
        <w:tc>
          <w:tcPr>
            <w:tcW w:w="9305"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pPr>
            <w:r>
              <w:rPr/>
              <w:t> </w:t>
            </w:r>
          </w:p>
        </w:tc>
      </w:tr>
      <w:tr>
        <w:trPr/>
        <w:tc>
          <w:tcPr>
            <w:tcW w:w="9305" w:type="dxa"/>
            <w:tcBorders/>
            <w:shd w:fill="CCEEFF" w:val="clear"/>
            <w:vAlign w:val="center"/>
          </w:tcPr>
          <w:p>
            <w:pPr>
              <w:pStyle w:val="TableContents"/>
              <w:bidi w:val="0"/>
              <w:spacing w:before="0" w:after="283"/>
              <w:jc w:val="left"/>
              <w:rPr/>
            </w:pPr>
            <w:hyperlink w:anchor="f_002">
              <w:r>
                <w:rPr>
                  <w:rStyle w:val="InternetLink"/>
                  <w:rFonts w:ascii="Times New Roman;Times;Serif" w:hAnsi="Times New Roman;Times;Serif"/>
                  <w:sz w:val="20"/>
                </w:rPr>
                <w:t>Consolidated statements of operations for the three-months ended March 31, 2025 and 2024 (unaudited)</w:t>
              </w:r>
            </w:hyperlink>
          </w:p>
        </w:tc>
        <w:tc>
          <w:tcPr>
            <w:tcW w:w="6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9305"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pPr>
            <w:r>
              <w:rPr/>
              <w:t> </w:t>
            </w:r>
          </w:p>
        </w:tc>
      </w:tr>
      <w:tr>
        <w:trPr/>
        <w:tc>
          <w:tcPr>
            <w:tcW w:w="9305" w:type="dxa"/>
            <w:tcBorders/>
            <w:shd w:fill="CCEEFF" w:val="clear"/>
            <w:vAlign w:val="center"/>
          </w:tcPr>
          <w:p>
            <w:pPr>
              <w:pStyle w:val="TableContents"/>
              <w:bidi w:val="0"/>
              <w:spacing w:before="0" w:after="283"/>
              <w:jc w:val="left"/>
              <w:rPr/>
            </w:pPr>
            <w:hyperlink w:anchor="f_003">
              <w:r>
                <w:rPr>
                  <w:rStyle w:val="InternetLink"/>
                  <w:rFonts w:ascii="Times New Roman;Times;Serif" w:hAnsi="Times New Roman;Times;Serif"/>
                  <w:sz w:val="20"/>
                </w:rPr>
                <w:t>Consolidated statements of stockholders’ deficit for the three-months ended March 31, 2025 and 2024 (unaudited)</w:t>
              </w:r>
            </w:hyperlink>
          </w:p>
        </w:tc>
        <w:tc>
          <w:tcPr>
            <w:tcW w:w="6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9305"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pPr>
            <w:r>
              <w:rPr/>
              <w:t> </w:t>
            </w:r>
          </w:p>
        </w:tc>
      </w:tr>
      <w:tr>
        <w:trPr/>
        <w:tc>
          <w:tcPr>
            <w:tcW w:w="9305" w:type="dxa"/>
            <w:tcBorders/>
            <w:shd w:fill="CCEEFF" w:val="clear"/>
            <w:vAlign w:val="center"/>
          </w:tcPr>
          <w:p>
            <w:pPr>
              <w:pStyle w:val="TableContents"/>
              <w:bidi w:val="0"/>
              <w:spacing w:before="0" w:after="283"/>
              <w:jc w:val="left"/>
              <w:rPr/>
            </w:pPr>
            <w:hyperlink w:anchor="f_004">
              <w:r>
                <w:rPr>
                  <w:rStyle w:val="InternetLink"/>
                  <w:rFonts w:ascii="Times New Roman;Times;Serif" w:hAnsi="Times New Roman;Times;Serif"/>
                  <w:sz w:val="20"/>
                </w:rPr>
                <w:t>Consolidated statements of cash flows for the three-months ended March 31, 2025 and 2024 (unaudited)</w:t>
              </w:r>
            </w:hyperlink>
          </w:p>
        </w:tc>
        <w:tc>
          <w:tcPr>
            <w:tcW w:w="6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9305"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pPr>
            <w:r>
              <w:rPr/>
              <w:t> </w:t>
            </w:r>
          </w:p>
        </w:tc>
      </w:tr>
      <w:tr>
        <w:trPr/>
        <w:tc>
          <w:tcPr>
            <w:tcW w:w="9305" w:type="dxa"/>
            <w:tcBorders/>
            <w:shd w:fill="CCEEFF" w:val="clear"/>
            <w:vAlign w:val="center"/>
          </w:tcPr>
          <w:p>
            <w:pPr>
              <w:pStyle w:val="TableContents"/>
              <w:bidi w:val="0"/>
              <w:spacing w:before="0" w:after="283"/>
              <w:jc w:val="left"/>
              <w:rPr/>
            </w:pPr>
            <w:hyperlink w:anchor="f_005">
              <w:r>
                <w:rPr>
                  <w:rStyle w:val="InternetLink"/>
                  <w:rFonts w:ascii="Times New Roman;Times;Serif" w:hAnsi="Times New Roman;Times;Serif"/>
                  <w:sz w:val="20"/>
                </w:rPr>
                <w:t>Notes to consolidated financial statements</w:t>
              </w:r>
            </w:hyperlink>
          </w:p>
        </w:tc>
        <w:tc>
          <w:tcPr>
            <w:tcW w:w="6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6 - 24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58" w:name="f_001"/>
      <w:bookmarkEnd w:id="58"/>
      <w:r>
        <w:rPr>
          <w:rFonts w:ascii="Times New Roman;Times;Serif" w:hAnsi="Times New Roman;Times;Serif"/>
          <w:b w:val="false"/>
          <w:i w:val="false"/>
          <w:caps w:val="false"/>
          <w:smallCaps w:val="false"/>
          <w:sz w:val="20"/>
        </w:rPr>
        <w:t>SEE ID, INC. AND SUBSIDIARY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Balance Sheets</w:t>
      </w:r>
    </w:p>
    <w:p>
      <w:pPr>
        <w:pStyle w:val="TextBody"/>
        <w:bidi w:val="0"/>
        <w:spacing w:before="0" w:after="0"/>
        <w:jc w:val="center"/>
        <w:rPr>
          <w:caps w:val="false"/>
          <w:smallCaps w:val="false"/>
        </w:rPr>
      </w:pPr>
      <w:r>
        <w:rPr>
          <w:caps w:val="false"/>
          <w:smallCaps w:val="false"/>
        </w:rPr>
        <w:t> </w:t>
      </w:r>
    </w:p>
    <w:tbl>
      <w:tblPr>
        <w:tblW w:w="6658" w:type="dxa"/>
        <w:jc w:val="left"/>
        <w:tblInd w:w="0" w:type="dxa"/>
        <w:tblLayout w:type="fixed"/>
        <w:tblCellMar>
          <w:top w:w="0" w:type="dxa"/>
          <w:left w:w="0" w:type="dxa"/>
          <w:bottom w:w="0" w:type="dxa"/>
          <w:right w:w="0" w:type="dxa"/>
        </w:tblCellMar>
      </w:tblPr>
      <w:tblGrid>
        <w:gridCol w:w="3770"/>
        <w:gridCol w:w="60"/>
        <w:gridCol w:w="152"/>
        <w:gridCol w:w="1067"/>
        <w:gridCol w:w="60"/>
        <w:gridCol w:w="60"/>
        <w:gridCol w:w="176"/>
        <w:gridCol w:w="1238"/>
        <w:gridCol w:w="75"/>
      </w:tblGrid>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pPr>
            <w:r>
              <w:rPr/>
              <w:t>March 31,</w:t>
              <w:br/>
              <w:t>2025</w:t>
              <w:br/>
              <w:t xml:space="preserve">(Unaudited)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December 31, </w:t>
              <w:br/>
              <w:t>2024</w:t>
            </w:r>
          </w:p>
        </w:tc>
        <w:tc>
          <w:tcPr>
            <w:tcW w:w="75" w:type="dxa"/>
            <w:tcBorders/>
            <w:vAlign w:val="center"/>
          </w:tcPr>
          <w:p>
            <w:pPr>
              <w:pStyle w:val="TableContents"/>
              <w:bidi w:val="0"/>
              <w:spacing w:before="0" w:after="283"/>
              <w:jc w:val="center"/>
              <w:rPr/>
            </w:pPr>
            <w:r>
              <w:rPr/>
              <w:t> </w:t>
            </w:r>
          </w:p>
        </w:tc>
      </w:tr>
      <w:tr>
        <w:trPr/>
        <w:tc>
          <w:tcPr>
            <w:tcW w:w="6658" w:type="dxa"/>
            <w:gridSpan w:val="9"/>
            <w:tcBorders/>
            <w:vAlign w:val="center"/>
          </w:tcPr>
          <w:p>
            <w:pPr>
              <w:pStyle w:val="TableContents"/>
              <w:bidi w:val="0"/>
              <w:spacing w:before="0" w:after="283"/>
              <w:ind w:left="0" w:right="0" w:hanging="180"/>
              <w:jc w:val="center"/>
              <w:rPr>
                <w:u w:val="single"/>
              </w:rPr>
            </w:pPr>
            <w:r>
              <w:rPr>
                <w:u w:val="single"/>
              </w:rPr>
              <w:t>ASSETS</w:t>
            </w:r>
          </w:p>
        </w:tc>
      </w:tr>
      <w:tr>
        <w:trPr/>
        <w:tc>
          <w:tcPr>
            <w:tcW w:w="3770" w:type="dxa"/>
            <w:tcBorders/>
            <w:vAlign w:val="center"/>
          </w:tcPr>
          <w:p>
            <w:pPr>
              <w:pStyle w:val="TableContents"/>
              <w:bidi w:val="0"/>
              <w:spacing w:before="0" w:after="283"/>
              <w:jc w:val="both"/>
              <w:rPr>
                <w:u w:val="single"/>
              </w:rPr>
            </w:pPr>
            <w:r>
              <w:rPr>
                <w:u w:val="single"/>
              </w:rPr>
              <w:t>Current assets:</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3770" w:type="dxa"/>
            <w:tcBorders/>
            <w:shd w:fill="CCEEFF" w:val="clear"/>
            <w:vAlign w:val="center"/>
          </w:tcPr>
          <w:p>
            <w:pPr>
              <w:pStyle w:val="TableContents"/>
              <w:bidi w:val="0"/>
              <w:spacing w:before="0" w:after="283"/>
              <w:jc w:val="both"/>
              <w:rPr/>
            </w:pPr>
            <w:r>
              <w:rPr/>
              <w:t>Cash</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067" w:type="dxa"/>
            <w:tcBorders/>
            <w:shd w:fill="CCEEFF" w:val="clear"/>
            <w:vAlign w:val="center"/>
          </w:tcPr>
          <w:p>
            <w:pPr>
              <w:pStyle w:val="TableContents"/>
              <w:bidi w:val="0"/>
              <w:spacing w:before="0" w:after="283"/>
              <w:jc w:val="right"/>
              <w:rPr/>
            </w:pPr>
            <w:r>
              <w:rPr/>
              <w:t>344,902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721,032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70" w:type="dxa"/>
            <w:tcBorders/>
            <w:shd w:fill="FFFFFF" w:val="clear"/>
            <w:vAlign w:val="center"/>
          </w:tcPr>
          <w:p>
            <w:pPr>
              <w:pStyle w:val="TableContents"/>
              <w:bidi w:val="0"/>
              <w:spacing w:before="0" w:after="283"/>
              <w:jc w:val="both"/>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5,305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50,264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70" w:type="dxa"/>
            <w:tcBorders/>
            <w:shd w:fill="CCEEFF" w:val="clear"/>
            <w:vAlign w:val="center"/>
          </w:tcPr>
          <w:p>
            <w:pPr>
              <w:pStyle w:val="TableContents"/>
              <w:bidi w:val="0"/>
              <w:spacing w:before="0" w:after="283"/>
              <w:jc w:val="both"/>
              <w:rPr/>
            </w:pPr>
            <w:r>
              <w:rPr/>
              <w:t>Inventory</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69,876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65,248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70" w:type="dxa"/>
            <w:tcBorders/>
            <w:shd w:fill="FFFFFF" w:val="clear"/>
            <w:vAlign w:val="center"/>
          </w:tcPr>
          <w:p>
            <w:pPr>
              <w:pStyle w:val="TableContents"/>
              <w:bidi w:val="0"/>
              <w:spacing w:before="0" w:after="283"/>
              <w:jc w:val="both"/>
              <w:rPr/>
            </w:pPr>
            <w:r>
              <w:rPr/>
              <w:t>Advances to supplier</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37,748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33,576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70" w:type="dxa"/>
            <w:tcBorders/>
            <w:shd w:fill="CCEEFF" w:val="clear"/>
            <w:vAlign w:val="center"/>
          </w:tcPr>
          <w:p>
            <w:pPr>
              <w:pStyle w:val="TableContents"/>
              <w:bidi w:val="0"/>
              <w:spacing w:before="0" w:after="283"/>
              <w:jc w:val="both"/>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12" w:space="0" w:color="000000"/>
            </w:tcBorders>
            <w:shd w:fill="CCEEFF" w:val="clear"/>
            <w:tcMar>
              <w:bottom w:w="28" w:type="dxa"/>
            </w:tcMar>
            <w:vAlign w:val="center"/>
          </w:tcPr>
          <w:p>
            <w:pPr>
              <w:pStyle w:val="TableContents"/>
              <w:bidi w:val="0"/>
              <w:spacing w:before="0" w:after="283"/>
              <w:jc w:val="right"/>
              <w:rPr/>
            </w:pPr>
            <w:r>
              <w:rPr/>
              <w:t>80,548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133,975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70" w:type="dxa"/>
            <w:tcBorders/>
            <w:shd w:fill="FFFFFF" w:val="clear"/>
            <w:vAlign w:val="center"/>
          </w:tcPr>
          <w:p>
            <w:pPr>
              <w:pStyle w:val="TableContents"/>
              <w:bidi w:val="0"/>
              <w:spacing w:before="0" w:after="283"/>
              <w:jc w:val="both"/>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12" w:space="0" w:color="000000"/>
            </w:tcBorders>
            <w:shd w:fill="FFFFFF" w:val="clear"/>
            <w:tcMar>
              <w:bottom w:w="28" w:type="dxa"/>
            </w:tcMar>
            <w:vAlign w:val="center"/>
          </w:tcPr>
          <w:p>
            <w:pPr>
              <w:pStyle w:val="TableContents"/>
              <w:bidi w:val="0"/>
              <w:spacing w:before="0" w:after="283"/>
              <w:jc w:val="right"/>
              <w:rPr/>
            </w:pPr>
            <w:r>
              <w:rPr/>
              <w:t>538,379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FFFFFF" w:val="clear"/>
            <w:tcMar>
              <w:bottom w:w="28" w:type="dxa"/>
            </w:tcMar>
            <w:vAlign w:val="center"/>
          </w:tcPr>
          <w:p>
            <w:pPr>
              <w:pStyle w:val="TableContents"/>
              <w:bidi w:val="0"/>
              <w:spacing w:before="0" w:after="283"/>
              <w:jc w:val="right"/>
              <w:rPr/>
            </w:pPr>
            <w:r>
              <w:rPr/>
              <w:t>1,004,095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70" w:type="dxa"/>
            <w:tcBorders/>
            <w:shd w:fill="CCEEFF" w:val="clear"/>
            <w:vAlign w:val="center"/>
          </w:tcPr>
          <w:p>
            <w:pPr>
              <w:pStyle w:val="TableContents"/>
              <w:bidi w:val="0"/>
              <w:spacing w:before="0" w:after="283"/>
              <w:jc w:val="both"/>
              <w:rPr>
                <w:u w:val="single"/>
              </w:rPr>
            </w:pPr>
            <w:r>
              <w:rPr>
                <w:u w:val="single"/>
              </w:rPr>
              <w:t>Other assets: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70" w:type="dxa"/>
            <w:tcBorders/>
            <w:shd w:fill="FFFFFF" w:val="clear"/>
            <w:vAlign w:val="center"/>
          </w:tcPr>
          <w:p>
            <w:pPr>
              <w:pStyle w:val="TableContents"/>
              <w:bidi w:val="0"/>
              <w:spacing w:before="0" w:after="283"/>
              <w:jc w:val="both"/>
              <w:rPr/>
            </w:pPr>
            <w:r>
              <w:rPr/>
              <w:t>Right-of-use asset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295,650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307,892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70" w:type="dxa"/>
            <w:tcBorders/>
            <w:shd w:fill="CCEEFF" w:val="clear"/>
            <w:vAlign w:val="center"/>
          </w:tcPr>
          <w:p>
            <w:pPr>
              <w:pStyle w:val="TableContents"/>
              <w:bidi w:val="0"/>
              <w:spacing w:before="0" w:after="283"/>
              <w:jc w:val="both"/>
              <w:rPr/>
            </w:pPr>
            <w:r>
              <w:rPr/>
              <w:t>Capitalized software development costs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2,039,809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1,761,396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70" w:type="dxa"/>
            <w:tcBorders/>
            <w:shd w:fill="FFFFFF" w:val="clear"/>
            <w:vAlign w:val="center"/>
          </w:tcPr>
          <w:p>
            <w:pPr>
              <w:pStyle w:val="TableContents"/>
              <w:bidi w:val="0"/>
              <w:spacing w:before="0" w:after="283"/>
              <w:jc w:val="both"/>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12" w:space="0" w:color="000000"/>
            </w:tcBorders>
            <w:shd w:fill="FFFFFF" w:val="clear"/>
            <w:tcMar>
              <w:bottom w:w="28" w:type="dxa"/>
            </w:tcMar>
            <w:vAlign w:val="center"/>
          </w:tcPr>
          <w:p>
            <w:pPr>
              <w:pStyle w:val="TableContents"/>
              <w:bidi w:val="0"/>
              <w:spacing w:before="0" w:after="283"/>
              <w:jc w:val="right"/>
              <w:rPr/>
            </w:pPr>
            <w:r>
              <w:rPr/>
              <w:t>23,389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FFFFFF" w:val="clear"/>
            <w:tcMar>
              <w:bottom w:w="28" w:type="dxa"/>
            </w:tcMar>
            <w:vAlign w:val="center"/>
          </w:tcPr>
          <w:p>
            <w:pPr>
              <w:pStyle w:val="TableContents"/>
              <w:bidi w:val="0"/>
              <w:spacing w:before="0" w:after="283"/>
              <w:jc w:val="right"/>
              <w:rPr/>
            </w:pPr>
            <w:r>
              <w:rPr/>
              <w:t>23,389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70" w:type="dxa"/>
            <w:tcBorders/>
            <w:shd w:fill="CCEEFF" w:val="clear"/>
            <w:vAlign w:val="center"/>
          </w:tcPr>
          <w:p>
            <w:pPr>
              <w:pStyle w:val="TableContents"/>
              <w:bidi w:val="0"/>
              <w:spacing w:before="0" w:after="283"/>
              <w:jc w:val="both"/>
              <w:rPr/>
            </w:pPr>
            <w:r>
              <w:rPr/>
              <w:t>Total other assets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12" w:space="0" w:color="000000"/>
            </w:tcBorders>
            <w:shd w:fill="CCEEFF" w:val="clear"/>
            <w:tcMar>
              <w:bottom w:w="28" w:type="dxa"/>
            </w:tcMar>
            <w:vAlign w:val="center"/>
          </w:tcPr>
          <w:p>
            <w:pPr>
              <w:pStyle w:val="TableContents"/>
              <w:bidi w:val="0"/>
              <w:spacing w:before="0" w:after="283"/>
              <w:jc w:val="right"/>
              <w:rPr/>
            </w:pPr>
            <w:r>
              <w:rPr/>
              <w:t>2,358,848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2,092,677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70" w:type="dxa"/>
            <w:tcBorders/>
            <w:shd w:fill="FFFFFF" w:val="clear"/>
            <w:vAlign w:val="center"/>
          </w:tcPr>
          <w:p>
            <w:pPr>
              <w:pStyle w:val="TableContents"/>
              <w:bidi w:val="0"/>
              <w:spacing w:before="0" w:after="283"/>
              <w:jc w:val="both"/>
              <w:rPr/>
            </w:pPr>
            <w:r>
              <w:rPr/>
              <w:t>Total assets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7" w:type="dxa"/>
            <w:tcBorders>
              <w:bottom w:val="double" w:sz="10" w:space="0" w:color="000000"/>
            </w:tcBorders>
            <w:shd w:fill="FFFFFF" w:val="clear"/>
            <w:tcMar>
              <w:bottom w:w="28" w:type="dxa"/>
            </w:tcMar>
            <w:vAlign w:val="center"/>
          </w:tcPr>
          <w:p>
            <w:pPr>
              <w:pStyle w:val="TableContents"/>
              <w:bidi w:val="0"/>
              <w:spacing w:before="0" w:after="283"/>
              <w:jc w:val="right"/>
              <w:rPr/>
            </w:pPr>
            <w:r>
              <w:rPr/>
              <w:t>2,897,227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8" w:type="dxa"/>
            <w:tcBorders>
              <w:bottom w:val="double" w:sz="10" w:space="0" w:color="000000"/>
            </w:tcBorders>
            <w:shd w:fill="FFFFFF" w:val="clear"/>
            <w:tcMar>
              <w:bottom w:w="28" w:type="dxa"/>
            </w:tcMar>
            <w:vAlign w:val="center"/>
          </w:tcPr>
          <w:p>
            <w:pPr>
              <w:pStyle w:val="TableContents"/>
              <w:bidi w:val="0"/>
              <w:spacing w:before="0" w:after="283"/>
              <w:jc w:val="right"/>
              <w:rPr/>
            </w:pPr>
            <w:r>
              <w:rPr/>
              <w:t>3,096,772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Balance Sheets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85"/>
        <w:gridCol w:w="60"/>
        <w:gridCol w:w="140"/>
        <w:gridCol w:w="1175"/>
        <w:gridCol w:w="95"/>
        <w:gridCol w:w="60"/>
        <w:gridCol w:w="144"/>
        <w:gridCol w:w="1211"/>
        <w:gridCol w:w="135"/>
      </w:tblGrid>
      <w:tr>
        <w:trPr/>
        <w:tc>
          <w:tcPr>
            <w:tcW w:w="718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pPr>
            <w:r>
              <w:rPr/>
              <w:t>March 31,</w:t>
              <w:br/>
              <w:t>2025</w:t>
              <w:b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pPr>
            <w:r>
              <w:rPr/>
              <w:t>December 31,</w:t>
              <w:br/>
              <w:t>2024</w:t>
            </w:r>
          </w:p>
        </w:tc>
        <w:tc>
          <w:tcPr>
            <w:tcW w:w="135" w:type="dxa"/>
            <w:tcBorders/>
            <w:vAlign w:val="center"/>
          </w:tcPr>
          <w:p>
            <w:pPr>
              <w:pStyle w:val="TableContents"/>
              <w:bidi w:val="0"/>
              <w:spacing w:before="0" w:after="283"/>
              <w:jc w:val="center"/>
              <w:rPr/>
            </w:pPr>
            <w:r>
              <w:rPr/>
              <w:t>  </w:t>
            </w:r>
          </w:p>
        </w:tc>
      </w:tr>
      <w:tr>
        <w:trPr/>
        <w:tc>
          <w:tcPr>
            <w:tcW w:w="10205" w:type="dxa"/>
            <w:gridSpan w:val="9"/>
            <w:tcBorders/>
            <w:vAlign w:val="center"/>
          </w:tcPr>
          <w:p>
            <w:pPr>
              <w:pStyle w:val="TableContents"/>
              <w:bidi w:val="0"/>
              <w:spacing w:before="0" w:after="283"/>
              <w:ind w:left="0" w:right="0" w:hanging="180"/>
              <w:jc w:val="center"/>
              <w:rPr>
                <w:u w:val="single"/>
              </w:rPr>
            </w:pPr>
            <w:r>
              <w:rPr>
                <w:u w:val="single"/>
              </w:rPr>
              <w:t>LIABILITIES AND STOCKHOLDERS’ DEFICIT</w:t>
            </w:r>
          </w:p>
        </w:tc>
      </w:tr>
      <w:tr>
        <w:trPr/>
        <w:tc>
          <w:tcPr>
            <w:tcW w:w="7185" w:type="dxa"/>
            <w:tcBorders/>
            <w:vAlign w:val="center"/>
          </w:tcPr>
          <w:p>
            <w:pPr>
              <w:pStyle w:val="TableContents"/>
              <w:bidi w:val="0"/>
              <w:spacing w:before="0" w:after="283"/>
              <w:jc w:val="both"/>
              <w:rPr>
                <w:u w:val="single"/>
              </w:rPr>
            </w:pPr>
            <w:r>
              <w:rPr>
                <w:u w:val="single"/>
              </w:rPr>
              <w:t>Current liabilities: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7185" w:type="dxa"/>
            <w:tcBorders/>
            <w:shd w:fill="CCEEFF" w:val="clear"/>
            <w:vAlign w:val="center"/>
          </w:tcPr>
          <w:p>
            <w:pPr>
              <w:pStyle w:val="TableContents"/>
              <w:bidi w:val="0"/>
              <w:spacing w:before="0" w:after="283"/>
              <w:jc w:val="both"/>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832,879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770,276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185" w:type="dxa"/>
            <w:tcBorders/>
            <w:shd w:fill="FFFFFF" w:val="clear"/>
            <w:vAlign w:val="center"/>
          </w:tcPr>
          <w:p>
            <w:pPr>
              <w:pStyle w:val="TableContents"/>
              <w:bidi w:val="0"/>
              <w:spacing w:before="0" w:after="283"/>
              <w:jc w:val="both"/>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24,219</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7185" w:type="dxa"/>
            <w:tcBorders/>
            <w:shd w:fill="CCEEFF" w:val="clear"/>
            <w:vAlign w:val="center"/>
          </w:tcPr>
          <w:p>
            <w:pPr>
              <w:pStyle w:val="TableContents"/>
              <w:bidi w:val="0"/>
              <w:spacing w:before="0" w:after="283"/>
              <w:jc w:val="both"/>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185" w:type="dxa"/>
            <w:tcBorders/>
            <w:shd w:fill="FFFFFF" w:val="clear"/>
            <w:vAlign w:val="center"/>
          </w:tcPr>
          <w:p>
            <w:pPr>
              <w:pStyle w:val="TableContents"/>
              <w:bidi w:val="0"/>
              <w:spacing w:before="0" w:after="283"/>
              <w:jc w:val="both"/>
              <w:rPr/>
            </w:pPr>
            <w:r>
              <w:rPr/>
              <w:t>Payroll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179,016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246,720</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7185" w:type="dxa"/>
            <w:tcBorders/>
            <w:shd w:fill="CCEEFF" w:val="clear"/>
            <w:vAlign w:val="center"/>
          </w:tcPr>
          <w:p>
            <w:pPr>
              <w:pStyle w:val="TableContents"/>
              <w:bidi w:val="0"/>
              <w:spacing w:before="0" w:after="283"/>
              <w:jc w:val="both"/>
              <w:rPr/>
            </w:pPr>
            <w:r>
              <w:rPr/>
              <w:t>Deferred revenue,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1,144,774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1,142,643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185" w:type="dxa"/>
            <w:tcBorders/>
            <w:shd w:fill="FFFFFF" w:val="clear"/>
            <w:vAlign w:val="center"/>
          </w:tcPr>
          <w:p>
            <w:pPr>
              <w:pStyle w:val="TableContents"/>
              <w:bidi w:val="0"/>
              <w:spacing w:before="0" w:after="283"/>
              <w:jc w:val="both"/>
              <w:rPr/>
            </w:pPr>
            <w:r>
              <w:rPr/>
              <w:t>Bridge loans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7185" w:type="dxa"/>
            <w:tcBorders/>
            <w:shd w:fill="CCEEFF" w:val="clear"/>
            <w:vAlign w:val="center"/>
          </w:tcPr>
          <w:p>
            <w:pPr>
              <w:pStyle w:val="TableContents"/>
              <w:bidi w:val="0"/>
              <w:spacing w:before="0" w:after="283"/>
              <w:jc w:val="both"/>
              <w:rPr/>
            </w:pPr>
            <w:r>
              <w:rPr/>
              <w:t>Lease liability,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52,458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CCEEFF" w:val="clear"/>
            <w:tcMar>
              <w:bottom w:w="28" w:type="dxa"/>
            </w:tcMar>
            <w:vAlign w:val="center"/>
          </w:tcPr>
          <w:p>
            <w:pPr>
              <w:pStyle w:val="TableContents"/>
              <w:bidi w:val="0"/>
              <w:spacing w:before="0" w:after="283"/>
              <w:jc w:val="right"/>
              <w:rPr/>
            </w:pPr>
            <w:r>
              <w:rPr/>
              <w:t>36,225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185" w:type="dxa"/>
            <w:tcBorders/>
            <w:shd w:fill="FFFFFF" w:val="clear"/>
            <w:vAlign w:val="center"/>
          </w:tcPr>
          <w:p>
            <w:pPr>
              <w:pStyle w:val="TableContents"/>
              <w:bidi w:val="0"/>
              <w:spacing w:before="0" w:after="283"/>
              <w:jc w:val="both"/>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3,981,073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FFFFFF" w:val="clear"/>
            <w:tcMar>
              <w:bottom w:w="28" w:type="dxa"/>
            </w:tcMar>
            <w:vAlign w:val="center"/>
          </w:tcPr>
          <w:p>
            <w:pPr>
              <w:pStyle w:val="TableContents"/>
              <w:bidi w:val="0"/>
              <w:spacing w:before="0" w:after="283"/>
              <w:jc w:val="right"/>
              <w:rPr/>
            </w:pPr>
            <w:r>
              <w:rPr/>
              <w:t>2,220,083</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7185" w:type="dxa"/>
            <w:tcBorders/>
            <w:shd w:fill="CCEEFF" w:val="clear"/>
            <w:vAlign w:val="center"/>
          </w:tcPr>
          <w:p>
            <w:pPr>
              <w:pStyle w:val="TableContents"/>
              <w:bidi w:val="0"/>
              <w:spacing w:before="0" w:after="283"/>
              <w:jc w:val="both"/>
              <w:rPr>
                <w:u w:val="single"/>
              </w:rPr>
            </w:pPr>
            <w:r>
              <w:rPr>
                <w:u w:val="single"/>
              </w:rPr>
              <w:t>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185" w:type="dxa"/>
            <w:tcBorders/>
            <w:shd w:fill="FFFFFF" w:val="clear"/>
            <w:vAlign w:val="center"/>
          </w:tcPr>
          <w:p>
            <w:pPr>
              <w:pStyle w:val="TableContents"/>
              <w:bidi w:val="0"/>
              <w:spacing w:before="0" w:after="283"/>
              <w:jc w:val="both"/>
              <w:rPr/>
            </w:pPr>
            <w:r>
              <w:rPr/>
              <w:t>SAFE agreements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22,746,675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23,334,626</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7185" w:type="dxa"/>
            <w:tcBorders/>
            <w:shd w:fill="CCEEFF" w:val="clear"/>
            <w:vAlign w:val="center"/>
          </w:tcPr>
          <w:p>
            <w:pPr>
              <w:pStyle w:val="TableContents"/>
              <w:bidi w:val="0"/>
              <w:spacing w:before="0" w:after="283"/>
              <w:jc w:val="both"/>
              <w:rPr/>
            </w:pPr>
            <w:r>
              <w:rPr/>
              <w:t>Deferred revenue,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1,472,411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1,570,572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185" w:type="dxa"/>
            <w:tcBorders/>
            <w:shd w:fill="FFFFFF" w:val="clear"/>
            <w:vAlign w:val="center"/>
          </w:tcPr>
          <w:p>
            <w:pPr>
              <w:pStyle w:val="TableContents"/>
              <w:bidi w:val="0"/>
              <w:spacing w:before="0" w:after="283"/>
              <w:jc w:val="both"/>
              <w:rPr/>
            </w:pPr>
            <w:r>
              <w:rPr/>
              <w:t>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265,543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FFFFFF" w:val="clear"/>
            <w:tcMar>
              <w:bottom w:w="28" w:type="dxa"/>
            </w:tcMar>
            <w:vAlign w:val="center"/>
          </w:tcPr>
          <w:p>
            <w:pPr>
              <w:pStyle w:val="TableContents"/>
              <w:bidi w:val="0"/>
              <w:spacing w:before="0" w:after="283"/>
              <w:jc w:val="right"/>
              <w:rPr/>
            </w:pPr>
            <w:r>
              <w:rPr/>
              <w:t>265,413</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7185" w:type="dxa"/>
            <w:tcBorders/>
            <w:shd w:fill="CCEEFF" w:val="clear"/>
            <w:vAlign w:val="center"/>
          </w:tcPr>
          <w:p>
            <w:pPr>
              <w:pStyle w:val="TableContents"/>
              <w:bidi w:val="0"/>
              <w:spacing w:before="0" w:after="283"/>
              <w:jc w:val="both"/>
              <w:rPr/>
            </w:pPr>
            <w:r>
              <w:rPr/>
              <w:t>Total 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24,484,629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CCEEFF" w:val="clear"/>
            <w:tcMar>
              <w:bottom w:w="28" w:type="dxa"/>
            </w:tcMar>
            <w:vAlign w:val="center"/>
          </w:tcPr>
          <w:p>
            <w:pPr>
              <w:pStyle w:val="TableContents"/>
              <w:bidi w:val="0"/>
              <w:spacing w:before="0" w:after="283"/>
              <w:jc w:val="right"/>
              <w:rPr/>
            </w:pPr>
            <w:r>
              <w:rPr/>
              <w:t>25,170,611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185" w:type="dxa"/>
            <w:tcBorders/>
            <w:shd w:fill="FFFFFF" w:val="clear"/>
            <w:vAlign w:val="center"/>
          </w:tcPr>
          <w:p>
            <w:pPr>
              <w:pStyle w:val="TableContents"/>
              <w:bidi w:val="0"/>
              <w:spacing w:before="0" w:after="283"/>
              <w:jc w:val="both"/>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28,465,702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FFFFFF" w:val="clear"/>
            <w:tcMar>
              <w:bottom w:w="28" w:type="dxa"/>
            </w:tcMar>
            <w:vAlign w:val="center"/>
          </w:tcPr>
          <w:p>
            <w:pPr>
              <w:pStyle w:val="TableContents"/>
              <w:bidi w:val="0"/>
              <w:spacing w:before="0" w:after="283"/>
              <w:jc w:val="right"/>
              <w:rPr/>
            </w:pPr>
            <w:r>
              <w:rPr/>
              <w:t>27,390,694</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7185" w:type="dxa"/>
            <w:tcBorders/>
            <w:shd w:fill="CCEEFF" w:val="clear"/>
            <w:vAlign w:val="center"/>
          </w:tcPr>
          <w:p>
            <w:pPr>
              <w:pStyle w:val="TableContents"/>
              <w:bidi w:val="0"/>
              <w:spacing w:before="0" w:after="283"/>
              <w:jc w:val="both"/>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185" w:type="dxa"/>
            <w:tcBorders/>
            <w:shd w:fill="FFFFFF" w:val="clear"/>
            <w:vAlign w:val="center"/>
          </w:tcPr>
          <w:p>
            <w:pPr>
              <w:pStyle w:val="TableContents"/>
              <w:bidi w:val="0"/>
              <w:spacing w:before="0" w:after="283"/>
              <w:jc w:val="both"/>
              <w:rPr>
                <w:u w:val="single"/>
              </w:rPr>
            </w:pPr>
            <w:r>
              <w:rPr>
                <w:u w:val="single"/>
              </w:rPr>
              <w:t>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7185" w:type="dxa"/>
            <w:tcBorders/>
            <w:shd w:fill="CCEEFF" w:val="clear"/>
            <w:vAlign w:val="center"/>
          </w:tcPr>
          <w:p>
            <w:pPr>
              <w:pStyle w:val="TableContents"/>
              <w:bidi w:val="0"/>
              <w:spacing w:before="0" w:after="283"/>
              <w:jc w:val="left"/>
              <w:rPr/>
            </w:pPr>
            <w:r>
              <w:rPr/>
              <w:t>Common stock, $0.001 par value, 200,000,000 shares authorized; 108,975,000 shares issued and outstanding at March 31, 2025 and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108,975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108,975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185" w:type="dxa"/>
            <w:tcBorders/>
            <w:shd w:fill="FFFFFF" w:val="clear"/>
            <w:vAlign w:val="center"/>
          </w:tcPr>
          <w:p>
            <w:pPr>
              <w:pStyle w:val="TableContents"/>
              <w:bidi w:val="0"/>
              <w:spacing w:before="0" w:after="283"/>
              <w:jc w:val="both"/>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340,371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330,366</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7185" w:type="dxa"/>
            <w:tcBorders/>
            <w:shd w:fill="CCEEFF" w:val="clear"/>
            <w:vAlign w:val="center"/>
          </w:tcPr>
          <w:p>
            <w:pPr>
              <w:pStyle w:val="TableContents"/>
              <w:bidi w:val="0"/>
              <w:spacing w:before="0" w:after="283"/>
              <w:jc w:val="both"/>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(26,017,821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CCEEFF" w:val="clear"/>
            <w:tcMar>
              <w:bottom w:w="28" w:type="dxa"/>
            </w:tcMar>
            <w:vAlign w:val="center"/>
          </w:tcPr>
          <w:p>
            <w:pPr>
              <w:pStyle w:val="TableContents"/>
              <w:bidi w:val="0"/>
              <w:spacing w:before="0" w:after="283"/>
              <w:jc w:val="right"/>
              <w:rPr/>
            </w:pPr>
            <w:r>
              <w:rPr/>
              <w:t>(24,733,263</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7185" w:type="dxa"/>
            <w:tcBorders/>
            <w:shd w:fill="FFFFFF" w:val="clear"/>
            <w:vAlign w:val="center"/>
          </w:tcPr>
          <w:p>
            <w:pPr>
              <w:pStyle w:val="TableContents"/>
              <w:bidi w:val="0"/>
              <w:spacing w:before="0" w:after="283"/>
              <w:jc w:val="both"/>
              <w:rPr/>
            </w:pPr>
            <w:r>
              <w:rPr/>
              <w:t>Total 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(25,568,475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FFFFFF" w:val="clear"/>
            <w:tcMar>
              <w:bottom w:w="28" w:type="dxa"/>
            </w:tcMar>
            <w:vAlign w:val="center"/>
          </w:tcPr>
          <w:p>
            <w:pPr>
              <w:pStyle w:val="TableContents"/>
              <w:bidi w:val="0"/>
              <w:spacing w:before="0" w:after="283"/>
              <w:jc w:val="right"/>
              <w:rPr/>
            </w:pPr>
            <w:r>
              <w:rPr/>
              <w:t>(24,293,922</w:t>
            </w:r>
          </w:p>
        </w:tc>
        <w:tc>
          <w:tcPr>
            <w:tcW w:w="135" w:type="dxa"/>
            <w:tcBorders/>
            <w:shd w:fill="FFFFFF" w:val="clear"/>
            <w:vAlign w:val="center"/>
          </w:tcPr>
          <w:p>
            <w:pPr>
              <w:pStyle w:val="TableContents"/>
              <w:bidi w:val="0"/>
              <w:spacing w:before="0" w:after="283"/>
              <w:ind w:left="0" w:right="0" w:hanging="180"/>
              <w:jc w:val="left"/>
              <w:rPr/>
            </w:pPr>
            <w:r>
              <w:rPr/>
              <w:t>)</w:t>
            </w:r>
          </w:p>
        </w:tc>
      </w:tr>
      <w:tr>
        <w:trPr/>
        <w:tc>
          <w:tcPr>
            <w:tcW w:w="7185" w:type="dxa"/>
            <w:tcBorders/>
            <w:shd w:fill="CCEEFF" w:val="clear"/>
            <w:vAlign w:val="center"/>
          </w:tcPr>
          <w:p>
            <w:pPr>
              <w:pStyle w:val="TableContents"/>
              <w:bidi w:val="0"/>
              <w:spacing w:before="0" w:after="283"/>
              <w:jc w:val="both"/>
              <w:rPr/>
            </w:pPr>
            <w:r>
              <w:rPr/>
              <w:t>Total 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2,897,227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11" w:type="dxa"/>
            <w:tcBorders>
              <w:bottom w:val="double" w:sz="10" w:space="0" w:color="000000"/>
            </w:tcBorders>
            <w:shd w:fill="CCEEFF" w:val="clear"/>
            <w:tcMar>
              <w:bottom w:w="28" w:type="dxa"/>
            </w:tcMar>
            <w:vAlign w:val="center"/>
          </w:tcPr>
          <w:p>
            <w:pPr>
              <w:pStyle w:val="TableContents"/>
              <w:bidi w:val="0"/>
              <w:spacing w:before="0" w:after="283"/>
              <w:jc w:val="right"/>
              <w:rPr/>
            </w:pPr>
            <w:r>
              <w:rPr/>
              <w:t>3,096,772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center"/>
        <w:rPr/>
      </w:pPr>
      <w:r>
        <w:rPr/>
        <w:t>See accompanying notes to unaudited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59" w:name="f_002"/>
      <w:bookmarkEnd w:id="59"/>
      <w:r>
        <w:rPr>
          <w:rFonts w:ascii="Times New Roman;Times;Serif" w:hAnsi="Times New Roman;Times;Serif"/>
          <w:b w:val="false"/>
          <w:i w:val="false"/>
          <w:caps w:val="false"/>
          <w:smallCaps w:val="false"/>
          <w:sz w:val="20"/>
        </w:rPr>
        <w:t>SEE ID, INC. AND SUBSIDIARY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Operations (Unaudited)</w:t>
      </w:r>
    </w:p>
    <w:p>
      <w:pPr>
        <w:pStyle w:val="TextBody"/>
        <w:bidi w:val="0"/>
        <w:spacing w:before="0" w:after="0"/>
        <w:ind w:left="0" w:right="0" w:hanging="0"/>
        <w:jc w:val="both"/>
        <w:rPr>
          <w:caps w:val="false"/>
          <w:smallCaps w:val="false"/>
        </w:rPr>
      </w:pPr>
      <w:r>
        <w:rPr>
          <w:caps w:val="false"/>
          <w:smallCaps w:val="false"/>
        </w:rPr>
        <w:t> </w:t>
      </w:r>
    </w:p>
    <w:tbl>
      <w:tblPr>
        <w:tblW w:w="8510" w:type="dxa"/>
        <w:jc w:val="left"/>
        <w:tblInd w:w="0" w:type="dxa"/>
        <w:tblLayout w:type="fixed"/>
        <w:tblCellMar>
          <w:top w:w="0" w:type="dxa"/>
          <w:left w:w="0" w:type="dxa"/>
          <w:bottom w:w="0" w:type="dxa"/>
          <w:right w:w="0" w:type="dxa"/>
        </w:tblCellMar>
      </w:tblPr>
      <w:tblGrid>
        <w:gridCol w:w="5465"/>
        <w:gridCol w:w="60"/>
        <w:gridCol w:w="140"/>
        <w:gridCol w:w="1220"/>
        <w:gridCol w:w="95"/>
        <w:gridCol w:w="60"/>
        <w:gridCol w:w="140"/>
        <w:gridCol w:w="1220"/>
        <w:gridCol w:w="110"/>
      </w:tblGrid>
      <w:tr>
        <w:trPr/>
        <w:tc>
          <w:tcPr>
            <w:tcW w:w="5465"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center"/>
          </w:tcPr>
          <w:p>
            <w:pPr>
              <w:pStyle w:val="TableContents"/>
              <w:bidi w:val="0"/>
              <w:spacing w:before="0" w:after="283"/>
              <w:jc w:val="center"/>
              <w:rPr/>
            </w:pPr>
            <w:r>
              <w:rPr/>
              <w:t>Three-months ended</w:t>
              <w:br/>
              <w:t>March 31,</w:t>
            </w:r>
          </w:p>
        </w:tc>
        <w:tc>
          <w:tcPr>
            <w:tcW w:w="110" w:type="dxa"/>
            <w:tcBorders/>
            <w:vAlign w:val="center"/>
          </w:tcPr>
          <w:p>
            <w:pPr>
              <w:pStyle w:val="TableContents"/>
              <w:bidi w:val="0"/>
              <w:spacing w:before="0" w:after="283"/>
              <w:ind w:left="0" w:right="0" w:hanging="180"/>
              <w:jc w:val="left"/>
              <w:rPr/>
            </w:pPr>
            <w:r>
              <w:rPr/>
              <w:t> </w:t>
            </w:r>
          </w:p>
        </w:tc>
      </w:tr>
      <w:tr>
        <w:trPr/>
        <w:tc>
          <w:tcPr>
            <w:tcW w:w="54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ind w:left="0" w:right="0" w:hanging="180"/>
              <w:jc w:val="left"/>
              <w:rPr/>
            </w:pPr>
            <w:r>
              <w:rPr/>
              <w:t> </w:t>
            </w:r>
          </w:p>
        </w:tc>
      </w:tr>
      <w:tr>
        <w:trPr/>
        <w:tc>
          <w:tcPr>
            <w:tcW w:w="54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pPr>
            <w:r>
              <w:rPr/>
              <w:t>(As Restated)</w:t>
            </w:r>
          </w:p>
        </w:tc>
        <w:tc>
          <w:tcPr>
            <w:tcW w:w="110" w:type="dxa"/>
            <w:tcBorders/>
            <w:vAlign w:val="center"/>
          </w:tcPr>
          <w:p>
            <w:pPr>
              <w:pStyle w:val="TableContents"/>
              <w:bidi w:val="0"/>
              <w:spacing w:before="0" w:after="283"/>
              <w:ind w:left="0" w:right="0" w:hanging="180"/>
              <w:jc w:val="left"/>
              <w:rPr/>
            </w:pPr>
            <w:r>
              <w:rPr/>
              <w:t> </w:t>
            </w:r>
          </w:p>
        </w:tc>
      </w:tr>
      <w:tr>
        <w:trPr/>
        <w:tc>
          <w:tcPr>
            <w:tcW w:w="5465" w:type="dxa"/>
            <w:tcBorders/>
            <w:shd w:fill="CCEEFF" w:val="clear"/>
            <w:vAlign w:val="center"/>
          </w:tcPr>
          <w:p>
            <w:pPr>
              <w:pStyle w:val="TableContents"/>
              <w:bidi w:val="0"/>
              <w:spacing w:before="0" w:after="283"/>
              <w:jc w:val="both"/>
              <w:rPr/>
            </w:pPr>
            <w:r>
              <w:rPr/>
              <w:t>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352,498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78,553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465" w:type="dxa"/>
            <w:tcBorders/>
            <w:shd w:fill="FFFFFF" w:val="clear"/>
            <w:vAlign w:val="center"/>
          </w:tcPr>
          <w:p>
            <w:pPr>
              <w:pStyle w:val="TableContents"/>
              <w:bidi w:val="0"/>
              <w:spacing w:before="0" w:after="283"/>
              <w:jc w:val="both"/>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327,238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3,567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465" w:type="dxa"/>
            <w:tcBorders/>
            <w:shd w:fill="CCEEFF" w:val="clear"/>
            <w:vAlign w:val="center"/>
          </w:tcPr>
          <w:p>
            <w:pPr>
              <w:pStyle w:val="TableContents"/>
              <w:bidi w:val="0"/>
              <w:spacing w:before="0" w:after="283"/>
              <w:jc w:val="both"/>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25,260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74,986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465" w:type="dxa"/>
            <w:tcBorders/>
            <w:shd w:fill="FFFFFF" w:val="clear"/>
            <w:vAlign w:val="center"/>
          </w:tcPr>
          <w:p>
            <w:pPr>
              <w:pStyle w:val="TableContents"/>
              <w:bidi w:val="0"/>
              <w:spacing w:before="0" w:after="283"/>
              <w:jc w:val="both"/>
              <w:rPr>
                <w:u w:val="single"/>
              </w:rPr>
            </w:pPr>
            <w:r>
              <w:rPr>
                <w:u w:val="single"/>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465" w:type="dxa"/>
            <w:tcBorders/>
            <w:shd w:fill="CCEEFF" w:val="clear"/>
            <w:vAlign w:val="center"/>
          </w:tcPr>
          <w:p>
            <w:pPr>
              <w:pStyle w:val="TableContents"/>
              <w:bidi w:val="0"/>
              <w:spacing w:before="0" w:after="283"/>
              <w:jc w:val="both"/>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748,513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853,599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465" w:type="dxa"/>
            <w:tcBorders/>
            <w:shd w:fill="FFFFFF" w:val="clear"/>
            <w:vAlign w:val="center"/>
          </w:tcPr>
          <w:p>
            <w:pPr>
              <w:pStyle w:val="TableContents"/>
              <w:bidi w:val="0"/>
              <w:spacing w:before="0" w:after="283"/>
              <w:jc w:val="both"/>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484,482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393,966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465" w:type="dxa"/>
            <w:tcBorders/>
            <w:shd w:fill="CCEEFF" w:val="clear"/>
            <w:vAlign w:val="center"/>
          </w:tcPr>
          <w:p>
            <w:pPr>
              <w:pStyle w:val="TableContents"/>
              <w:bidi w:val="0"/>
              <w:spacing w:before="0" w:after="283"/>
              <w:jc w:val="both"/>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528,526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120,846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465" w:type="dxa"/>
            <w:tcBorders/>
            <w:shd w:fill="FFFFFF" w:val="clear"/>
            <w:vAlign w:val="center"/>
          </w:tcPr>
          <w:p>
            <w:pPr>
              <w:pStyle w:val="TableContents"/>
              <w:bidi w:val="0"/>
              <w:spacing w:before="0" w:after="283"/>
              <w:jc w:val="both"/>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1,761,521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1,368,411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465" w:type="dxa"/>
            <w:tcBorders/>
            <w:shd w:fill="CCEEFF" w:val="clear"/>
            <w:vAlign w:val="center"/>
          </w:tcPr>
          <w:p>
            <w:pPr>
              <w:pStyle w:val="TableContents"/>
              <w:bidi w:val="0"/>
              <w:spacing w:before="0" w:after="283"/>
              <w:jc w:val="both"/>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(1,736,261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(1,293,425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465" w:type="dxa"/>
            <w:tcBorders/>
            <w:shd w:fill="FFFFFF" w:val="clear"/>
            <w:vAlign w:val="center"/>
          </w:tcPr>
          <w:p>
            <w:pPr>
              <w:pStyle w:val="TableContents"/>
              <w:bidi w:val="0"/>
              <w:spacing w:before="0" w:after="283"/>
              <w:jc w:val="both"/>
              <w:rPr>
                <w:u w:val="single"/>
              </w:rPr>
            </w:pPr>
            <w:r>
              <w:rPr>
                <w:u w:val="single"/>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465" w:type="dxa"/>
            <w:tcBorders/>
            <w:shd w:fill="CCEEFF" w:val="clear"/>
            <w:vAlign w:val="center"/>
          </w:tcPr>
          <w:p>
            <w:pPr>
              <w:pStyle w:val="TableContents"/>
              <w:bidi w:val="0"/>
              <w:spacing w:before="0" w:after="283"/>
              <w:jc w:val="both"/>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465" w:type="dxa"/>
            <w:tcBorders/>
            <w:shd w:fill="FFFFFF" w:val="clear"/>
            <w:vAlign w:val="center"/>
          </w:tcPr>
          <w:p>
            <w:pPr>
              <w:pStyle w:val="TableContents"/>
              <w:bidi w:val="0"/>
              <w:spacing w:before="0" w:after="283"/>
              <w:jc w:val="both"/>
              <w:rPr/>
            </w:pPr>
            <w:r>
              <w:rPr/>
              <w:t>Change in fair value of SAFE agreements (2024 restated)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611,703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(12,801,955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465" w:type="dxa"/>
            <w:tcBorders/>
            <w:shd w:fill="CCEEFF" w:val="clear"/>
            <w:vAlign w:val="center"/>
          </w:tcPr>
          <w:p>
            <w:pPr>
              <w:pStyle w:val="TableContents"/>
              <w:bidi w:val="0"/>
              <w:spacing w:before="0" w:after="283"/>
              <w:jc w:val="both"/>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451,703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(12,801,955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465" w:type="dxa"/>
            <w:tcBorders/>
            <w:shd w:fill="FFFFFF" w:val="clear"/>
            <w:vAlign w:val="center"/>
          </w:tcPr>
          <w:p>
            <w:pPr>
              <w:pStyle w:val="TableContents"/>
              <w:bidi w:val="0"/>
              <w:spacing w:before="0" w:after="283"/>
              <w:jc w:val="both"/>
              <w:rPr/>
            </w:pPr>
            <w:r>
              <w:rPr/>
              <w:t>Net loss (2024 restated)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(1,284,558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(14,095,380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465" w:type="dxa"/>
            <w:tcBorders/>
            <w:shd w:fill="CCEEFF" w:val="clear"/>
            <w:vAlign w:val="center"/>
          </w:tcPr>
          <w:p>
            <w:pPr>
              <w:pStyle w:val="TableContents"/>
              <w:bidi w:val="0"/>
              <w:spacing w:before="0" w:after="283"/>
              <w:jc w:val="both"/>
              <w:rPr>
                <w:u w:val="single"/>
              </w:rPr>
            </w:pPr>
            <w:r>
              <w:rPr>
                <w:u w:val="single"/>
              </w:rPr>
              <w:t>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465" w:type="dxa"/>
            <w:tcBorders/>
            <w:shd w:fill="FFFFFF" w:val="clear"/>
            <w:vAlign w:val="center"/>
          </w:tcPr>
          <w:p>
            <w:pPr>
              <w:pStyle w:val="TableContents"/>
              <w:bidi w:val="0"/>
              <w:spacing w:before="0" w:after="283"/>
              <w:jc w:val="both"/>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(0.13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465" w:type="dxa"/>
            <w:tcBorders/>
            <w:shd w:fill="CCEEFF" w:val="clear"/>
            <w:vAlign w:val="center"/>
          </w:tcPr>
          <w:p>
            <w:pPr>
              <w:pStyle w:val="TableContents"/>
              <w:bidi w:val="0"/>
              <w:spacing w:before="0" w:after="283"/>
              <w:jc w:val="both"/>
              <w:rPr>
                <w:u w:val="single"/>
              </w:rPr>
            </w:pPr>
            <w:r>
              <w:rPr>
                <w:u w:val="single"/>
              </w:rPr>
              <w:t>Weighted average number of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465" w:type="dxa"/>
            <w:tcBorders/>
            <w:shd w:fill="FFFFFF" w:val="clear"/>
            <w:vAlign w:val="center"/>
          </w:tcPr>
          <w:p>
            <w:pPr>
              <w:pStyle w:val="TableContents"/>
              <w:bidi w:val="0"/>
              <w:spacing w:before="0" w:after="283"/>
              <w:jc w:val="both"/>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108,975,000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106,758,620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60" w:name="f_003"/>
      <w:bookmarkEnd w:id="60"/>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Stockholders’ Deficit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Three-months ended March 31, 2025:</w:t>
      </w:r>
    </w:p>
    <w:p>
      <w:pPr>
        <w:pStyle w:val="TextBody"/>
        <w:bidi w:val="0"/>
        <w:spacing w:before="0" w:after="0"/>
        <w:ind w:left="0" w:right="0" w:hanging="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3050"/>
        <w:gridCol w:w="60"/>
        <w:gridCol w:w="60"/>
        <w:gridCol w:w="1220"/>
        <w:gridCol w:w="60"/>
        <w:gridCol w:w="60"/>
        <w:gridCol w:w="140"/>
        <w:gridCol w:w="800"/>
        <w:gridCol w:w="60"/>
        <w:gridCol w:w="60"/>
        <w:gridCol w:w="152"/>
        <w:gridCol w:w="873"/>
        <w:gridCol w:w="60"/>
        <w:gridCol w:w="60"/>
        <w:gridCol w:w="140"/>
        <w:gridCol w:w="1175"/>
        <w:gridCol w:w="95"/>
        <w:gridCol w:w="60"/>
        <w:gridCol w:w="140"/>
        <w:gridCol w:w="1175"/>
        <w:gridCol w:w="110"/>
      </w:tblGrid>
      <w:tr>
        <w:trPr/>
        <w:tc>
          <w:tcPr>
            <w:tcW w:w="30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ind w:left="0" w:right="0" w:hanging="216"/>
              <w:jc w:val="left"/>
              <w:rPr/>
            </w:pPr>
            <w:r>
              <w:rPr/>
              <w:t> </w:t>
            </w:r>
          </w:p>
        </w:tc>
      </w:tr>
      <w:tr>
        <w:trPr/>
        <w:tc>
          <w:tcPr>
            <w:tcW w:w="3050" w:type="dxa"/>
            <w:tcBorders/>
            <w:shd w:fill="CCEEFF" w:val="clear"/>
            <w:vAlign w:val="center"/>
          </w:tcPr>
          <w:p>
            <w:pPr>
              <w:pStyle w:val="TableContents"/>
              <w:bidi w:val="0"/>
              <w:spacing w:before="0" w:after="283"/>
              <w:jc w:val="left"/>
              <w:rPr/>
            </w:pPr>
            <w:r>
              <w:rPr/>
              <w:t>Balances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108,975,000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108,975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873" w:type="dxa"/>
            <w:tcBorders/>
            <w:shd w:fill="CCEEFF" w:val="clear"/>
            <w:vAlign w:val="center"/>
          </w:tcPr>
          <w:p>
            <w:pPr>
              <w:pStyle w:val="TableContents"/>
              <w:bidi w:val="0"/>
              <w:spacing w:before="0" w:after="283"/>
              <w:jc w:val="right"/>
              <w:rPr/>
            </w:pPr>
            <w:r>
              <w:rPr/>
              <w:t>330,366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(24,733,263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(24,293,922</w:t>
            </w:r>
          </w:p>
        </w:tc>
        <w:tc>
          <w:tcPr>
            <w:tcW w:w="110" w:type="dxa"/>
            <w:tcBorders/>
            <w:shd w:fill="CCEEFF" w:val="clear"/>
            <w:vAlign w:val="center"/>
          </w:tcPr>
          <w:p>
            <w:pPr>
              <w:pStyle w:val="TableContents"/>
              <w:bidi w:val="0"/>
              <w:spacing w:before="0" w:after="283"/>
              <w:ind w:left="0" w:right="0" w:hanging="216"/>
              <w:jc w:val="left"/>
              <w:rPr/>
            </w:pPr>
            <w:r>
              <w:rPr/>
              <w:t>)</w:t>
            </w:r>
          </w:p>
        </w:tc>
      </w:tr>
      <w:tr>
        <w:trPr/>
        <w:tc>
          <w:tcPr>
            <w:tcW w:w="305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10,005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10,005</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30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(1,284,558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(1,284,558</w:t>
            </w:r>
          </w:p>
        </w:tc>
        <w:tc>
          <w:tcPr>
            <w:tcW w:w="110" w:type="dxa"/>
            <w:tcBorders/>
            <w:shd w:fill="CCEEFF" w:val="clear"/>
            <w:vAlign w:val="center"/>
          </w:tcPr>
          <w:p>
            <w:pPr>
              <w:pStyle w:val="TableContents"/>
              <w:bidi w:val="0"/>
              <w:spacing w:before="0" w:after="283"/>
              <w:ind w:left="0" w:right="0" w:hanging="216"/>
              <w:jc w:val="left"/>
              <w:rPr/>
            </w:pPr>
            <w:r>
              <w:rPr/>
              <w:t>)</w:t>
            </w:r>
          </w:p>
        </w:tc>
      </w:tr>
      <w:tr>
        <w:trPr/>
        <w:tc>
          <w:tcPr>
            <w:tcW w:w="3050" w:type="dxa"/>
            <w:tcBorders/>
            <w:shd w:fill="FFFFFF" w:val="clear"/>
            <w:vAlign w:val="center"/>
          </w:tcPr>
          <w:p>
            <w:pPr>
              <w:pStyle w:val="TableContents"/>
              <w:bidi w:val="0"/>
              <w:spacing w:before="0" w:after="283"/>
              <w:jc w:val="left"/>
              <w:rPr/>
            </w:pPr>
            <w:r>
              <w:rPr/>
              <w:t>Balances 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108,975,000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108,975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3" w:type="dxa"/>
            <w:tcBorders>
              <w:bottom w:val="double" w:sz="10" w:space="0" w:color="000000"/>
            </w:tcBorders>
            <w:shd w:fill="FFFFFF" w:val="clear"/>
            <w:tcMar>
              <w:bottom w:w="28" w:type="dxa"/>
            </w:tcMar>
            <w:vAlign w:val="center"/>
          </w:tcPr>
          <w:p>
            <w:pPr>
              <w:pStyle w:val="TableContents"/>
              <w:bidi w:val="0"/>
              <w:spacing w:before="0" w:after="283"/>
              <w:jc w:val="right"/>
              <w:rPr/>
            </w:pPr>
            <w:r>
              <w:rPr/>
              <w:t>340,371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(26,017,821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(25,568,475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Three-months ended March 31, 2024 (As Restated):</w:t>
      </w:r>
    </w:p>
    <w:p>
      <w:pPr>
        <w:pStyle w:val="TextBody"/>
        <w:bidi w:val="0"/>
        <w:spacing w:before="0" w:after="0"/>
        <w:ind w:left="0" w:right="0" w:hanging="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3050"/>
        <w:gridCol w:w="60"/>
        <w:gridCol w:w="60"/>
        <w:gridCol w:w="1220"/>
        <w:gridCol w:w="60"/>
        <w:gridCol w:w="60"/>
        <w:gridCol w:w="140"/>
        <w:gridCol w:w="800"/>
        <w:gridCol w:w="60"/>
        <w:gridCol w:w="60"/>
        <w:gridCol w:w="152"/>
        <w:gridCol w:w="873"/>
        <w:gridCol w:w="60"/>
        <w:gridCol w:w="60"/>
        <w:gridCol w:w="140"/>
        <w:gridCol w:w="1175"/>
        <w:gridCol w:w="95"/>
        <w:gridCol w:w="60"/>
        <w:gridCol w:w="140"/>
        <w:gridCol w:w="1175"/>
        <w:gridCol w:w="110"/>
      </w:tblGrid>
      <w:tr>
        <w:trPr/>
        <w:tc>
          <w:tcPr>
            <w:tcW w:w="30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ind w:left="0" w:right="0" w:hanging="216"/>
              <w:jc w:val="left"/>
              <w:rPr/>
            </w:pPr>
            <w:r>
              <w:rPr/>
              <w:t> </w:t>
            </w:r>
          </w:p>
        </w:tc>
      </w:tr>
      <w:tr>
        <w:trPr/>
        <w:tc>
          <w:tcPr>
            <w:tcW w:w="3050" w:type="dxa"/>
            <w:tcBorders/>
            <w:shd w:fill="CCEEFF" w:val="clear"/>
            <w:vAlign w:val="center"/>
          </w:tcPr>
          <w:p>
            <w:pPr>
              <w:pStyle w:val="TableContents"/>
              <w:bidi w:val="0"/>
              <w:spacing w:before="0" w:after="283"/>
              <w:jc w:val="left"/>
              <w:rPr/>
            </w:pPr>
            <w:r>
              <w:rPr/>
              <w:t>Balances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108,975,000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108,975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873" w:type="dxa"/>
            <w:tcBorders/>
            <w:shd w:fill="CCEEFF" w:val="clear"/>
            <w:vAlign w:val="center"/>
          </w:tcPr>
          <w:p>
            <w:pPr>
              <w:pStyle w:val="TableContents"/>
              <w:bidi w:val="0"/>
              <w:spacing w:before="0" w:after="283"/>
              <w:jc w:val="right"/>
              <w:rPr/>
            </w:pPr>
            <w:r>
              <w:rPr/>
              <w:t>133,360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(3,195,833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(2,953,498</w:t>
            </w:r>
          </w:p>
        </w:tc>
        <w:tc>
          <w:tcPr>
            <w:tcW w:w="110" w:type="dxa"/>
            <w:tcBorders/>
            <w:shd w:fill="CCEEFF" w:val="clear"/>
            <w:vAlign w:val="center"/>
          </w:tcPr>
          <w:p>
            <w:pPr>
              <w:pStyle w:val="TableContents"/>
              <w:bidi w:val="0"/>
              <w:spacing w:before="0" w:after="283"/>
              <w:ind w:left="0" w:right="0" w:hanging="216"/>
              <w:jc w:val="left"/>
              <w:rPr/>
            </w:pPr>
            <w:r>
              <w:rPr/>
              <w:t>)</w:t>
            </w:r>
          </w:p>
        </w:tc>
      </w:tr>
      <w:tr>
        <w:trPr/>
        <w:tc>
          <w:tcPr>
            <w:tcW w:w="305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151,748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151,748</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3050" w:type="dxa"/>
            <w:tcBorders/>
            <w:shd w:fill="CCEEFF" w:val="clear"/>
            <w:vAlign w:val="center"/>
          </w:tcPr>
          <w:p>
            <w:pPr>
              <w:pStyle w:val="TableContents"/>
              <w:bidi w:val="0"/>
              <w:spacing w:before="0" w:after="283"/>
              <w:jc w:val="left"/>
              <w:rPr/>
            </w:pPr>
            <w:r>
              <w:rPr/>
              <w:t>Net loss (restated)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(14,095,380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(14,095,380</w:t>
            </w:r>
          </w:p>
        </w:tc>
        <w:tc>
          <w:tcPr>
            <w:tcW w:w="110" w:type="dxa"/>
            <w:tcBorders/>
            <w:shd w:fill="CCEEFF" w:val="clear"/>
            <w:vAlign w:val="center"/>
          </w:tcPr>
          <w:p>
            <w:pPr>
              <w:pStyle w:val="TableContents"/>
              <w:bidi w:val="0"/>
              <w:spacing w:before="0" w:after="283"/>
              <w:ind w:left="0" w:right="0" w:hanging="216"/>
              <w:jc w:val="left"/>
              <w:rPr/>
            </w:pPr>
            <w:r>
              <w:rPr/>
              <w:t>)</w:t>
            </w:r>
          </w:p>
        </w:tc>
      </w:tr>
      <w:tr>
        <w:trPr/>
        <w:tc>
          <w:tcPr>
            <w:tcW w:w="3050" w:type="dxa"/>
            <w:tcBorders/>
            <w:shd w:fill="FFFFFF" w:val="clear"/>
            <w:vAlign w:val="center"/>
          </w:tcPr>
          <w:p>
            <w:pPr>
              <w:pStyle w:val="TableContents"/>
              <w:bidi w:val="0"/>
              <w:spacing w:before="0" w:after="283"/>
              <w:jc w:val="left"/>
              <w:rPr/>
            </w:pPr>
            <w:r>
              <w:rPr/>
              <w:t>Balances at March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108,975,000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108,975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3" w:type="dxa"/>
            <w:tcBorders>
              <w:bottom w:val="double" w:sz="10" w:space="0" w:color="000000"/>
            </w:tcBorders>
            <w:shd w:fill="FFFFFF" w:val="clear"/>
            <w:tcMar>
              <w:bottom w:w="28" w:type="dxa"/>
            </w:tcMar>
            <w:vAlign w:val="center"/>
          </w:tcPr>
          <w:p>
            <w:pPr>
              <w:pStyle w:val="TableContents"/>
              <w:bidi w:val="0"/>
              <w:spacing w:before="0" w:after="283"/>
              <w:jc w:val="right"/>
              <w:rPr/>
            </w:pPr>
            <w:r>
              <w:rPr/>
              <w:t>285,108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(17,291,213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(16,897,130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61" w:name="f_004"/>
      <w:bookmarkEnd w:id="61"/>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Cash Flows (Unaudited)</w:t>
      </w:r>
    </w:p>
    <w:p>
      <w:pPr>
        <w:pStyle w:val="TextBody"/>
        <w:bidi w:val="0"/>
        <w:spacing w:before="0" w:after="0"/>
        <w:ind w:left="0" w:right="0" w:hanging="0"/>
        <w:jc w:val="both"/>
        <w:rPr>
          <w:caps w:val="false"/>
          <w:smallCaps w:val="false"/>
        </w:rPr>
      </w:pPr>
      <w:r>
        <w:rPr>
          <w:caps w:val="false"/>
          <w:smallCaps w:val="false"/>
        </w:rPr>
        <w:t> </w:t>
      </w:r>
    </w:p>
    <w:tbl>
      <w:tblPr>
        <w:tblW w:w="9725" w:type="dxa"/>
        <w:jc w:val="left"/>
        <w:tblInd w:w="0" w:type="dxa"/>
        <w:tblLayout w:type="fixed"/>
        <w:tblCellMar>
          <w:top w:w="0" w:type="dxa"/>
          <w:left w:w="0" w:type="dxa"/>
          <w:bottom w:w="0" w:type="dxa"/>
          <w:right w:w="0" w:type="dxa"/>
        </w:tblCellMar>
      </w:tblPr>
      <w:tblGrid>
        <w:gridCol w:w="6890"/>
        <w:gridCol w:w="60"/>
        <w:gridCol w:w="140"/>
        <w:gridCol w:w="1055"/>
        <w:gridCol w:w="95"/>
        <w:gridCol w:w="60"/>
        <w:gridCol w:w="140"/>
        <w:gridCol w:w="1175"/>
        <w:gridCol w:w="110"/>
      </w:tblGrid>
      <w:tr>
        <w:trPr/>
        <w:tc>
          <w:tcPr>
            <w:tcW w:w="6890"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bottom w:val="single" w:sz="12" w:space="0" w:color="000000"/>
            </w:tcBorders>
            <w:tcMar>
              <w:bottom w:w="28" w:type="dxa"/>
            </w:tcMar>
            <w:vAlign w:val="center"/>
          </w:tcPr>
          <w:p>
            <w:pPr>
              <w:pStyle w:val="TableContents"/>
              <w:bidi w:val="0"/>
              <w:spacing w:before="0" w:after="283"/>
              <w:jc w:val="center"/>
              <w:rPr/>
            </w:pPr>
            <w:r>
              <w:rPr/>
              <w:t>Three-months ended</w:t>
              <w:br/>
              <w:t>March 31,</w:t>
            </w:r>
          </w:p>
        </w:tc>
        <w:tc>
          <w:tcPr>
            <w:tcW w:w="110" w:type="dxa"/>
            <w:tcBorders/>
            <w:vAlign w:val="center"/>
          </w:tcPr>
          <w:p>
            <w:pPr>
              <w:pStyle w:val="TableContents"/>
              <w:bidi w:val="0"/>
              <w:spacing w:before="0" w:after="283"/>
              <w:ind w:left="0" w:right="0" w:hanging="180"/>
              <w:jc w:val="left"/>
              <w:rPr/>
            </w:pPr>
            <w:r>
              <w:rPr/>
              <w:t> </w:t>
            </w:r>
          </w:p>
        </w:tc>
      </w:tr>
      <w:tr>
        <w:trPr/>
        <w:tc>
          <w:tcPr>
            <w:tcW w:w="68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ind w:left="0" w:right="0" w:hanging="180"/>
              <w:jc w:val="left"/>
              <w:rPr/>
            </w:pPr>
            <w:r>
              <w:rPr/>
              <w:t> </w:t>
            </w:r>
          </w:p>
        </w:tc>
      </w:tr>
      <w:tr>
        <w:trPr/>
        <w:tc>
          <w:tcPr>
            <w:tcW w:w="68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pPr>
            <w:r>
              <w:rPr/>
              <w:t>(As Restated)</w:t>
            </w:r>
          </w:p>
        </w:tc>
        <w:tc>
          <w:tcPr>
            <w:tcW w:w="110" w:type="dxa"/>
            <w:tcBorders/>
            <w:vAlign w:val="center"/>
          </w:tcPr>
          <w:p>
            <w:pPr>
              <w:pStyle w:val="TableContents"/>
              <w:bidi w:val="0"/>
              <w:spacing w:before="0" w:after="283"/>
              <w:ind w:left="0" w:right="0" w:hanging="180"/>
              <w:jc w:val="left"/>
              <w:rPr/>
            </w:pPr>
            <w:r>
              <w:rPr/>
              <w:t> </w:t>
            </w:r>
          </w:p>
        </w:tc>
      </w:tr>
      <w:tr>
        <w:trPr/>
        <w:tc>
          <w:tcPr>
            <w:tcW w:w="6890" w:type="dxa"/>
            <w:tcBorders/>
            <w:vAlign w:val="center"/>
          </w:tcPr>
          <w:p>
            <w:pPr>
              <w:pStyle w:val="TableContents"/>
              <w:bidi w:val="0"/>
              <w:spacing w:before="0" w:after="283"/>
              <w:jc w:val="both"/>
              <w:rPr>
                <w:u w:val="single"/>
              </w:rPr>
            </w:pPr>
            <w:r>
              <w:rPr>
                <w:u w:val="single"/>
              </w:rPr>
              <w:t>Cash flows from operating activities: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(1,284,558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(14,095,380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890" w:type="dxa"/>
            <w:tcBorders/>
            <w:shd w:fill="FFFFFF" w:val="clear"/>
            <w:vAlign w:val="center"/>
          </w:tcPr>
          <w:p>
            <w:pPr>
              <w:pStyle w:val="TableContents"/>
              <w:bidi w:val="0"/>
              <w:spacing w:before="0" w:after="283"/>
              <w:jc w:val="left"/>
              <w:rPr/>
            </w:pPr>
            <w:r>
              <w:rPr/>
              <w:t>Adjustments to reconcile net loss to net cash used by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pPr>
            <w:r>
              <w:rPr/>
              <w:t>Change in fair value of SAFE agreements (2024 restated)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(611,703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12,801,955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both"/>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151,748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both"/>
              <w:rPr/>
            </w:pPr>
            <w:r>
              <w:rPr/>
              <w:t>Amortization of right-of-use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12,242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pPr>
            <w:r>
              <w:rPr/>
              <w:t>Change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both"/>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44,959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(45,370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890" w:type="dxa"/>
            <w:tcBorders/>
            <w:shd w:fill="FFFFFF" w:val="clear"/>
            <w:vAlign w:val="center"/>
          </w:tcPr>
          <w:p>
            <w:pPr>
              <w:pStyle w:val="TableContents"/>
              <w:bidi w:val="0"/>
              <w:spacing w:before="0" w:after="283"/>
              <w:jc w:val="both"/>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(4,628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both"/>
              <w:rPr/>
            </w:pPr>
            <w:r>
              <w:rPr/>
              <w:t>Advances to supplier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(4,172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both"/>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53,427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140,455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both"/>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62,603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218,097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both"/>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(12,273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(16,757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890" w:type="dxa"/>
            <w:tcBorders/>
            <w:shd w:fill="CCEEFF" w:val="clear"/>
            <w:vAlign w:val="center"/>
          </w:tcPr>
          <w:p>
            <w:pPr>
              <w:pStyle w:val="TableContents"/>
              <w:bidi w:val="0"/>
              <w:spacing w:before="0" w:after="283"/>
              <w:jc w:val="both"/>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both"/>
              <w:rPr/>
            </w:pPr>
            <w:r>
              <w:rPr/>
              <w:t>Payroll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(67,704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(7,111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890" w:type="dxa"/>
            <w:tcBorders/>
            <w:shd w:fill="CCEEFF" w:val="clear"/>
            <w:vAlign w:val="center"/>
          </w:tcPr>
          <w:p>
            <w:pPr>
              <w:pStyle w:val="TableContents"/>
              <w:bidi w:val="0"/>
              <w:spacing w:before="0" w:after="283"/>
              <w:jc w:val="both"/>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(96,030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both"/>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16,363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both"/>
              <w:rPr/>
            </w:pPr>
            <w:r>
              <w:rPr/>
              <w:t>Total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(436,913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570,184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pPr>
            <w:r>
              <w:rPr/>
              <w:t>Net cash used by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(1,721,469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(852,363</w:t>
            </w:r>
          </w:p>
        </w:tc>
        <w:tc>
          <w:tcPr>
            <w:tcW w:w="110" w:type="dxa"/>
            <w:tcBorders/>
            <w:shd w:fill="FFFFFF" w:val="clear"/>
            <w:vAlign w:val="center"/>
          </w:tcPr>
          <w:p>
            <w:pPr>
              <w:pStyle w:val="TableContents"/>
              <w:bidi w:val="0"/>
              <w:spacing w:before="0" w:after="283"/>
              <w:jc w:val="left"/>
              <w:rPr/>
            </w:pPr>
            <w:r>
              <w:rPr/>
              <w:t>)</w:t>
            </w:r>
          </w:p>
        </w:tc>
      </w:tr>
      <w:tr>
        <w:trPr/>
        <w:tc>
          <w:tcPr>
            <w:tcW w:w="6890" w:type="dxa"/>
            <w:tcBorders/>
            <w:shd w:fill="CCEEFF" w:val="clear"/>
            <w:vAlign w:val="center"/>
          </w:tcPr>
          <w:p>
            <w:pPr>
              <w:pStyle w:val="TableContents"/>
              <w:bidi w:val="0"/>
              <w:spacing w:before="0" w:after="283"/>
              <w:jc w:val="left"/>
              <w:rPr>
                <w:u w:val="single"/>
              </w:rPr>
            </w:pPr>
            <w:r>
              <w:rPr>
                <w:u w:val="single"/>
              </w:rPr>
              <w:t>Cash flows used by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pPr>
            <w:r>
              <w:rPr/>
              <w:t>Capitalized software development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(278,413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(146,780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890" w:type="dxa"/>
            <w:tcBorders/>
            <w:shd w:fill="CCEEFF" w:val="clear"/>
            <w:vAlign w:val="center"/>
          </w:tcPr>
          <w:p>
            <w:pPr>
              <w:pStyle w:val="TableContents"/>
              <w:bidi w:val="0"/>
              <w:spacing w:before="0" w:after="283"/>
              <w:jc w:val="left"/>
              <w:rPr>
                <w:u w:val="single"/>
              </w:rPr>
            </w:pPr>
            <w:r>
              <w:rPr>
                <w:u w:val="single"/>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pPr>
            <w:r>
              <w:rPr/>
              <w:t>Proceeds from issuance of SAFE agreements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1,500,000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pPr>
            <w:r>
              <w:rPr/>
              <w:t>Proceeds from issuance of bridge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1,600,000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pPr>
            <w:r>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1,623,752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1,500,000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pPr>
            <w:r>
              <w:rPr/>
              <w:t>Net (decrease) increase in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(376,130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500,857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both"/>
              <w:rPr/>
            </w:pPr>
            <w:r>
              <w:rPr/>
              <w:t>Cash,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721,032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605,760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both"/>
              <w:rPr/>
            </w:pPr>
            <w:r>
              <w:rPr/>
              <w:t>Cash,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344,902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1,106,617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62" w:name="f_005"/>
      <w:bookmarkEnd w:id="62"/>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1 - Organization and Description of the Business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Nature of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dba Dot AI (“SEE ID”) was incorporated in the state of Nevada on December 8, 2020, to help businesses transform their operations by optimizing safety, security and efficiency of operations through real time tracking of resources. Through SEE ID’s extensive research and development initiatives, SEE ID’s main focus includes areas such as Industrial IoT, Indoor &amp; Outdoor tracking with seamless transitions, Passive RFID (including Bluetooth and 5G), Collision Avoidance, real-time locating system, Dolly Management, and related supported software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is the developer of an asset tracking platform intended to push the limits of real-time precision-based location technology. SEE ID’s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SEE ID serves multiple industries including aviation, construction, delivery, military, mining, retail, sea ports, medical logistics, warehousing and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ID’s corporate headquarters is in Las Vegas, Nevada and SEE ID has offices in Massachusetts and Maryland.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SEE ID incorporated Dot Works, Inc. (“Dot Works”), a Puerto Rico corporation, as a wholly-owned subsidiary Dot Works, based in Puerto Rico, serves as the primary manufacturing facility for Dot Ai, producing smart hardware devices and embedded technology components used in AI-driven enterprise solutions (ZIM Bridges and Smart Industrial TAGS). Activities include assembly, quality control, and packaging of proprietary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interim consolidated unaudited financial statements include the accounts of SEE ID and its wholly-owned subsidiary, Dot Works, which are collectively referred to as the “Company” in these consolidated financial statements. All intercompany balances and transactions have been eliminated upon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Basis of Presentation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interim consolidated unaudited financial statements of the Company have been prepared in conformity with accounting principles generally accepted in the United States of America (“US GAAP”) consistent with those applied in, and should be read in conjunction with, the Company’s audited consolidated financial statements and related footnotes for the year ended December 31, 2024. The unaudited consolidated financial statements reflect all adjustments, which include only normal recurring adjustments, necessary for the fair presentation of the Company’s financial position at March 31, 2025, and its results of operations and cash flows for the three-months ended March 31, 2025 and 2024, in accordance with US GAAP. The unaudited consolidated financial statements do not include all of the information and footnotes required by US GAAP for complete financial statements, as allowed by the relevant U.S. Securities and Exchange Commission rules and regulations; however, the Company believes its disclosures are adequate to ensure the information presented is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Revision of Prior Period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three-months ended March 31, 2025, the Company determined it had not appropriately reflected the fair value of the SAFE agreements as of March 31, 2024. This resulted in an understatement of liabilities and accumulated deficit as of March 31, 2024, and an understatement of change in fair value of SAFE agreements for the three-months ended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an analysis of Financial Accounting Standards Board (“FASB”) Accounting Standards Codification (“ASC”) 250, </w:t>
      </w:r>
      <w:r>
        <w:rPr>
          <w:rFonts w:ascii="Times New Roman;Times;Serif" w:hAnsi="Times New Roman;Times;Serif"/>
          <w:b w:val="false"/>
          <w:i/>
          <w:caps w:val="false"/>
          <w:smallCaps w:val="false"/>
          <w:sz w:val="20"/>
        </w:rPr>
        <w:t>Accounting Changes and Error Corrections</w:t>
      </w:r>
      <w:r>
        <w:rPr>
          <w:rFonts w:ascii="Times New Roman;Times;Serif" w:hAnsi="Times New Roman;Times;Serif"/>
          <w:b w:val="false"/>
          <w:i w:val="false"/>
          <w:caps w:val="false"/>
          <w:smallCaps w:val="false"/>
          <w:sz w:val="20"/>
        </w:rPr>
        <w:t xml:space="preserve"> (“ASC 250”), Staff Accounting Bulletin 99, </w:t>
      </w:r>
      <w:r>
        <w:rPr>
          <w:rFonts w:ascii="Times New Roman;Times;Serif" w:hAnsi="Times New Roman;Times;Serif"/>
          <w:b w:val="false"/>
          <w:i/>
          <w:caps w:val="false"/>
          <w:smallCaps w:val="false"/>
          <w:sz w:val="20"/>
        </w:rPr>
        <w:t>Materiality</w:t>
      </w:r>
      <w:r>
        <w:rPr>
          <w:rFonts w:ascii="Times New Roman;Times;Serif" w:hAnsi="Times New Roman;Times;Serif"/>
          <w:b w:val="false"/>
          <w:i w:val="false"/>
          <w:caps w:val="false"/>
          <w:smallCaps w:val="false"/>
          <w:sz w:val="20"/>
        </w:rPr>
        <w:t xml:space="preserve">, and Staff Accounting Bulletin 108, </w:t>
      </w:r>
      <w:r>
        <w:rPr>
          <w:rFonts w:ascii="Times New Roman;Times;Serif" w:hAnsi="Times New Roman;Times;Serif"/>
          <w:b w:val="false"/>
          <w:i/>
          <w:caps w:val="false"/>
          <w:smallCaps w:val="false"/>
          <w:sz w:val="20"/>
        </w:rPr>
        <w:t>Considering the Effects of Prior Year Misstatements when Quantifying Misstatements in Current Year Financial Statements</w:t>
      </w:r>
      <w:r>
        <w:rPr>
          <w:rFonts w:ascii="Times New Roman;Times;Serif" w:hAnsi="Times New Roman;Times;Serif"/>
          <w:b w:val="false"/>
          <w:i w:val="false"/>
          <w:caps w:val="false"/>
          <w:smallCaps w:val="false"/>
          <w:sz w:val="20"/>
        </w:rPr>
        <w:t>, the Company determined these errors were immaterial to the previously issued interim financial statements, and as such no restatement was necessary. Correcting prior period financial statements for immaterial errors would not require previously filed reports to be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adjustment within the Company’s statement of operations for the three-months ended March 31, 2024 is as follows:</w:t>
      </w:r>
    </w:p>
    <w:p>
      <w:pPr>
        <w:pStyle w:val="TextBody"/>
        <w:bidi w:val="0"/>
        <w:spacing w:before="0" w:after="0"/>
        <w:ind w:left="0" w:right="0" w:hanging="0"/>
        <w:jc w:val="both"/>
        <w:rPr>
          <w:caps w:val="false"/>
          <w:smallCaps w:val="false"/>
        </w:rPr>
      </w:pPr>
      <w:r>
        <w:rPr>
          <w:caps w:val="false"/>
          <w:smallCaps w:val="false"/>
        </w:rPr>
        <w:t> </w:t>
      </w:r>
    </w:p>
    <w:tbl>
      <w:tblPr>
        <w:tblW w:w="8189" w:type="dxa"/>
        <w:jc w:val="left"/>
        <w:tblInd w:w="0" w:type="dxa"/>
        <w:tblLayout w:type="fixed"/>
        <w:tblCellMar>
          <w:top w:w="0" w:type="dxa"/>
          <w:left w:w="0" w:type="dxa"/>
          <w:bottom w:w="0" w:type="dxa"/>
          <w:right w:w="0" w:type="dxa"/>
        </w:tblCellMar>
      </w:tblPr>
      <w:tblGrid>
        <w:gridCol w:w="3995"/>
        <w:gridCol w:w="60"/>
        <w:gridCol w:w="167"/>
        <w:gridCol w:w="1172"/>
        <w:gridCol w:w="60"/>
        <w:gridCol w:w="60"/>
        <w:gridCol w:w="140"/>
        <w:gridCol w:w="1100"/>
        <w:gridCol w:w="60"/>
        <w:gridCol w:w="60"/>
        <w:gridCol w:w="140"/>
        <w:gridCol w:w="1100"/>
        <w:gridCol w:w="75"/>
      </w:tblGrid>
      <w:tr>
        <w:trPr/>
        <w:tc>
          <w:tcPr>
            <w:tcW w:w="3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059" w:type="dxa"/>
            <w:gridSpan w:val="10"/>
            <w:tcBorders>
              <w:bottom w:val="single" w:sz="12" w:space="0" w:color="000000"/>
            </w:tcBorders>
            <w:tcMar>
              <w:bottom w:w="28" w:type="dxa"/>
            </w:tcMar>
            <w:vAlign w:val="center"/>
          </w:tcPr>
          <w:p>
            <w:pPr>
              <w:pStyle w:val="TableContents"/>
              <w:bidi w:val="0"/>
              <w:spacing w:before="0" w:after="283"/>
              <w:jc w:val="center"/>
              <w:rPr/>
            </w:pPr>
            <w:r>
              <w:rPr/>
              <w:t>Three-months ended March 31, 2024</w:t>
            </w:r>
          </w:p>
        </w:tc>
        <w:tc>
          <w:tcPr>
            <w:tcW w:w="75" w:type="dxa"/>
            <w:tcBorders/>
            <w:vAlign w:val="center"/>
          </w:tcPr>
          <w:p>
            <w:pPr>
              <w:pStyle w:val="TableContents"/>
              <w:bidi w:val="0"/>
              <w:spacing w:before="0" w:after="283"/>
              <w:jc w:val="center"/>
              <w:rPr/>
            </w:pPr>
            <w:r>
              <w:rPr/>
              <w:t> </w:t>
            </w:r>
          </w:p>
        </w:tc>
      </w:tr>
      <w:tr>
        <w:trPr/>
        <w:tc>
          <w:tcPr>
            <w:tcW w:w="3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39" w:type="dxa"/>
            <w:gridSpan w:val="2"/>
            <w:tcBorders/>
            <w:vAlign w:val="center"/>
          </w:tcPr>
          <w:p>
            <w:pPr>
              <w:pStyle w:val="TableContents"/>
              <w:bidi w:val="0"/>
              <w:spacing w:before="0" w:after="283"/>
              <w:jc w:val="center"/>
              <w:rPr/>
            </w:pPr>
            <w:r>
              <w:rPr/>
              <w:t>As previously</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3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39" w:type="dxa"/>
            <w:gridSpan w:val="2"/>
            <w:tcBorders>
              <w:bottom w:val="single" w:sz="12" w:space="0" w:color="000000"/>
            </w:tcBorders>
            <w:tcMar>
              <w:bottom w:w="28" w:type="dxa"/>
            </w:tcMar>
            <w:vAlign w:val="center"/>
          </w:tcPr>
          <w:p>
            <w:pPr>
              <w:pStyle w:val="TableContents"/>
              <w:bidi w:val="0"/>
              <w:spacing w:before="0" w:after="283"/>
              <w:jc w:val="center"/>
              <w:rPr/>
            </w:pPr>
            <w:r>
              <w:rPr/>
              <w:t>reported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Adjustment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As restated</w:t>
            </w:r>
          </w:p>
        </w:tc>
        <w:tc>
          <w:tcPr>
            <w:tcW w:w="75" w:type="dxa"/>
            <w:tcBorders/>
            <w:vAlign w:val="center"/>
          </w:tcPr>
          <w:p>
            <w:pPr>
              <w:pStyle w:val="TableContents"/>
              <w:bidi w:val="0"/>
              <w:spacing w:before="0" w:after="283"/>
              <w:jc w:val="center"/>
              <w:rPr/>
            </w:pPr>
            <w:r>
              <w:rPr/>
              <w:t> </w:t>
            </w:r>
          </w:p>
        </w:tc>
      </w:tr>
      <w:tr>
        <w:trPr/>
        <w:tc>
          <w:tcPr>
            <w:tcW w:w="3995" w:type="dxa"/>
            <w:tcBorders/>
            <w:shd w:fill="CCEEFF" w:val="clear"/>
            <w:vAlign w:val="center"/>
          </w:tcPr>
          <w:p>
            <w:pPr>
              <w:pStyle w:val="TableContents"/>
              <w:bidi w:val="0"/>
              <w:spacing w:before="0" w:after="283"/>
              <w:jc w:val="left"/>
              <w:rPr/>
            </w:pPr>
            <w:r>
              <w:rPr/>
              <w:t>Change in fair value of SAFE agreements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129,122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12,672,833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12,801,955</w:t>
            </w:r>
          </w:p>
        </w:tc>
        <w:tc>
          <w:tcPr>
            <w:tcW w:w="7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1172" w:type="dxa"/>
            <w:tcBorders/>
            <w:shd w:fill="FFFFFF" w:val="clear"/>
            <w:vAlign w:val="center"/>
          </w:tcPr>
          <w:p>
            <w:pPr>
              <w:pStyle w:val="TableContents"/>
              <w:bidi w:val="0"/>
              <w:spacing w:before="0" w:after="283"/>
              <w:jc w:val="right"/>
              <w:rPr/>
            </w:pPr>
            <w:r>
              <w:rPr/>
              <w:t>1,422,547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12,672,833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14,095,380</w:t>
            </w:r>
          </w:p>
        </w:tc>
        <w:tc>
          <w:tcPr>
            <w:tcW w:w="7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Net loss per share, basic and diluted</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adjustment within the Company’s statement of stockholders’ deficit for the three-months ended March 31, 2024 is as follows:</w:t>
      </w:r>
    </w:p>
    <w:p>
      <w:pPr>
        <w:pStyle w:val="TextBody"/>
        <w:bidi w:val="0"/>
        <w:spacing w:before="0" w:after="0"/>
        <w:ind w:left="0" w:right="0" w:hanging="0"/>
        <w:jc w:val="both"/>
        <w:rPr>
          <w:caps w:val="false"/>
          <w:smallCaps w:val="false"/>
        </w:rPr>
      </w:pPr>
      <w:r>
        <w:rPr>
          <w:caps w:val="false"/>
          <w:smallCaps w:val="false"/>
        </w:rPr>
        <w:t> </w:t>
      </w:r>
    </w:p>
    <w:tbl>
      <w:tblPr>
        <w:tblW w:w="6689" w:type="dxa"/>
        <w:jc w:val="left"/>
        <w:tblInd w:w="0" w:type="dxa"/>
        <w:tblLayout w:type="fixed"/>
        <w:tblCellMar>
          <w:top w:w="0" w:type="dxa"/>
          <w:left w:w="0" w:type="dxa"/>
          <w:bottom w:w="0" w:type="dxa"/>
          <w:right w:w="0" w:type="dxa"/>
        </w:tblCellMar>
      </w:tblPr>
      <w:tblGrid>
        <w:gridCol w:w="2495"/>
        <w:gridCol w:w="60"/>
        <w:gridCol w:w="167"/>
        <w:gridCol w:w="1172"/>
        <w:gridCol w:w="60"/>
        <w:gridCol w:w="60"/>
        <w:gridCol w:w="140"/>
        <w:gridCol w:w="1100"/>
        <w:gridCol w:w="60"/>
        <w:gridCol w:w="60"/>
        <w:gridCol w:w="140"/>
        <w:gridCol w:w="1100"/>
        <w:gridCol w:w="75"/>
      </w:tblGrid>
      <w:tr>
        <w:trPr/>
        <w:tc>
          <w:tcPr>
            <w:tcW w:w="24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059" w:type="dxa"/>
            <w:gridSpan w:val="10"/>
            <w:tcBorders>
              <w:bottom w:val="single" w:sz="12" w:space="0" w:color="000000"/>
            </w:tcBorders>
            <w:tcMar>
              <w:bottom w:w="28" w:type="dxa"/>
            </w:tcMar>
            <w:vAlign w:val="center"/>
          </w:tcPr>
          <w:p>
            <w:pPr>
              <w:pStyle w:val="TableContents"/>
              <w:bidi w:val="0"/>
              <w:spacing w:before="0" w:after="283"/>
              <w:jc w:val="center"/>
              <w:rPr/>
            </w:pPr>
            <w:r>
              <w:rPr/>
              <w:t>Three-months ended March 31, 2024</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center"/>
              <w:rPr/>
            </w:pPr>
            <w:r>
              <w:rPr/>
              <w:t>As previously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center"/>
          </w:tcPr>
          <w:p>
            <w:pPr>
              <w:pStyle w:val="TableContents"/>
              <w:bidi w:val="0"/>
              <w:spacing w:before="0" w:after="283"/>
              <w:jc w:val="center"/>
              <w:rPr/>
            </w:pPr>
            <w:r>
              <w:rPr/>
              <w:t>reported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Adjustment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As restated</w:t>
            </w:r>
          </w:p>
        </w:tc>
        <w:tc>
          <w:tcPr>
            <w:tcW w:w="75"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1,422,547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12,672,833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14,095,380</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1172" w:type="dxa"/>
            <w:tcBorders/>
            <w:shd w:fill="FFFFFF" w:val="clear"/>
            <w:vAlign w:val="center"/>
          </w:tcPr>
          <w:p>
            <w:pPr>
              <w:pStyle w:val="TableContents"/>
              <w:bidi w:val="0"/>
              <w:spacing w:before="0" w:after="283"/>
              <w:jc w:val="right"/>
              <w:rPr/>
            </w:pPr>
            <w:r>
              <w:rPr/>
              <w:t>4,618,380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12,672,833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17,291,213</w:t>
            </w:r>
          </w:p>
        </w:tc>
        <w:tc>
          <w:tcPr>
            <w:tcW w:w="75"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pPr>
            <w:r>
              <w:rPr/>
              <w:t>Total stockholders’ deficit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4,224,297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12,672,833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16,897,130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adjustment within the Company’s statement of cash flows for the three-months ended March 31, 2024 is as follows:</w:t>
      </w:r>
    </w:p>
    <w:p>
      <w:pPr>
        <w:pStyle w:val="TextBody"/>
        <w:bidi w:val="0"/>
        <w:spacing w:before="0" w:after="0"/>
        <w:ind w:left="0" w:right="0" w:hanging="0"/>
        <w:jc w:val="both"/>
        <w:rPr>
          <w:caps w:val="false"/>
          <w:smallCaps w:val="false"/>
        </w:rPr>
      </w:pPr>
      <w:r>
        <w:rPr>
          <w:caps w:val="false"/>
          <w:smallCaps w:val="false"/>
        </w:rPr>
        <w:t> </w:t>
      </w:r>
    </w:p>
    <w:tbl>
      <w:tblPr>
        <w:tblW w:w="8189" w:type="dxa"/>
        <w:jc w:val="left"/>
        <w:tblInd w:w="0" w:type="dxa"/>
        <w:tblLayout w:type="fixed"/>
        <w:tblCellMar>
          <w:top w:w="0" w:type="dxa"/>
          <w:left w:w="0" w:type="dxa"/>
          <w:bottom w:w="0" w:type="dxa"/>
          <w:right w:w="0" w:type="dxa"/>
        </w:tblCellMar>
      </w:tblPr>
      <w:tblGrid>
        <w:gridCol w:w="3995"/>
        <w:gridCol w:w="60"/>
        <w:gridCol w:w="167"/>
        <w:gridCol w:w="1172"/>
        <w:gridCol w:w="60"/>
        <w:gridCol w:w="60"/>
        <w:gridCol w:w="140"/>
        <w:gridCol w:w="1100"/>
        <w:gridCol w:w="60"/>
        <w:gridCol w:w="60"/>
        <w:gridCol w:w="140"/>
        <w:gridCol w:w="1100"/>
        <w:gridCol w:w="75"/>
      </w:tblGrid>
      <w:tr>
        <w:trPr/>
        <w:tc>
          <w:tcPr>
            <w:tcW w:w="39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059" w:type="dxa"/>
            <w:gridSpan w:val="10"/>
            <w:tcBorders>
              <w:bottom w:val="single" w:sz="12" w:space="0" w:color="000000"/>
            </w:tcBorders>
            <w:tcMar>
              <w:bottom w:w="28" w:type="dxa"/>
            </w:tcMar>
            <w:vAlign w:val="center"/>
          </w:tcPr>
          <w:p>
            <w:pPr>
              <w:pStyle w:val="TableContents"/>
              <w:bidi w:val="0"/>
              <w:spacing w:before="0" w:after="283"/>
              <w:jc w:val="center"/>
              <w:rPr/>
            </w:pPr>
            <w:r>
              <w:rPr/>
              <w:t>Three-months ended March 31, 2024</w:t>
            </w:r>
          </w:p>
        </w:tc>
        <w:tc>
          <w:tcPr>
            <w:tcW w:w="7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center"/>
              <w:rPr/>
            </w:pPr>
            <w:r>
              <w:rPr/>
              <w:t>As previously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center"/>
          </w:tcPr>
          <w:p>
            <w:pPr>
              <w:pStyle w:val="TableContents"/>
              <w:bidi w:val="0"/>
              <w:spacing w:before="0" w:after="283"/>
              <w:jc w:val="center"/>
              <w:rPr/>
            </w:pPr>
            <w:r>
              <w:rPr/>
              <w:t>reported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Adjustment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As restated</w:t>
            </w:r>
          </w:p>
        </w:tc>
        <w:tc>
          <w:tcPr>
            <w:tcW w:w="75"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1,422,547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12,672,833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14,095,380</w:t>
            </w:r>
          </w:p>
        </w:tc>
        <w:tc>
          <w:tcPr>
            <w:tcW w:w="7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Change in fair value of SAFE agreements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1172" w:type="dxa"/>
            <w:tcBorders/>
            <w:shd w:fill="FFFFFF" w:val="clear"/>
            <w:vAlign w:val="center"/>
          </w:tcPr>
          <w:p>
            <w:pPr>
              <w:pStyle w:val="TableContents"/>
              <w:bidi w:val="0"/>
              <w:spacing w:before="0" w:after="283"/>
              <w:jc w:val="right"/>
              <w:rPr/>
            </w:pPr>
            <w:r>
              <w:rPr/>
              <w:t>129,122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12,672,833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12,801,955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Going Concern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interim unaudited consolidated financial statements have been prepared assuming the Company will continue as a going concern, which contemplates the realization of assets and satisfaction of liabilities in the normal course of business. The Company incurred net losses since its inception, and at March 31, 2025 has an accumulated deficit of $26,017,821, cash of $344,902 and a working capital deficiency of $3,442,694. Management anticipates the Company will continue to incur operating losses for the foreseeable future. The Company’s ability to continue as a going concern is dependent on its ability to raise additional capital to fund its research and development (R&amp;D) activities and meet its obligations on a timely basis. However, there can be no assurance that sufficient funding will be available to allow the Company to successfully continue its R&amp;D activities and commercialize its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the Company signed a business combination agreement with ShoulderUp Technology Acquisition Corp. (“SUTA”), a special purpose acquisition company. The Company’s strategic plan includes its business combination with SUTA to assist the Company in its efforts to raise capital and grow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necessary funds through its business operations and the proceeds realized through a business combination, significant reductions in spending and the delay or cancellation of planned activities may be necessary. These actions would have a material adverse effect on the Company’s business, results of operations, and prospects. These conditions raise substantial doubt about the Company’s ability to continue as a going concern within one year from the date these interim unaudited consolidated financial statements are issued. The accompanying interim unaudited consolidated financial statements do not include any adjustments relating to the recoverability and classification of recorded asset amounts or the amounts and classification of liabilities that might result from the outcome of these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Risks and Uncertainties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industry is subject to rapid technological change. The introduction of new technologies will continue to have a significant effect on competitive conditions to which the Company is subject. Certain technologies and industry developments may negatively impact the Company’s ability to compete within certain industry segments. If the Company is unable to develop new solutions that provide utility to its customers and provide enhancements and new features for its existing solutions that keep pace with rapid technological and regulatory change, the Company’s revenues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some of the inventory that the Company purchases includes components produced in foreign countries, the Company is subject to certain risks associated with tariffs on imports the government of the United States of America imposes, which could adversely impact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2 - Summary of Significant Accounting Policies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Use of Estimates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unaudited consolidated financial statements in conformity with US GAAP requires management to make estimates and assumptions that affect the reported amounts of assets and liabilities, as well as disclosure of contingent assets and liabilities at the date of the consolidated financial statements and the reported amounts of revenue and expenses during the reporting period. The Company believes judgment is involved in determining capitalized software development costs, the fair value of the SAFE agreements, useful lives of capitalized software development costs, stock-based compensation and the valuation allowance on deferred taxes. The Company bases these estimates on historical and anticipated results, trends, and various other assumptions that the Company believes are reasonable under the circumstances, including assumptions as to future events. Actual results could differ materially from those estimates and assumptions.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Accounts Receivable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derived from customers located primarily in North America. The Company generally does not require collateral to support customer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reduced by an allowance for credit losses to reserve for potentially uncollectible amounts. The Company evaluates the collectability of its accounts receivable monthly and amounts are written off when determined to be uncollectible by management. The maximum accounting loss from the credit risk associated with accounts receivable is the amount of the receivable recorded, which is the face amount of the receivable, net of the allowance for credit losses and deferred revenue, if any. The allowance for credit losses reflects the best estimate of probable losses. The Company writes off accounts receivable when they become uncollectible. No allowance for credit losses was necessary at March 31,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Inventory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raw materials and is valued at the lower of cost or net realizable value (“NRV”), with cost determined by the first-in, first-out method. NRV is determined as the estimated selling price in the ordinary course of business less the estimated selling costs. Valuations are periodically performed by management, and a charge to operations is recorded if the carrying value of the item exceeds its estimated net realizable value. Management also periodically performs a valuation on allowance for excess and obsolete inventory. No valuation allowance was necessary at March 31,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to supplier are adjusted against the final amounts due upon shipment of the related products to the Company and are expected to be utilized within one year.</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Prepaid Expenses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are amounts paid to secure the use of assets or the receipt of services at a future date or continuously over one or more future periods. When the prepaid expenses are consumed, they are charged to expense.</w:t>
      </w:r>
    </w:p>
    <w:p>
      <w:pPr>
        <w:pStyle w:val="TextBody"/>
        <w:bidi w:val="0"/>
        <w:spacing w:before="0" w:after="0"/>
        <w:ind w:left="72" w:right="72"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 w:right="7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Software Development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Topic 350-40, </w:t>
      </w:r>
      <w:r>
        <w:rPr>
          <w:rFonts w:ascii="Times New Roman;Times;Serif" w:hAnsi="Times New Roman;Times;Serif"/>
          <w:b w:val="false"/>
          <w:i/>
          <w:caps w:val="false"/>
          <w:smallCaps w:val="false"/>
          <w:sz w:val="20"/>
        </w:rPr>
        <w:t>Intangibles-Goodwill and Other-Internal-Use Software</w:t>
      </w:r>
      <w:r>
        <w:rPr>
          <w:rFonts w:ascii="Times New Roman;Times;Serif" w:hAnsi="Times New Roman;Times;Serif"/>
          <w:b w:val="false"/>
          <w:i w:val="false"/>
          <w:caps w:val="false"/>
          <w:smallCaps w:val="false"/>
          <w:sz w:val="20"/>
        </w:rPr>
        <w:t>, the Company capitalizes software development costs incurred on new applications or enhancements to applications during the application development phase of software for internal use to provide services to customers. These capitalized costs include certain payroll and payroll-related costs for employees and costs for outside consultants who are directly associated with and who devote time to internal-use software projects. Costs incurred prior to the application development phase and after the market release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and will test for impairment whenever events or changes in circumstances occur that could impact the recoverability of these assets. At March 31, 2025 and 2024, and for the three-months then ended, no projects have been substantially completed and ready for their intended use, and no amortization was recorded in the accompanying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Impairment of Long-Lived Assets</w:t>
      </w:r>
      <w:r>
        <w:rPr>
          <w:rFonts w:ascii="Times New Roman;Times;Serif" w:hAnsi="Times New Roman;Times;Serif"/>
          <w:b w:val="false"/>
          <w:i w:val="false"/>
          <w:caps w:val="false"/>
          <w:smallCaps w:val="false"/>
          <w:sz w:val="20"/>
        </w:rPr>
        <w:t>:</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reviewed for impairment whenever events or changes in circumstances indicate the carrying amount of an asset may not be fully recoverable. Recoverability of assets to be held and used is measured by a comparison of the carrying amount of the assets to their fair value, which is normally determined through analysis of the future net cash flows expected to be generated by the assets. If such assets are considered to be impaired, the impairment to be recognized is measured by the amount that the carrying amount of the assets exceeds the fair value of the assets. At March 31, 2025 and 2024, and for the three-months then ended, no such indicators of impairment were identified, and accordingly, no impairment losses were recognized.</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Leases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and measures its leases in accordance with FASB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xml:space="preserve"> (“ASC 842”). The Company determines if an arrangement is a lease, or contains a lease, at inception of a contract and when the terms of an existing contract are changed. The Company recognizes a lease liability and a right-of-use (ROU) asset at the commencement date of each lease. The lease liability is initially and subsequently recognized based on the present value of the contract’s future lease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payments are included in the future lease payments when those variable payments depend on an index or a rate. The discount rate is the implicit rate, if it is readily determinable, or the Company’s incremental borrowing rate. The Company’s incremental borrowing rate for a lease is the rate of interest it would have to pay on a collateralized basis to borrow an amount equal to the lease payments under similar terms and in a similar economic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not recognize ROU assets and lease liabilities for short-term leases that have a lease term of 12 months or less at lease commencement and do not include an option to purchase the underlying asset that the Company is reasonably certain to exercise. The Company recognizes lease costs associated with its short-term leases on a straight-line basis over the lease term. When contracts contain lease and non-lease components, the Company accounts for each component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Recognition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FASB ASC Topic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primarily recognizes revenue from the delivery of subscription services and related professional services through a hosted cloud (SaaS) environment. Arrangements for services generally have terms of one year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service revenue is recognized on a straight-line basis over the contract term. The Company determined a time-based approach is the most appropriate measure of progress because customers simultaneously receive and consume the benefits as they can access the cloud-based software under the contract terms. The Company’s subscription service arrangements are noncancelable and do not contain refund-type provisions. The Company also sells hardware related to its subscription service arrangements. These hardware components are highly integrated with the subscription service and together represent a single performance obligation. Revenues attributable to this combined performance obligation are recognized over time as the services are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provides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consists of payments received in advance of satisfaction of a performance obligation and is recognized as the performance obligations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Company being in the early stages of developing its software as a service (Saas) product, revenues were primarily related to the delivery of feasibility study reports to customers seeking to gain insight into how data driven tracking could improve their business, which is recognized upon acceptance of the feasibility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Stock-Based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applies FASB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when recording stock-based compensation. The fair value of each stock option award is estimated on the date of grant using the Black-Scholes option valuation model. The assumptions used in the Black-Scholes valuation model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Grant Price</w:t>
      </w:r>
      <w:r>
        <w:rPr>
          <w:rFonts w:ascii="Times New Roman;Times;Serif" w:hAnsi="Times New Roman;Times;Serif"/>
          <w:b w:val="false"/>
          <w:i w:val="false"/>
          <w:caps w:val="false"/>
          <w:smallCaps w:val="false"/>
          <w:sz w:val="20"/>
        </w:rPr>
        <w:t xml:space="preserve"> - The grant price of the issuances is determined based on the estimated fair value of the shares at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Risk-Free Interest Rate</w:t>
      </w:r>
      <w:r>
        <w:rPr>
          <w:rFonts w:ascii="Times New Roman;Times;Serif" w:hAnsi="Times New Roman;Times;Serif"/>
          <w:b w:val="false"/>
          <w:i w:val="false"/>
          <w:caps w:val="false"/>
          <w:smallCaps w:val="false"/>
          <w:sz w:val="20"/>
        </w:rPr>
        <w:t xml:space="preserve"> - The risk-free interest rate for periods within the contractual life of the option is based on the U.S. Treasury yield in effect at the time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Expected Lives </w:t>
      </w:r>
      <w:r>
        <w:rPr>
          <w:rFonts w:ascii="Times New Roman;Times;Serif" w:hAnsi="Times New Roman;Times;Serif"/>
          <w:b w:val="false"/>
          <w:i w:val="false"/>
          <w:caps w:val="false"/>
          <w:smallCaps w:val="false"/>
          <w:sz w:val="20"/>
        </w:rPr>
        <w:t>- Due to the Company’s insufficient history of option activity, management utilizes the simplified approach to estimate the options’ expected term, which represents the period of time that options granted are expected to be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Volatility</w:t>
      </w:r>
      <w:r>
        <w:rPr>
          <w:rFonts w:ascii="Times New Roman;Times;Serif" w:hAnsi="Times New Roman;Times;Serif"/>
          <w:b w:val="false"/>
          <w:i w:val="false"/>
          <w:caps w:val="false"/>
          <w:smallCaps w:val="false"/>
          <w:sz w:val="20"/>
        </w:rPr>
        <w:t xml:space="preserve"> - Determined based on management’s estimate or historical volatilities of comparable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Dividend Yield</w:t>
      </w:r>
      <w:r>
        <w:rPr>
          <w:rFonts w:ascii="Times New Roman;Times;Serif" w:hAnsi="Times New Roman;Times;Serif"/>
          <w:b w:val="false"/>
          <w:i w:val="false"/>
          <w:caps w:val="false"/>
          <w:smallCaps w:val="false"/>
          <w:sz w:val="20"/>
        </w:rPr>
        <w:t xml:space="preserve"> - Based on current yield at the grant date or the average dividend yield over the historical period. The Company has never declared or paid dividends and has no plans to do so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stock-based compensation expense is recognized on a straight-line basis based on the number of awards expected to vest over the requisite service period, and is adjusted to reflect those awards that do ultimately vest with the offsetting credit to additional paid-in capital. For further details regarding stock-based compensation, see Note 7.</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Research and Development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related to the research and development of new products and processes are expensed as incurred. Research and development expenses consist primarily of compensation costs and fees paid to consultants and other expenses relating to the development and testing of the Company’s products.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Advertising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costs as incurred. For the three-months ended March 31, 2025 and 2024, advertising expenses totaled $70,011 and $180,557,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Income Taxes</w:t>
      </w:r>
      <w:r>
        <w:rPr>
          <w:rFonts w:ascii="Times New Roman;Times;Serif" w:hAnsi="Times New Roman;Times;Serif"/>
          <w:b w:val="false"/>
          <w:i w:val="false"/>
          <w:caps w:val="false"/>
          <w:smallCaps w:val="false"/>
          <w:sz w:val="20"/>
        </w:rPr>
        <w:t>:</w:t>
      </w:r>
    </w:p>
    <w:p>
      <w:pPr>
        <w:pStyle w:val="TextBody"/>
        <w:bidi w:val="0"/>
        <w:spacing w:before="0" w:after="0"/>
        <w:ind w:left="72" w:right="72"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 w:right="7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approach.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the deferred tax assets and liabilities of a change in tax rates is recognized in income in the period that includes the enactment date. The Company records valuation allowances against deferred tax assets as deemed necessary.</w:t>
      </w:r>
    </w:p>
    <w:p>
      <w:pPr>
        <w:pStyle w:val="TextBody"/>
        <w:bidi w:val="0"/>
        <w:spacing w:before="0" w:after="0"/>
        <w:ind w:left="72" w:right="72"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 w:right="7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uncertainty in income taxes as prescribed by the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If applicable, the Company records interest and penalties as a component of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Fair Value of Financial Instruments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FASB ASC Topic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(“FASB ASC 820”), establishes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Categorization within the valuation hierarchy is based upon the lowest level of input that is significant to the fair value measurement. Valuation techniques used need to maximize the use of observable inputs and minimize the use of unobservable inputs. Under the standard, fair value is defined as the exit price, or the amount that would be received to sell an asset or paid to transfer a liability in an orderly transaction between market participants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 levels of the fair value hierarchy under FASB ASC 820 are described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Pricing inputs are unadjusted quoted prices available in active markets for identical assets or liabilities as of the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Pricing inputs are quoted prices for similar investments, or inputs that are observable, either directly or indirectly, for substantially the full term through corroboration with observable market data. Level 2 includes assets and liabilities valued at quoted prices adjusted for legal or contractual restrictions specific to these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Pricing inputs are unobservable, supported by little or no market activity, and reflect the reporting entity’s own assumptions about the assumptions market participants would use in pricing the asset or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exception of the SAFE agreements, at March 31, 2025 and December 31, 2024, the fair value of all of the Company’s financial assets and liabilities approximate carrying value because of the short-term nature of these instruments. The SAFE agreements are carried at estimated fair value, determined by the Company using a probability weighted expected return method. The SAFE agreements are classified within Level 3 of the fair value hierarchy, since their fair values are determined using significant assumptions that are not observable in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 described above may produce a fair value calculation that may not be indicative of net realizable value or reflective of future fair values. Furthermore, although the Company believes its valuation methods are appropriate and consistent with other market participants; however, the use of different methodologies or assumptions to determine the fair value of certain financial instruments could result in a different fair value measurement at the reporting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Recently Issued Accounting Pronouncements</w:t>
      </w:r>
      <w:r>
        <w:rPr>
          <w:rFonts w:ascii="Times New Roman;Times;Serif" w:hAnsi="Times New Roman;Times;Serif"/>
          <w:b w:val="false"/>
          <w:i w:val="false"/>
          <w:caps w:val="false"/>
          <w:smallCaps w:val="false"/>
          <w:sz w:val="20"/>
        </w:rPr>
        <w:t>:</w:t>
      </w:r>
    </w:p>
    <w:p>
      <w:pPr>
        <w:pStyle w:val="TextBody"/>
        <w:bidi w:val="0"/>
        <w:spacing w:before="0" w:after="0"/>
        <w:ind w:left="72" w:right="72"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FASB issued Accounting Standards Update (“ASU”) No. 2023-07 (“ASU 2023-07”), </w:t>
      </w:r>
      <w:r>
        <w:rPr>
          <w:rFonts w:ascii="Times New Roman;Times;Serif" w:hAnsi="Times New Roman;Times;Serif"/>
          <w:b w:val="false"/>
          <w:i/>
          <w:caps w:val="false"/>
          <w:smallCaps w:val="false"/>
          <w:sz w:val="20"/>
        </w:rPr>
        <w:t>Segment Reporting (Topic 280): Improvements to Reportable Segment Disclosures,</w:t>
      </w:r>
      <w:r>
        <w:rPr>
          <w:rFonts w:ascii="Times New Roman;Times;Serif" w:hAnsi="Times New Roman;Times;Serif"/>
          <w:b w:val="false"/>
          <w:i w:val="false"/>
          <w:caps w:val="false"/>
          <w:smallCaps w:val="false"/>
          <w:sz w:val="20"/>
        </w:rPr>
        <w:t xml:space="preserve"> to enhance disclosures about significant segment expenses for public entities reporting segment information under FASB ASC Topic 280. The amendments require public entities to disclose significant expense categories for each reportable segment, other segment items, the title and position of the chief financial decision-maker, and interim disclosures of certain segment-related information previously required only on an annual basis. The amendments clarify that entities reporting single segments must disclose both the new and existing segment disclosures under FASB ASC Topic 280, and a public entity is permitted to disclose multiple measures of segment profit or loss if certain criteria are met. This standard is effective for fiscal years beginning after December 15, 2023, and interim periods within fiscal years beginning after December 15, 2024. The adoption of ASU 2023-07 did not have a significant impact on the Company’s consolidated financial statements. See Note 12 for the required disclosures.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Accounting Standards Update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xml:space="preserve"> (“ASU 2023-09”). ASU 2023-09 requires entities to disclose additional information in specified categories in the reconciliation of the effective tax rate to the statutory rate for federal, state, and foreign income taxes. ASU 2023-09 also requires greater detail about individual reconciling items in the rate reconciliation to the extent the impact of those items exceeds a specified threshold and eliminates certain existing disclosures. In addition to new disclosures associated with the rate reconciliation, the standard requires information pertaining to taxes paid (net of refunds received) to be disaggregated for federal, state, and foreign taxes and further disaggregated for specific jurisdictions to the extent the related amounts exceed a quantitative threshold. The standard will be effective for annual periods in fiscal years beginning after December 15, 2024, and for interim periods for fiscal years beginning after December 15, 2025. The guidance will be applied on a prospective basis with the option to apply the standard retrospectively, and early adoption is permitted. The Company is continuing to assess the potential impacts of the standard, and it does not expect this pronouncement to have a material effect on its consolidated financial statements, other than the required changes to the income tax disclosures.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any other recently issued, but not yet effective, accounting standards could have a material effect on the Company’s consolidated financial statements. As new accounting pronouncements are issued, the Company will adopt those that are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3 - Concentrations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Concentration of Credit Risk Arising From Cash Deposits in Excess of Insured Limits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cash balance with a U.S. financial institution, in which the balance exceeds the FDIC insured limit of $250,000. At March 31, 2025 and December 31, 2024, the Company’s cash balance held at the financial institution exceeded the FDIC limit. The Company has not experienced losses on this account and management believes the Company is not exposed to significant risks on such account.</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Significant Customers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customer is defined as one from whom at least 10% of revenue is derived. For the three-months ended March 31, 2025, the Company had sales to one customer totaling approximately $348,000, which comprised approximately 99% of total revenues. For the three-months ended March 31, 2024, the Company had sales to one customers totaling approximately $75,000, which comprised approximately 95% of total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4 - Capitalized Software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three-months ended March 31, 2025 and 2024, SEE ID capitalized software development costs totaling $278,413 and $146,780, respectively. For the three-months ended March 31, 2025 and 2024, there was no amortization expense recorded on capitalized software development costs as the software was not substantially complete and ready for its intended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5 - SAFE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2025 and December 31, 2024, SEE ID has issued Simple Agreements for Future Equity (the “SAFE agreements”) to investors for proceeds totaling $8,485,217 and $5,716,965, respectively. Under the terms of these SAFE agreements, which have stated discount rates which range from 67% to 80%, the following will happen upon the occurrence of these events (all capitalized terms are as defined in the SAFE agreements):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Equity Financing</w:t>
      </w:r>
      <w:r>
        <w:rPr>
          <w:rFonts w:ascii="Times New Roman;Times;Serif" w:hAnsi="Times New Roman;Times;Serif"/>
          <w:b w:val="false"/>
          <w:i w:val="false"/>
          <w:caps w:val="false"/>
          <w:smallCaps w:val="false"/>
          <w:sz w:val="20"/>
        </w:rPr>
        <w:t xml:space="preserve"> - the SAFE agreements will automatically convert into the number of shares of Safe Preferred Stock equal to the Purchase Amount divided by the Discount Price with certain SAFE agreements subject to a post-money valuation cap of $30,000,000.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Liquidity Event</w:t>
      </w:r>
      <w:r>
        <w:rPr>
          <w:rFonts w:ascii="Times New Roman;Times;Serif" w:hAnsi="Times New Roman;Times;Serif"/>
          <w:b w:val="false"/>
          <w:i w:val="false"/>
          <w:caps w:val="false"/>
          <w:smallCaps w:val="false"/>
          <w:sz w:val="20"/>
        </w:rPr>
        <w:t xml:space="preserve"> - the SAFE agreements will automatically be entitled to receive a portion of Proceeds, due and payable to the Investor immediately prior to, or concurrent with, the consumption of such Liquidity Event, equal to the greater of (i) the Purchase Amount (the “Cash-Out Amount”) or (ii) the amount payable on the number of shares of Common Stock equal to the Purchase Amount divided by the Liquidity Price.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Dissolution Event</w:t>
      </w:r>
      <w:r>
        <w:rPr>
          <w:rFonts w:ascii="Times New Roman;Times;Serif" w:hAnsi="Times New Roman;Times;Serif"/>
          <w:b w:val="false"/>
          <w:i w:val="false"/>
          <w:caps w:val="false"/>
          <w:smallCaps w:val="false"/>
          <w:sz w:val="20"/>
        </w:rPr>
        <w:t xml:space="preserve"> - the Investor will automatically be entitled to receive a portion of Proceeds equal to the Cash-Out Amount, due and payable to the Investor immediately prior to the consummation of the Dissolution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these events had occurred at March 31, 2025, and the SAFE agreements remained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815-40, </w:t>
      </w:r>
      <w:r>
        <w:rPr>
          <w:rFonts w:ascii="Times New Roman;Times;Serif" w:hAnsi="Times New Roman;Times;Serif"/>
          <w:b w:val="false"/>
          <w:i/>
          <w:caps w:val="false"/>
          <w:smallCaps w:val="false"/>
          <w:sz w:val="20"/>
        </w:rPr>
        <w:t>Contracts in Entity’s Own Equity</w:t>
      </w:r>
      <w:r>
        <w:rPr>
          <w:rFonts w:ascii="Times New Roman;Times;Serif" w:hAnsi="Times New Roman;Times;Serif"/>
          <w:b w:val="false"/>
          <w:i w:val="false"/>
          <w:caps w:val="false"/>
          <w:smallCaps w:val="false"/>
          <w:sz w:val="20"/>
        </w:rPr>
        <w:t>, the Company determined the SAFE agreements are freestanding financial instruments and accordingly are classified as “liabilities” in the accompanying consolidated balance sheets. The SAFE agreements are carried at estimated fair value determined by the Company using a probability weighted expected return method. During the three-months ended March 31, 2025 and 2024, SEE ID issued additional SAFE agreements to investors totaling $23,752 and $1,500,000, and the change in the fair value of the SAFE agreements was $(611,703) and $12,801,955,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agreements activity for the three-months ended March 31, 2025 is as follows:</w:t>
      </w:r>
    </w:p>
    <w:p>
      <w:pPr>
        <w:pStyle w:val="TextBody"/>
        <w:bidi w:val="0"/>
        <w:spacing w:before="0" w:after="0"/>
        <w:ind w:left="0" w:right="0" w:hanging="0"/>
        <w:jc w:val="both"/>
        <w:rPr>
          <w:caps w:val="false"/>
          <w:smallCaps w:val="false"/>
        </w:rPr>
      </w:pPr>
      <w:r>
        <w:rPr>
          <w:caps w:val="false"/>
          <w:smallCaps w:val="false"/>
        </w:rPr>
        <w:t> </w:t>
      </w:r>
    </w:p>
    <w:tbl>
      <w:tblPr>
        <w:tblW w:w="6320" w:type="dxa"/>
        <w:jc w:val="left"/>
        <w:tblInd w:w="0" w:type="dxa"/>
        <w:tblLayout w:type="fixed"/>
        <w:tblCellMar>
          <w:top w:w="0" w:type="dxa"/>
          <w:left w:w="0" w:type="dxa"/>
          <w:bottom w:w="0" w:type="dxa"/>
          <w:right w:w="0" w:type="dxa"/>
        </w:tblCellMar>
      </w:tblPr>
      <w:tblGrid>
        <w:gridCol w:w="4910"/>
        <w:gridCol w:w="60"/>
        <w:gridCol w:w="140"/>
        <w:gridCol w:w="1100"/>
        <w:gridCol w:w="110"/>
      </w:tblGrid>
      <w:tr>
        <w:trPr/>
        <w:tc>
          <w:tcPr>
            <w:tcW w:w="4910" w:type="dxa"/>
            <w:tcBorders/>
            <w:shd w:fill="CCEEFF" w:val="clear"/>
            <w:vAlign w:val="center"/>
          </w:tcPr>
          <w:p>
            <w:pPr>
              <w:pStyle w:val="TableContents"/>
              <w:bidi w:val="0"/>
              <w:spacing w:before="0" w:after="283"/>
              <w:jc w:val="both"/>
              <w:rPr/>
            </w:pPr>
            <w:r>
              <w:rPr/>
              <w:t>SAFE agreements at fair value,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23,334,626</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pPr>
            <w:r>
              <w:rPr/>
              <w:t>Plus: SAFE agreements issued for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23,752</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pPr>
            <w:r>
              <w:rPr/>
              <w:t>Plus (Less): Change in fair value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(611,703</w:t>
            </w:r>
          </w:p>
        </w:tc>
        <w:tc>
          <w:tcPr>
            <w:tcW w:w="110" w:type="dxa"/>
            <w:tcBorders/>
            <w:shd w:fill="CCEE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both"/>
              <w:rPr/>
            </w:pPr>
            <w:r>
              <w:rPr/>
              <w:t>SAFE agreements at fair value,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22,746,675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6 -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is authorized to issue 200,000,000 shares of common stock at $0.001 par value, comprised of (i) 165,000,000 shares of Class A Common Stock (voting) and (ii) 35,000,000 shares of Class B Common Stock (non-voting).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2025 and December 31, 2024, SEE ID had 108,975,000 shares of Class A Common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7 -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2021, SEE ID adopted the 2021 Equity Inventive Plan (the “Plan”), which provides for grants of awards in the form of incentive stock options, nonqualified stock options, and restricted stock awards to selected employees, directors, and independent contractors of the Company and its affiliates, as defined in the Plan. The aggregate number of shares of SEE ID’s common stock that may be issued under the Plan shall not exceed 57,477,460. The purpose of the Plan is to encourage and enable selected participants to acquire or to increase their holdings of SEE ID’s common stock and other equity-based interests in SEE ID in order to promote a closer identification of their interests with those of the Company and its stockholders. The Plan is administered by the Company’s Board of Directors, which determines the persons to whom awards will be granted, the type of awards to be granted, the number of awards to be granted and the specific terms of each grant, including the vesting thereof, subject to the provisions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for the three-months ended March 31, 2025, is as follows:</w:t>
      </w:r>
    </w:p>
    <w:p>
      <w:pPr>
        <w:pStyle w:val="TextBody"/>
        <w:bidi w:val="0"/>
        <w:spacing w:before="0" w:after="0"/>
        <w:ind w:left="0" w:right="0" w:hanging="0"/>
        <w:jc w:val="both"/>
        <w:rPr>
          <w:caps w:val="false"/>
          <w:smallCaps w:val="false"/>
        </w:rPr>
      </w:pPr>
      <w:r>
        <w:rPr>
          <w:caps w:val="false"/>
          <w:smallCaps w:val="false"/>
        </w:rPr>
        <w:t> </w:t>
      </w:r>
    </w:p>
    <w:tbl>
      <w:tblPr>
        <w:tblW w:w="9379" w:type="dxa"/>
        <w:jc w:val="left"/>
        <w:tblInd w:w="0" w:type="dxa"/>
        <w:tblLayout w:type="fixed"/>
        <w:tblCellMar>
          <w:top w:w="0" w:type="dxa"/>
          <w:left w:w="0" w:type="dxa"/>
          <w:bottom w:w="0" w:type="dxa"/>
          <w:right w:w="0" w:type="dxa"/>
        </w:tblCellMar>
      </w:tblPr>
      <w:tblGrid>
        <w:gridCol w:w="4160"/>
        <w:gridCol w:w="60"/>
        <w:gridCol w:w="60"/>
        <w:gridCol w:w="1100"/>
        <w:gridCol w:w="60"/>
        <w:gridCol w:w="60"/>
        <w:gridCol w:w="448"/>
        <w:gridCol w:w="1792"/>
        <w:gridCol w:w="60"/>
        <w:gridCol w:w="60"/>
        <w:gridCol w:w="172"/>
        <w:gridCol w:w="1272"/>
        <w:gridCol w:w="75"/>
      </w:tblGrid>
      <w:tr>
        <w:trPr/>
        <w:tc>
          <w:tcPr>
            <w:tcW w:w="4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40"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Weighted- </w:t>
              <w:br/>
              <w:t>Average Exercise 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Weighted- </w:t>
              <w:br/>
              <w:t xml:space="preserve">Average </w:t>
              <w:br/>
              <w:t xml:space="preserve">Remaining </w:t>
              <w:br/>
              <w:t xml:space="preserve">Contractual </w:t>
              <w:br/>
              <w:t>Life (ins years)</w:t>
            </w:r>
          </w:p>
        </w:tc>
        <w:tc>
          <w:tcPr>
            <w:tcW w:w="75" w:type="dxa"/>
            <w:tcBorders/>
            <w:vAlign w:val="center"/>
          </w:tcPr>
          <w:p>
            <w:pPr>
              <w:pStyle w:val="TableContents"/>
              <w:bidi w:val="0"/>
              <w:spacing w:before="0" w:after="283"/>
              <w:jc w:val="center"/>
              <w:rPr/>
            </w:pPr>
            <w:r>
              <w:rPr/>
              <w:t> </w:t>
            </w:r>
          </w:p>
        </w:tc>
      </w:tr>
      <w:tr>
        <w:trPr/>
        <w:tc>
          <w:tcPr>
            <w:tcW w:w="4160" w:type="dxa"/>
            <w:tcBorders/>
            <w:shd w:fill="CCEEFF" w:val="clear"/>
            <w:vAlign w:val="center"/>
          </w:tcPr>
          <w:p>
            <w:pPr>
              <w:pStyle w:val="TableContents"/>
              <w:bidi w:val="0"/>
              <w:spacing w:before="0" w:after="283"/>
              <w:jc w:val="left"/>
              <w:rPr/>
            </w:pPr>
            <w:r>
              <w:rPr/>
              <w:t>Options 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25,002,460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w:t>
            </w:r>
          </w:p>
        </w:tc>
        <w:tc>
          <w:tcPr>
            <w:tcW w:w="1792" w:type="dxa"/>
            <w:tcBorders/>
            <w:shd w:fill="CCEEFF" w:val="clear"/>
            <w:vAlign w:val="center"/>
          </w:tcPr>
          <w:p>
            <w:pPr>
              <w:pStyle w:val="TableContents"/>
              <w:bidi w:val="0"/>
              <w:spacing w:before="0" w:after="283"/>
              <w:jc w:val="right"/>
              <w:rPr/>
            </w:pPr>
            <w:r>
              <w:rPr/>
              <w:t>0.009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6.22</w:t>
            </w:r>
          </w:p>
        </w:tc>
        <w:tc>
          <w:tcPr>
            <w:tcW w:w="7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 </w:t>
            </w:r>
          </w:p>
        </w:tc>
        <w:tc>
          <w:tcPr>
            <w:tcW w:w="17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7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Options 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 </w:t>
            </w:r>
          </w:p>
        </w:tc>
        <w:tc>
          <w:tcPr>
            <w:tcW w:w="17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Options outstanding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25,002,460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792" w:type="dxa"/>
            <w:tcBorders>
              <w:bottom w:val="double" w:sz="10" w:space="0" w:color="000000"/>
            </w:tcBorders>
            <w:shd w:fill="CCEEFF" w:val="clear"/>
            <w:tcMar>
              <w:bottom w:w="28" w:type="dxa"/>
            </w:tcMar>
            <w:vAlign w:val="center"/>
          </w:tcPr>
          <w:p>
            <w:pPr>
              <w:pStyle w:val="TableContents"/>
              <w:bidi w:val="0"/>
              <w:spacing w:before="0" w:after="283"/>
              <w:jc w:val="right"/>
              <w:rPr/>
            </w:pPr>
            <w:r>
              <w:rPr/>
              <w:t>0.009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double" w:sz="10" w:space="0" w:color="000000"/>
            </w:tcBorders>
            <w:shd w:fill="CCEEFF" w:val="clear"/>
            <w:tcMar>
              <w:bottom w:w="28" w:type="dxa"/>
            </w:tcMar>
            <w:vAlign w:val="center"/>
          </w:tcPr>
          <w:p>
            <w:pPr>
              <w:pStyle w:val="TableContents"/>
              <w:bidi w:val="0"/>
              <w:spacing w:before="0" w:after="283"/>
              <w:jc w:val="right"/>
              <w:rPr/>
            </w:pPr>
            <w:r>
              <w:rPr/>
              <w:t>5.97</w:t>
            </w:r>
          </w:p>
        </w:tc>
        <w:tc>
          <w:tcPr>
            <w:tcW w:w="7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Vested (i.e., exercisable) 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23,020,210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792" w:type="dxa"/>
            <w:tcBorders>
              <w:bottom w:val="single" w:sz="12" w:space="0" w:color="000000"/>
            </w:tcBorders>
            <w:shd w:fill="FFFFFF" w:val="clear"/>
            <w:tcMar>
              <w:bottom w:w="28" w:type="dxa"/>
            </w:tcMar>
            <w:vAlign w:val="center"/>
          </w:tcPr>
          <w:p>
            <w:pPr>
              <w:pStyle w:val="TableContents"/>
              <w:bidi w:val="0"/>
              <w:spacing w:before="0" w:after="283"/>
              <w:jc w:val="right"/>
              <w:rPr/>
            </w:pPr>
            <w:r>
              <w:rPr/>
              <w:t>0.007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6.32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three-months ended March 31, 2025 and 2024, SEE ID recognized stock-based compensation relating to stock options totaling $10,005 and $68,141, respectively, which is included in “General and administrative”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2025, there was a total of approximately $37,000 of unrecognized stock-based compensation cost relating to outstanding stock options, which is expected to be recognized over a weighted-average period of 1.02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Stock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three-months ended March 31, 2025 and 2024, SEE ID did not grant any 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2025 and 2024, unvested restricted stock awards granted amounted to zero and 1,770,833,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three-months ended March 31, 2025, SEE ID did not recognize any stock-based compensation relating to restricted stock awards. During the three-months ended March 31, 2024, SEE ID recognized stock-based compensation relating to restricted stock awards totaling $83,607, respectively. Stock-based compensation relating to restricted stock awards is included in “General and administrative”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2025, there was no unrecognized stock-based compensation costs relating to 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8 -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accounting requires the presentation of both basic and diluted earnings per share on the face of the statements of operations. The Company’s basic net loss per share is computed by dividing net loss by the weighted-average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2025 and 2024, shares of common stock for stock options amounting to 25,002,460 and 24,915,760, respectively, and for unvested restricted stock awards amounting to zero and 1,770,833, respectively, were not included in the calculation of diluted net loss per share because such shares are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9 -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SEE ID entered into a noncancelable lease agreement for a facility in Bethesda, Maryland. This lease commenced on July 1, 2024, has a term of 63 calendar months, and has an initial base rent of approximately $7,000 that increases annually by three percent. Under the terms of this lease, SEE ID is also responsible for their proportionate share of expenses associated with the facility and its premises.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were as follows for the three-months ended March 31, 2025:</w:t>
      </w:r>
    </w:p>
    <w:p>
      <w:pPr>
        <w:pStyle w:val="TextBody"/>
        <w:bidi w:val="0"/>
        <w:spacing w:before="0" w:after="0"/>
        <w:ind w:left="0" w:right="0" w:hanging="0"/>
        <w:jc w:val="both"/>
        <w:rPr>
          <w:caps w:val="false"/>
          <w:smallCaps w:val="false"/>
        </w:rPr>
      </w:pPr>
      <w:r>
        <w:rPr>
          <w:caps w:val="false"/>
          <w:smallCaps w:val="false"/>
        </w:rPr>
        <w:t> </w:t>
      </w:r>
    </w:p>
    <w:tbl>
      <w:tblPr>
        <w:tblW w:w="6345" w:type="dxa"/>
        <w:jc w:val="left"/>
        <w:tblInd w:w="0" w:type="dxa"/>
        <w:tblLayout w:type="fixed"/>
        <w:tblCellMar>
          <w:top w:w="0" w:type="dxa"/>
          <w:left w:w="0" w:type="dxa"/>
          <w:bottom w:w="0" w:type="dxa"/>
          <w:right w:w="0" w:type="dxa"/>
        </w:tblCellMar>
      </w:tblPr>
      <w:tblGrid>
        <w:gridCol w:w="5390"/>
        <w:gridCol w:w="60"/>
        <w:gridCol w:w="140"/>
        <w:gridCol w:w="680"/>
        <w:gridCol w:w="75"/>
      </w:tblGrid>
      <w:tr>
        <w:trPr/>
        <w:tc>
          <w:tcPr>
            <w:tcW w:w="5390" w:type="dxa"/>
            <w:tcBorders/>
            <w:shd w:fill="CCEEFF" w:val="clear"/>
            <w:vAlign w:val="center"/>
          </w:tcPr>
          <w:p>
            <w:pPr>
              <w:pStyle w:val="TableContents"/>
              <w:bidi w:val="0"/>
              <w:spacing w:before="0" w:after="283"/>
              <w:jc w:val="left"/>
              <w:rPr/>
            </w:pPr>
            <w:r>
              <w:rPr/>
              <w:t>Operating lease cost (cost resulting from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21,553</w:t>
            </w:r>
          </w:p>
        </w:tc>
        <w:tc>
          <w:tcPr>
            <w:tcW w:w="75" w:type="dxa"/>
            <w:tcBorders/>
            <w:shd w:fill="CCEEFF" w:val="clear"/>
            <w:vAlign w:val="center"/>
          </w:tcPr>
          <w:p>
            <w:pPr>
              <w:pStyle w:val="TableContents"/>
              <w:bidi w:val="0"/>
              <w:spacing w:before="0" w:after="283"/>
              <w:jc w:val="left"/>
              <w:rPr/>
            </w:pPr>
            <w:r>
              <w:rPr/>
              <w:t> </w:t>
            </w:r>
          </w:p>
        </w:tc>
      </w:tr>
      <w:tr>
        <w:trPr/>
        <w:tc>
          <w:tcPr>
            <w:tcW w:w="539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33,001</w:t>
            </w:r>
          </w:p>
        </w:tc>
        <w:tc>
          <w:tcPr>
            <w:tcW w:w="75"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54,554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leases is as follows for the three-months ended March 31, 2025:</w:t>
      </w:r>
    </w:p>
    <w:p>
      <w:pPr>
        <w:pStyle w:val="TextBody"/>
        <w:bidi w:val="0"/>
        <w:spacing w:before="0" w:after="0"/>
        <w:ind w:left="0" w:right="0" w:hanging="0"/>
        <w:jc w:val="both"/>
        <w:rPr>
          <w:caps w:val="false"/>
          <w:smallCaps w:val="false"/>
        </w:rPr>
      </w:pPr>
      <w:r>
        <w:rPr>
          <w:caps w:val="false"/>
          <w:smallCaps w:val="false"/>
        </w:rPr>
        <w:t> </w:t>
      </w:r>
    </w:p>
    <w:tbl>
      <w:tblPr>
        <w:tblW w:w="6525" w:type="dxa"/>
        <w:jc w:val="left"/>
        <w:tblInd w:w="0" w:type="dxa"/>
        <w:tblLayout w:type="fixed"/>
        <w:tblCellMar>
          <w:top w:w="0" w:type="dxa"/>
          <w:left w:w="0" w:type="dxa"/>
          <w:bottom w:w="0" w:type="dxa"/>
          <w:right w:w="0" w:type="dxa"/>
        </w:tblCellMar>
      </w:tblPr>
      <w:tblGrid>
        <w:gridCol w:w="5570"/>
        <w:gridCol w:w="60"/>
        <w:gridCol w:w="140"/>
        <w:gridCol w:w="680"/>
        <w:gridCol w:w="75"/>
      </w:tblGrid>
      <w:tr>
        <w:trPr/>
        <w:tc>
          <w:tcPr>
            <w:tcW w:w="5570" w:type="dxa"/>
            <w:tcBorders/>
            <w:shd w:fill="CCEEFF" w:val="clear"/>
            <w:vAlign w:val="center"/>
          </w:tcPr>
          <w:p>
            <w:pPr>
              <w:pStyle w:val="TableContents"/>
              <w:bidi w:val="0"/>
              <w:spacing w:before="0" w:after="283"/>
              <w:jc w:val="left"/>
              <w:rPr/>
            </w:pPr>
            <w:r>
              <w:rPr/>
              <w:t>Operating lease - Operating cash flows (fixed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21,154</w:t>
            </w:r>
          </w:p>
        </w:tc>
        <w:tc>
          <w:tcPr>
            <w:tcW w:w="75"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Operating lease - Operating cash flows (liability reduction)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11,843</w:t>
            </w:r>
          </w:p>
        </w:tc>
        <w:tc>
          <w:tcPr>
            <w:tcW w:w="75"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Operating lease - Change in ROU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12,242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operating lease asset and liabilities recorded at March 31, 2025:</w:t>
      </w:r>
    </w:p>
    <w:p>
      <w:pPr>
        <w:pStyle w:val="TextBody"/>
        <w:bidi w:val="0"/>
        <w:spacing w:before="0" w:after="0"/>
        <w:ind w:left="0" w:right="0" w:hanging="0"/>
        <w:jc w:val="both"/>
        <w:rPr>
          <w:caps w:val="false"/>
          <w:smallCaps w:val="false"/>
        </w:rPr>
      </w:pPr>
      <w:r>
        <w:rPr>
          <w:caps w:val="false"/>
          <w:smallCaps w:val="false"/>
        </w:rPr>
        <w:t> </w:t>
      </w:r>
    </w:p>
    <w:tbl>
      <w:tblPr>
        <w:tblW w:w="6020" w:type="dxa"/>
        <w:jc w:val="left"/>
        <w:tblInd w:w="0" w:type="dxa"/>
        <w:tblLayout w:type="fixed"/>
        <w:tblCellMar>
          <w:top w:w="0" w:type="dxa"/>
          <w:left w:w="0" w:type="dxa"/>
          <w:bottom w:w="0" w:type="dxa"/>
          <w:right w:w="0" w:type="dxa"/>
        </w:tblCellMar>
      </w:tblPr>
      <w:tblGrid>
        <w:gridCol w:w="4715"/>
        <w:gridCol w:w="60"/>
        <w:gridCol w:w="140"/>
        <w:gridCol w:w="875"/>
        <w:gridCol w:w="230"/>
      </w:tblGrid>
      <w:tr>
        <w:trPr/>
        <w:tc>
          <w:tcPr>
            <w:tcW w:w="4715" w:type="dxa"/>
            <w:tcBorders/>
            <w:shd w:fill="CCEEFF" w:val="clear"/>
            <w:vAlign w:val="center"/>
          </w:tcPr>
          <w:p>
            <w:pPr>
              <w:pStyle w:val="TableContents"/>
              <w:bidi w:val="0"/>
              <w:spacing w:before="0" w:after="283"/>
              <w:jc w:val="both"/>
              <w:rPr/>
            </w:pPr>
            <w:r>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295,650</w:t>
            </w:r>
          </w:p>
        </w:tc>
        <w:tc>
          <w:tcPr>
            <w:tcW w:w="23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52,458</w:t>
            </w:r>
          </w:p>
        </w:tc>
        <w:tc>
          <w:tcPr>
            <w:tcW w:w="23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Operating lease liability, less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265,543</w:t>
            </w:r>
          </w:p>
        </w:tc>
        <w:tc>
          <w:tcPr>
            <w:tcW w:w="23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318,001</w:t>
            </w:r>
          </w:p>
        </w:tc>
        <w:tc>
          <w:tcPr>
            <w:tcW w:w="23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Weighted-average remaining operating lease term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4.5 years</w:t>
            </w:r>
          </w:p>
        </w:tc>
        <w:tc>
          <w:tcPr>
            <w:tcW w:w="23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Weighted-average operating lease discount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11.83</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future minimum lease commitments at March 31, 2025:</w:t>
      </w:r>
    </w:p>
    <w:p>
      <w:pPr>
        <w:pStyle w:val="TextBody"/>
        <w:bidi w:val="0"/>
        <w:spacing w:before="0" w:after="0"/>
        <w:ind w:left="0" w:right="0" w:hanging="0"/>
        <w:jc w:val="both"/>
        <w:rPr>
          <w:caps w:val="false"/>
          <w:smallCaps w:val="false"/>
        </w:rPr>
      </w:pPr>
      <w:r>
        <w:rPr>
          <w:caps w:val="false"/>
          <w:smallCaps w:val="false"/>
        </w:rPr>
        <w:t> </w:t>
      </w:r>
    </w:p>
    <w:tbl>
      <w:tblPr>
        <w:tblW w:w="6210" w:type="dxa"/>
        <w:jc w:val="left"/>
        <w:tblInd w:w="0" w:type="dxa"/>
        <w:tblLayout w:type="fixed"/>
        <w:tblCellMar>
          <w:top w:w="0" w:type="dxa"/>
          <w:left w:w="0" w:type="dxa"/>
          <w:bottom w:w="28" w:type="dxa"/>
          <w:right w:w="0" w:type="dxa"/>
        </w:tblCellMar>
      </w:tblPr>
      <w:tblGrid>
        <w:gridCol w:w="5135"/>
        <w:gridCol w:w="60"/>
        <w:gridCol w:w="140"/>
        <w:gridCol w:w="800"/>
        <w:gridCol w:w="75"/>
      </w:tblGrid>
      <w:tr>
        <w:trPr/>
        <w:tc>
          <w:tcPr>
            <w:tcW w:w="5135" w:type="dxa"/>
            <w:tcBorders>
              <w:bottom w:val="single" w:sz="12" w:space="0" w:color="000000"/>
            </w:tcBorders>
            <w:vAlign w:val="center"/>
          </w:tcPr>
          <w:p>
            <w:pPr>
              <w:pStyle w:val="TableContents"/>
              <w:bidi w:val="0"/>
              <w:spacing w:before="0" w:after="283"/>
              <w:jc w:val="left"/>
              <w:rPr/>
            </w:pPr>
            <w:r>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135" w:type="dxa"/>
            <w:tcBorders/>
            <w:shd w:fill="CCEEFF" w:val="clear"/>
            <w:tcMar>
              <w:bottom w:w="0" w:type="dxa"/>
            </w:tcMar>
            <w:vAlign w:val="center"/>
          </w:tcPr>
          <w:p>
            <w:pPr>
              <w:pStyle w:val="TableContents"/>
              <w:bidi w:val="0"/>
              <w:spacing w:before="0" w:after="283"/>
              <w:jc w:val="left"/>
              <w:rPr/>
            </w:pPr>
            <w:r>
              <w:rPr/>
              <w:t>2025 (excluding three months ended March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center"/>
              <w:rPr/>
            </w:pPr>
            <w:r>
              <w:rPr/>
              <w:t>$</w:t>
            </w:r>
          </w:p>
        </w:tc>
        <w:tc>
          <w:tcPr>
            <w:tcW w:w="800" w:type="dxa"/>
            <w:tcBorders/>
            <w:shd w:fill="CCEEFF" w:val="clear"/>
            <w:tcMar>
              <w:bottom w:w="0" w:type="dxa"/>
            </w:tcMar>
            <w:vAlign w:val="center"/>
          </w:tcPr>
          <w:p>
            <w:pPr>
              <w:pStyle w:val="TableContents"/>
              <w:bidi w:val="0"/>
              <w:spacing w:before="0" w:after="283"/>
              <w:jc w:val="right"/>
              <w:rPr/>
            </w:pPr>
            <w:r>
              <w:rPr/>
              <w:t>64,732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3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88,462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13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91,116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35"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93,850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135"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72,142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35" w:type="dxa"/>
            <w:tcBorders/>
            <w:shd w:fill="FFFFFF" w:val="clear"/>
            <w:tcMar>
              <w:bottom w:w="0" w:type="dxa"/>
            </w:tcMar>
            <w:vAlign w:val="center"/>
          </w:tcPr>
          <w:p>
            <w:pPr>
              <w:pStyle w:val="TableContents"/>
              <w:bidi w:val="0"/>
              <w:spacing w:before="0" w:after="283"/>
              <w:jc w:val="left"/>
              <w:rPr/>
            </w:pPr>
            <w:r>
              <w:rPr/>
              <w:t>Total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410,302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135" w:type="dxa"/>
            <w:tcBorders/>
            <w:shd w:fill="CCEEFF" w:val="clear"/>
            <w:tcMar>
              <w:bottom w:w="0" w:type="dxa"/>
            </w:tcMar>
            <w:vAlign w:val="center"/>
          </w:tcPr>
          <w:p>
            <w:pPr>
              <w:pStyle w:val="TableContents"/>
              <w:bidi w:val="0"/>
              <w:spacing w:before="0" w:after="283"/>
              <w:jc w:val="left"/>
              <w:rPr/>
            </w:pPr>
            <w:r>
              <w:rPr/>
              <w:t>Less: imputed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92,301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35" w:type="dxa"/>
            <w:tcBorders/>
            <w:shd w:fill="FFFFFF" w:val="clear"/>
            <w:tcMar>
              <w:bottom w:w="0" w:type="dxa"/>
            </w:tcMar>
            <w:vAlign w:val="center"/>
          </w:tcPr>
          <w:p>
            <w:pPr>
              <w:pStyle w:val="TableContents"/>
              <w:bidi w:val="0"/>
              <w:spacing w:before="0" w:after="283"/>
              <w:jc w:val="left"/>
              <w:rPr/>
            </w:pPr>
            <w:r>
              <w:rPr/>
              <w:t>Total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800" w:type="dxa"/>
            <w:tcBorders>
              <w:bottom w:val="double" w:sz="10" w:space="0" w:color="000000"/>
            </w:tcBorders>
            <w:shd w:fill="FFFFFF" w:val="clear"/>
            <w:vAlign w:val="center"/>
          </w:tcPr>
          <w:p>
            <w:pPr>
              <w:pStyle w:val="TableContents"/>
              <w:bidi w:val="0"/>
              <w:spacing w:before="0" w:after="283"/>
              <w:jc w:val="right"/>
              <w:rPr/>
            </w:pPr>
            <w:r>
              <w:rPr/>
              <w:t>318,001</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Dot Works entered into a noncancelable lease agreement with an unrelated third-party for a 16,000 square foot facility in Puerto Rico. This lease commenced on February 1, 2025 on a month-to-month basis and then became a long-term lease with an initial term of 5 years on June 1, 2025. The initial base rent is $7.00 per square foot (i.e., $9,333 per month) for the first two years, increasing to $7.50 per square for the third year and increases by 3% annually thereafter. Under the terms of this lease, the Company is also responsible for their own utilities and a proportionate share of the operating expenses of the premises, not to exceed $3.25 per square foot. As this lease was on a month-to-month basis at March 31, 2025, it is considered a short-term lease and, accordingly, no right-of-use assets or lease liabilities have been recorded for this lease in the accompanying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10 -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2025 and December 31, 2024, SEE ID has entered into SAFE agreements with Charles Maddox, SEE ID’s Chief Financial Officer and a stockholder of SEE ID, for proceeds totaling $28,833.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SEE ID entered into a $1,500,000 purchase order with Pope Technologies LLC for certain products, hardware, installation, programming, subscription, and training, of which $750,000 has been received by the Company and is reported as deferred revenue at March 31, 2025 and December 31, 2024 in the accompanying consolidated balance sheets. Pope Technologies LLC is owned by a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2022, SEE ID entered into a customer agreement with PRB Transportation, LLC, which is owned, in part, by Charles Maddox, SEE ID’s Chief Financial Officer and a stockholder of SEE ID, and Jeff Andersen, a stockholder of SEE ID. For the three months ended March 31, 2025 and 2024, revenues recognized from this agreement with PRB Transportation, LLC amounted to $4,338 and $3,519, respectively. As of March 31, 2025 and December 31, 2024, $2,010 and $1,164, respectively, were outstanding from this related party under this agreement and included in “Accounts receivable” in the accompanying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August 1, 2024, SEE ID began subleasing an office/warehouse space in Las Vegas, Nevada from Pope Technologies LLC. The term of this sublease is for one year and the rent is $1,280 per month. Pope Technologies LLC is owned by a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March 1, 2024, SEE ID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SEE ID. This lease terminated on February 28, 2025, and was not renewed.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11 -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involved in litigation and claims arising in the ordinary course of business. It is management’s opinion that the outcome of such matters will not have a material adverse effect on the Company’s consolidated financial statements; however, the results of litigation and claims are inherently unpredictable. Regardless of outcome, litigation can have an adverse impact on the Company because of legal costs, diversion of management resources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12 -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single reportable segment that derives revenues from the delivery of feasibility study reports to customers seeking to gain insight into how data driven tracking could improve their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decision-makers (the “CODM”), which are SEE ID’s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sales, can be easily computed from the provided information. This segment measures of profitability are shown in the consolidated statements of operations. The measure of segment assets is reported on the consolidated balance sheets as total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13 - Bridge Loan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three-months ended March 31, 2025, and subsequent to March 31, 2025, SEE ID entered into the following unsecured bridge loan agreements with lenders totaling $1,600,000 and $1,250,000, respectively, for operational expenses, working capital, or other general corporate purposes. These loans all bear interest at an annual rate of 20% calculated on a 365-day basis and include a minimum interest provision requiring a minimum of 8% or 10% of the principal amount as interest if the loans are repaid prior to their maturity dates, which is six months from their respective effective dates. Accordingly, the Company has recorded accrued interest on the outstanding bridge loan amounts of $160,000 at March 31, 2025. In the event SEE ID is unable to repay these loans by the end of the term, the outstanding principal and accrued interest shall convert into shares of SEE ID at a discount of an additional 10%.</w:t>
      </w:r>
    </w:p>
    <w:p>
      <w:pPr>
        <w:pStyle w:val="TextBody"/>
        <w:bidi w:val="0"/>
        <w:spacing w:before="0" w:after="0"/>
        <w:ind w:left="0" w:right="0" w:hanging="0"/>
        <w:jc w:val="both"/>
        <w:rPr>
          <w:caps w:val="false"/>
          <w:smallCaps w:val="false"/>
        </w:rPr>
      </w:pPr>
      <w:r>
        <w:rPr>
          <w:caps w:val="false"/>
          <w:smallCaps w:val="false"/>
        </w:rPr>
        <w:t> </w:t>
      </w:r>
    </w:p>
    <w:tbl>
      <w:tblPr>
        <w:tblW w:w="3279" w:type="dxa"/>
        <w:jc w:val="left"/>
        <w:tblInd w:w="0" w:type="dxa"/>
        <w:tblLayout w:type="fixed"/>
        <w:tblCellMar>
          <w:top w:w="0" w:type="dxa"/>
          <w:left w:w="0" w:type="dxa"/>
          <w:bottom w:w="28" w:type="dxa"/>
          <w:right w:w="0" w:type="dxa"/>
        </w:tblCellMar>
      </w:tblPr>
      <w:tblGrid>
        <w:gridCol w:w="1790"/>
        <w:gridCol w:w="60"/>
        <w:gridCol w:w="169"/>
        <w:gridCol w:w="1185"/>
        <w:gridCol w:w="75"/>
      </w:tblGrid>
      <w:tr>
        <w:trPr/>
        <w:tc>
          <w:tcPr>
            <w:tcW w:w="1790" w:type="dxa"/>
            <w:tcBorders>
              <w:bottom w:val="single" w:sz="12" w:space="0" w:color="000000"/>
            </w:tcBorders>
            <w:vAlign w:val="center"/>
          </w:tcPr>
          <w:p>
            <w:pPr>
              <w:pStyle w:val="TableContents"/>
              <w:bidi w:val="0"/>
              <w:spacing w:before="0" w:after="283"/>
              <w:jc w:val="left"/>
              <w:rPr/>
            </w:pPr>
            <w:r>
              <w:rPr/>
              <w:t>Effective Date</w:t>
            </w:r>
          </w:p>
        </w:tc>
        <w:tc>
          <w:tcPr>
            <w:tcW w:w="60" w:type="dxa"/>
            <w:tcBorders/>
            <w:tcMar>
              <w:bottom w:w="0" w:type="dxa"/>
            </w:tcMar>
            <w:vAlign w:val="center"/>
          </w:tcPr>
          <w:p>
            <w:pPr>
              <w:pStyle w:val="TableContents"/>
              <w:bidi w:val="0"/>
              <w:spacing w:before="0" w:after="283"/>
              <w:jc w:val="left"/>
              <w:rPr/>
            </w:pPr>
            <w:r>
              <w:rPr/>
              <w:t> </w:t>
            </w:r>
          </w:p>
        </w:tc>
        <w:tc>
          <w:tcPr>
            <w:tcW w:w="1354" w:type="dxa"/>
            <w:gridSpan w:val="2"/>
            <w:tcBorders>
              <w:bottom w:val="single" w:sz="12" w:space="0" w:color="000000"/>
            </w:tcBorders>
            <w:vAlign w:val="center"/>
          </w:tcPr>
          <w:p>
            <w:pPr>
              <w:pStyle w:val="TableContents"/>
              <w:bidi w:val="0"/>
              <w:spacing w:before="0" w:after="283"/>
              <w:jc w:val="center"/>
              <w:rPr/>
            </w:pPr>
            <w:r>
              <w:rPr/>
              <w:t>Loan Amount</w:t>
            </w:r>
          </w:p>
        </w:tc>
        <w:tc>
          <w:tcPr>
            <w:tcW w:w="75" w:type="dxa"/>
            <w:tcBorders/>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both"/>
              <w:rPr/>
            </w:pPr>
            <w:r>
              <w:rPr/>
              <w:t>January 29,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w:t>
            </w:r>
          </w:p>
        </w:tc>
        <w:tc>
          <w:tcPr>
            <w:tcW w:w="1185" w:type="dxa"/>
            <w:tcBorders/>
            <w:shd w:fill="CCEEFF" w:val="clear"/>
            <w:tcMar>
              <w:bottom w:w="0" w:type="dxa"/>
            </w:tcMar>
            <w:vAlign w:val="center"/>
          </w:tcPr>
          <w:p>
            <w:pPr>
              <w:pStyle w:val="TableContents"/>
              <w:bidi w:val="0"/>
              <w:spacing w:before="0" w:after="283"/>
              <w:jc w:val="right"/>
              <w:rPr/>
            </w:pPr>
            <w:r>
              <w:rPr/>
              <w:t>1,500,000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both"/>
              <w:rPr/>
            </w:pPr>
            <w:r>
              <w:rPr/>
              <w:t>March 29,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1185" w:type="dxa"/>
            <w:tcBorders/>
            <w:shd w:fill="FFFFFF" w:val="clear"/>
            <w:tcMar>
              <w:bottom w:w="0" w:type="dxa"/>
            </w:tcMar>
            <w:vAlign w:val="center"/>
          </w:tcPr>
          <w:p>
            <w:pPr>
              <w:pStyle w:val="TableContents"/>
              <w:bidi w:val="0"/>
              <w:spacing w:before="0" w:after="283"/>
              <w:jc w:val="right"/>
              <w:rPr/>
            </w:pPr>
            <w:r>
              <w:rPr/>
              <w:t>100,000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both"/>
              <w:rPr/>
            </w:pPr>
            <w:r>
              <w:rPr/>
              <w:t>April 9,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185" w:type="dxa"/>
            <w:tcBorders/>
            <w:shd w:fill="CCEEFF" w:val="clear"/>
            <w:tcMar>
              <w:bottom w:w="0" w:type="dxa"/>
            </w:tcMar>
            <w:vAlign w:val="center"/>
          </w:tcPr>
          <w:p>
            <w:pPr>
              <w:pStyle w:val="TableContents"/>
              <w:bidi w:val="0"/>
              <w:spacing w:before="0" w:after="283"/>
              <w:jc w:val="right"/>
              <w:rPr/>
            </w:pPr>
            <w:r>
              <w:rPr/>
              <w:t>500,000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both"/>
              <w:rPr/>
            </w:pPr>
            <w:r>
              <w:rPr/>
              <w:t>May 7,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1185" w:type="dxa"/>
            <w:tcBorders/>
            <w:shd w:fill="FFFFFF" w:val="clear"/>
            <w:tcMar>
              <w:bottom w:w="0" w:type="dxa"/>
            </w:tcMar>
            <w:vAlign w:val="center"/>
          </w:tcPr>
          <w:p>
            <w:pPr>
              <w:pStyle w:val="TableContents"/>
              <w:bidi w:val="0"/>
              <w:spacing w:before="0" w:after="283"/>
              <w:jc w:val="right"/>
              <w:rPr/>
            </w:pPr>
            <w:r>
              <w:rPr/>
              <w:t>500,000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both"/>
              <w:rPr/>
            </w:pPr>
            <w:r>
              <w:rPr/>
              <w:t>June 5,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bottom w:val="single" w:sz="12" w:space="0" w:color="000000"/>
            </w:tcBorders>
            <w:shd w:fill="CCEEFF" w:val="clear"/>
            <w:vAlign w:val="center"/>
          </w:tcPr>
          <w:p>
            <w:pPr>
              <w:pStyle w:val="TableContents"/>
              <w:bidi w:val="0"/>
              <w:spacing w:before="0" w:after="283"/>
              <w:jc w:val="left"/>
              <w:rPr/>
            </w:pPr>
            <w:r>
              <w:rPr/>
              <w:t> </w:t>
            </w:r>
          </w:p>
        </w:tc>
        <w:tc>
          <w:tcPr>
            <w:tcW w:w="1185" w:type="dxa"/>
            <w:tcBorders>
              <w:bottom w:val="single" w:sz="12" w:space="0" w:color="000000"/>
            </w:tcBorders>
            <w:shd w:fill="CCEEFF" w:val="clear"/>
            <w:vAlign w:val="center"/>
          </w:tcPr>
          <w:p>
            <w:pPr>
              <w:pStyle w:val="TableContents"/>
              <w:bidi w:val="0"/>
              <w:spacing w:before="0" w:after="283"/>
              <w:jc w:val="right"/>
              <w:rPr/>
            </w:pPr>
            <w:r>
              <w:rPr/>
              <w:t>250,000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bottom w:val="double" w:sz="10" w:space="0" w:color="000000"/>
            </w:tcBorders>
            <w:shd w:fill="FFFFFF" w:val="clear"/>
            <w:vAlign w:val="center"/>
          </w:tcPr>
          <w:p>
            <w:pPr>
              <w:pStyle w:val="TableContents"/>
              <w:bidi w:val="0"/>
              <w:spacing w:before="0" w:after="283"/>
              <w:jc w:val="left"/>
              <w:rPr/>
            </w:pPr>
            <w:r>
              <w:rPr/>
              <w:t>$</w:t>
            </w:r>
          </w:p>
        </w:tc>
        <w:tc>
          <w:tcPr>
            <w:tcW w:w="1185" w:type="dxa"/>
            <w:tcBorders>
              <w:bottom w:val="double" w:sz="10" w:space="0" w:color="000000"/>
            </w:tcBorders>
            <w:shd w:fill="FFFFFF" w:val="clear"/>
            <w:vAlign w:val="center"/>
          </w:tcPr>
          <w:p>
            <w:pPr>
              <w:pStyle w:val="TableContents"/>
              <w:bidi w:val="0"/>
              <w:spacing w:before="0" w:after="283"/>
              <w:jc w:val="right"/>
              <w:rPr/>
            </w:pPr>
            <w:r>
              <w:rPr/>
              <w:t>2,850,000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Bridge loans from this investor (who, as discussed below, is also a PIPE investor) had an aggregate principal amount of $2,500,000. At closing of the BCA (as defined in the Business Combination disclosure below) on June 18, 2025, the investor received a cash payment of $293,500, comprised of $250,000 of minimum 10% interest and $43,500 of principal repayment, and a number of shares equivalent to $2,456,500 at a per share price of $4.</w:t>
            </w:r>
          </w:p>
        </w:tc>
      </w:tr>
    </w:tbl>
    <w:p>
      <w:pPr>
        <w:pStyle w:val="TextBody"/>
        <w:bidi w:val="0"/>
        <w:spacing w:before="0" w:after="0"/>
        <w:ind w:left="72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w:t>
            </w:r>
          </w:p>
        </w:tc>
        <w:tc>
          <w:tcPr>
            <w:tcW w:w="9932" w:type="dxa"/>
            <w:tcBorders/>
            <w:vAlign w:val="center"/>
          </w:tcPr>
          <w:p>
            <w:pPr>
              <w:pStyle w:val="TableContents"/>
              <w:bidi w:val="0"/>
              <w:spacing w:before="0" w:after="283"/>
              <w:jc w:val="both"/>
              <w:rPr/>
            </w:pPr>
            <w:r>
              <w:rPr/>
              <w:t>Aggregate loan principal and minimum 10% interest totaling $110,000 was paid in cash at closing of the BCA on June 18, 2025.</w:t>
            </w:r>
          </w:p>
        </w:tc>
      </w:tr>
    </w:tbl>
    <w:p>
      <w:pPr>
        <w:pStyle w:val="TextBody"/>
        <w:bidi w:val="0"/>
        <w:spacing w:before="0" w:after="0"/>
        <w:ind w:left="72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1"/>
        <w:gridCol w:w="9836"/>
      </w:tblGrid>
      <w:tr>
        <w:trPr/>
        <w:tc>
          <w:tcPr>
            <w:tcW w:w="3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pPr>
            <w:r>
              <w:rPr/>
              <w:t>***</w:t>
            </w:r>
          </w:p>
        </w:tc>
        <w:tc>
          <w:tcPr>
            <w:tcW w:w="9836" w:type="dxa"/>
            <w:tcBorders/>
            <w:vAlign w:val="center"/>
          </w:tcPr>
          <w:p>
            <w:pPr>
              <w:pStyle w:val="TableContents"/>
              <w:bidi w:val="0"/>
              <w:spacing w:before="0" w:after="283"/>
              <w:jc w:val="both"/>
              <w:rPr/>
            </w:pPr>
            <w:r>
              <w:rPr/>
              <w:t>Aggregate loan principal and minimum 8% interest totaling $270,000 was paid in cash at closing of the BCA on June 18,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14 -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Bridge Loan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May and June 2025, the Company entered into unsecured bridge loan agreements with lenders totaling $1,250,000. These loans have the same terms as the previous bridge loan agreements disclosed in Note 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“Closing Date”), SUTA, a Delaware corporation, completed the transactions contemplated by that certain business combination agreement, dated as of March 18, 2024 (the “Business Combination Agreement”), by and among CID Holdco, Inc., a Delaware corporation (“Holdings”) and a wholly-owned subsidiary of ShoulderUp, ShoulderUp Merger Sub, Inc., a Delaware corporation (“ShoulderUp Merger Sub”) and wholly-owned subsidiary of ShoulderUp, SEE ID Merger Sub, Inc., a Nevada corporation (“SEE ID Merger Sub”) and wholly-owned subsidiary of ShoulderUp, and SEE ID, Inc., a Nevada corporation (“SEE 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transactions contemplated by the Business Combination Agreement (the “Closing”), (i) ShoulderUp Merger Sub, merged with and into ShoulderUp, with ShoulderUp continuing as the surviving company in the merger, and with the security holders of ShoulderUp receiving substantially equivalent securities of Holdings, and (ii) SEE ID Merger Sub, merged with and into SEE ID, with SEE ID continuing as the surviving company in the merger, and with the shareholders of SEE ID receiving shares of Holdings common stock, par value $0.0001 per share (the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Business Combination Agreement, (i) the holders of shares of SUTA’s common stock (“SUTA Common Stock”) issued and outstanding immediately prior to the effective time of the Business Combination (other than any redeemed shares) received one share of common stock of Holdings (“Holdings Common Stock”) in exchange for each share of SUTA Common Stock held by them, (ii) the holders of each whole warrant to purchase SUTA Class A Common Stock received one warrant to purchase Holdings Common Stock at an exercise price of $11.50 per share, and (iii) 13 million shares of Holdings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PIPE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2025, an investor subscribed to 250,000 common shares of Holdings in exchange for $1,000,000.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2025, an investor subscribed to 1,317,750 common shares of Holdings in exchange for $5,271,000. This investor previously extended to the Company bridge loans in the aggregate principal amount of $2,500,000, which was settled at closing of the BCA on June 18, 2025 as discussed in the Bridge Loan Agreements disclosure above. The remaining PIPE commitment of 2,814,500 was paid to the Company at closing at which time 1,317,750 common shares of Holdings were issued to the investor.</w:t>
      </w:r>
    </w:p>
    <w:p>
      <w:pPr>
        <w:pStyle w:val="TextBody"/>
        <w:bidi w:val="0"/>
        <w:spacing w:before="0" w:after="0"/>
        <w:ind w:left="274" w:right="2981"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17, 2025, an investor subscribed to 1,755,786 common shares of Holdings in exchange for $7,023,143. </w:t>
      </w:r>
    </w:p>
    <w:p>
      <w:pPr>
        <w:pStyle w:val="TextBody"/>
        <w:bidi w:val="0"/>
        <w:spacing w:before="0" w:after="0"/>
        <w:ind w:left="274"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Company entered into a share subscription of line of credit agreement (the “ELOC”) New Circle Principle Investments LLC (“New Circle”), under which the Company can access up to fifty million ($50,000,000) in aggregate proceeds. The Company shall pay a commitment fee to the New Circle in the form of shares of common stock of Holding’s with an aggregate market value equal to $350,000, the market value of which shall be determined based on the closing price of such common stock on the date a Form S-1 is declared effective by the SEC. Such Form S-1 is to be filed 60 days after the close of the BCA agreement. No commitment fee payment nor draw down of the ELOC has occurred as of the date of this filing.</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pPr>
      <w:r>
        <w:rPr/>
        <w:t>-24-</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3" w:name="ea024660701ex99-3_cidhold.htm"/>
      <w:bookmarkStart w:id="64" w:name="ksea024660701ex993_cidhold"/>
      <w:bookmarkEnd w:id="63"/>
      <w:bookmarkEnd w:id="64"/>
      <w:r>
        <w:rPr>
          <w:rFonts w:ascii="Times New Roman;Times;Serif" w:hAnsi="Times New Roman;Times;Serif"/>
          <w:b/>
          <w:i w:val="false"/>
          <w:caps w:val="false"/>
          <w:smallCaps w:val="false"/>
          <w:sz w:val="20"/>
        </w:rPr>
        <w:t>Exhibit 99.3</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5" w:name="a_016"/>
      <w:bookmarkEnd w:id="65"/>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9005"/>
        <w:gridCol w:w="455"/>
      </w:tblGrid>
      <w:tr>
        <w:trPr/>
        <w:tc>
          <w:tcPr>
            <w:tcW w:w="9005"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9005" w:type="dxa"/>
            <w:tcBorders/>
            <w:shd w:fill="CCEEFF" w:val="clear"/>
            <w:vAlign w:val="center"/>
          </w:tcPr>
          <w:p>
            <w:pPr>
              <w:pStyle w:val="TableContents"/>
              <w:bidi w:val="0"/>
              <w:spacing w:before="0" w:after="283"/>
              <w:jc w:val="both"/>
              <w:rPr/>
            </w:pPr>
            <w:hyperlink w:anchor="f_001">
              <w:r>
                <w:rPr>
                  <w:rStyle w:val="InternetLink"/>
                  <w:sz w:val="20"/>
                </w:rPr>
                <w:t>Report of Independent Registered Public Accounting Firm</w:t>
              </w:r>
            </w:hyperlink>
          </w:p>
        </w:tc>
        <w:tc>
          <w:tcPr>
            <w:tcW w:w="455" w:type="dxa"/>
            <w:tcBorders/>
            <w:shd w:fill="CCEEFF" w:val="clear"/>
            <w:vAlign w:val="center"/>
          </w:tcPr>
          <w:p>
            <w:pPr>
              <w:pStyle w:val="TableContents"/>
              <w:bidi w:val="0"/>
              <w:spacing w:before="0" w:after="283"/>
              <w:jc w:val="center"/>
              <w:rPr>
                <w:sz w:val="20"/>
              </w:rPr>
            </w:pPr>
            <w:r>
              <w:rPr>
                <w:sz w:val="20"/>
              </w:rPr>
              <w:t>F-2</w:t>
            </w:r>
          </w:p>
        </w:tc>
      </w:tr>
      <w:tr>
        <w:trPr/>
        <w:tc>
          <w:tcPr>
            <w:tcW w:w="9005" w:type="dxa"/>
            <w:tcBorders/>
            <w:shd w:fill="FFFFFF" w:val="clear"/>
            <w:vAlign w:val="center"/>
          </w:tcPr>
          <w:p>
            <w:pPr>
              <w:pStyle w:val="TableContents"/>
              <w:bidi w:val="0"/>
              <w:spacing w:before="0" w:after="283"/>
              <w:jc w:val="both"/>
              <w:rPr/>
            </w:pPr>
            <w:hyperlink w:anchor="f_002">
              <w:r>
                <w:rPr>
                  <w:rStyle w:val="InternetLink"/>
                  <w:sz w:val="20"/>
                </w:rPr>
                <w:t>Consolidated Balance Sheets as of December 31, 2024 and 2023</w:t>
              </w:r>
            </w:hyperlink>
          </w:p>
        </w:tc>
        <w:tc>
          <w:tcPr>
            <w:tcW w:w="455" w:type="dxa"/>
            <w:tcBorders/>
            <w:shd w:fill="FFFFFF" w:val="clear"/>
            <w:vAlign w:val="center"/>
          </w:tcPr>
          <w:p>
            <w:pPr>
              <w:pStyle w:val="TableContents"/>
              <w:bidi w:val="0"/>
              <w:spacing w:before="0" w:after="283"/>
              <w:jc w:val="center"/>
              <w:rPr>
                <w:sz w:val="20"/>
              </w:rPr>
            </w:pPr>
            <w:r>
              <w:rPr>
                <w:sz w:val="20"/>
              </w:rPr>
              <w:t>F-3</w:t>
            </w:r>
          </w:p>
        </w:tc>
      </w:tr>
      <w:tr>
        <w:trPr/>
        <w:tc>
          <w:tcPr>
            <w:tcW w:w="9005" w:type="dxa"/>
            <w:tcBorders/>
            <w:shd w:fill="CCEEFF" w:val="clear"/>
            <w:vAlign w:val="center"/>
          </w:tcPr>
          <w:p>
            <w:pPr>
              <w:pStyle w:val="TableContents"/>
              <w:bidi w:val="0"/>
              <w:spacing w:before="0" w:after="283"/>
              <w:jc w:val="both"/>
              <w:rPr/>
            </w:pPr>
            <w:hyperlink w:anchor="f_003">
              <w:r>
                <w:rPr>
                  <w:rStyle w:val="InternetLink"/>
                  <w:sz w:val="20"/>
                </w:rPr>
                <w:t>Consolidated Statements of Operations for the years ended December 31, 2024 and 2023</w:t>
              </w:r>
            </w:hyperlink>
          </w:p>
        </w:tc>
        <w:tc>
          <w:tcPr>
            <w:tcW w:w="455" w:type="dxa"/>
            <w:tcBorders/>
            <w:shd w:fill="CCEEFF" w:val="clear"/>
            <w:vAlign w:val="center"/>
          </w:tcPr>
          <w:p>
            <w:pPr>
              <w:pStyle w:val="TableContents"/>
              <w:bidi w:val="0"/>
              <w:spacing w:before="0" w:after="283"/>
              <w:jc w:val="center"/>
              <w:rPr>
                <w:sz w:val="20"/>
              </w:rPr>
            </w:pPr>
            <w:r>
              <w:rPr>
                <w:sz w:val="20"/>
              </w:rPr>
              <w:t>F-4</w:t>
            </w:r>
          </w:p>
        </w:tc>
      </w:tr>
      <w:tr>
        <w:trPr/>
        <w:tc>
          <w:tcPr>
            <w:tcW w:w="9005" w:type="dxa"/>
            <w:tcBorders/>
            <w:shd w:fill="FFFFFF" w:val="clear"/>
            <w:vAlign w:val="center"/>
          </w:tcPr>
          <w:p>
            <w:pPr>
              <w:pStyle w:val="TableContents"/>
              <w:bidi w:val="0"/>
              <w:spacing w:before="0" w:after="283"/>
              <w:jc w:val="both"/>
              <w:rPr/>
            </w:pPr>
            <w:hyperlink w:anchor="f_004">
              <w:r>
                <w:rPr>
                  <w:rStyle w:val="InternetLink"/>
                  <w:sz w:val="20"/>
                </w:rPr>
                <w:t>Consolidated Statements of Changes in Stockholders’ Deficit for the years ended December 31, 2024 and 2023</w:t>
              </w:r>
            </w:hyperlink>
          </w:p>
        </w:tc>
        <w:tc>
          <w:tcPr>
            <w:tcW w:w="455" w:type="dxa"/>
            <w:tcBorders/>
            <w:shd w:fill="FFFFFF" w:val="clear"/>
            <w:vAlign w:val="center"/>
          </w:tcPr>
          <w:p>
            <w:pPr>
              <w:pStyle w:val="TableContents"/>
              <w:bidi w:val="0"/>
              <w:spacing w:before="0" w:after="283"/>
              <w:jc w:val="center"/>
              <w:rPr>
                <w:sz w:val="20"/>
              </w:rPr>
            </w:pPr>
            <w:r>
              <w:rPr>
                <w:sz w:val="20"/>
              </w:rPr>
              <w:t>F-5</w:t>
            </w:r>
          </w:p>
        </w:tc>
      </w:tr>
      <w:tr>
        <w:trPr/>
        <w:tc>
          <w:tcPr>
            <w:tcW w:w="9005" w:type="dxa"/>
            <w:tcBorders/>
            <w:shd w:fill="CCEEFF" w:val="clear"/>
            <w:vAlign w:val="center"/>
          </w:tcPr>
          <w:p>
            <w:pPr>
              <w:pStyle w:val="TableContents"/>
              <w:bidi w:val="0"/>
              <w:spacing w:before="0" w:after="283"/>
              <w:jc w:val="both"/>
              <w:rPr/>
            </w:pPr>
            <w:hyperlink w:anchor="f_005">
              <w:r>
                <w:rPr>
                  <w:rStyle w:val="InternetLink"/>
                  <w:sz w:val="20"/>
                </w:rPr>
                <w:t>Consolidated Statements of Cash Flows for the year ended December 31, 2024 and 2023</w:t>
              </w:r>
            </w:hyperlink>
          </w:p>
        </w:tc>
        <w:tc>
          <w:tcPr>
            <w:tcW w:w="455" w:type="dxa"/>
            <w:tcBorders/>
            <w:shd w:fill="CCEEFF" w:val="clear"/>
            <w:vAlign w:val="center"/>
          </w:tcPr>
          <w:p>
            <w:pPr>
              <w:pStyle w:val="TableContents"/>
              <w:bidi w:val="0"/>
              <w:spacing w:before="0" w:after="283"/>
              <w:jc w:val="center"/>
              <w:rPr>
                <w:sz w:val="20"/>
              </w:rPr>
            </w:pPr>
            <w:r>
              <w:rPr>
                <w:sz w:val="20"/>
              </w:rPr>
              <w:t>F-6</w:t>
            </w:r>
          </w:p>
        </w:tc>
      </w:tr>
      <w:tr>
        <w:trPr/>
        <w:tc>
          <w:tcPr>
            <w:tcW w:w="9005" w:type="dxa"/>
            <w:tcBorders/>
            <w:shd w:fill="FFFFFF" w:val="clear"/>
            <w:vAlign w:val="center"/>
          </w:tcPr>
          <w:p>
            <w:pPr>
              <w:pStyle w:val="TableContents"/>
              <w:bidi w:val="0"/>
              <w:spacing w:before="0" w:after="283"/>
              <w:jc w:val="both"/>
              <w:rPr/>
            </w:pPr>
            <w:hyperlink w:anchor="f_006">
              <w:r>
                <w:rPr>
                  <w:rStyle w:val="InternetLink"/>
                  <w:sz w:val="20"/>
                </w:rPr>
                <w:t>Notes to Consolidated Financial Statements</w:t>
              </w:r>
            </w:hyperlink>
          </w:p>
        </w:tc>
        <w:tc>
          <w:tcPr>
            <w:tcW w:w="455" w:type="dxa"/>
            <w:tcBorders/>
            <w:shd w:fill="FFFFFF" w:val="clear"/>
            <w:vAlign w:val="center"/>
          </w:tcPr>
          <w:p>
            <w:pPr>
              <w:pStyle w:val="TableContents"/>
              <w:bidi w:val="0"/>
              <w:spacing w:before="0" w:after="283"/>
              <w:jc w:val="center"/>
              <w:rPr>
                <w:sz w:val="20"/>
              </w:rPr>
            </w:pPr>
            <w:r>
              <w:rPr>
                <w:sz w:val="20"/>
              </w:rPr>
              <w:t>F-7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6" w:name="f_0011"/>
      <w:bookmarkEnd w:id="66"/>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the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ShoulderUp Technology Acquisition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ShoulderUp Technology Acquisition Corp. (the “Company”) as of December 31, 2024 and 2023, the related consolidated statements of operations, changes in stockholders’ deficit, and cash flows for the years then ended, and the related notes (collectively referred to as the “consolidated financial statements”). In our opinion, the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financial statements, if the Company is unable to raise additional funds to alleviate liquidity needs and complete a business combination, then the Company will cease all operations except for the purpose of liquidating. The liquidity condition and fact that the mandatory liquidation date has passed,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WithumSmith+Brown,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7" w:name="f_0021"/>
      <w:bookmarkEnd w:id="67"/>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50"/>
        <w:gridCol w:w="60"/>
        <w:gridCol w:w="140"/>
        <w:gridCol w:w="1175"/>
        <w:gridCol w:w="95"/>
        <w:gridCol w:w="60"/>
        <w:gridCol w:w="150"/>
        <w:gridCol w:w="1265"/>
        <w:gridCol w:w="110"/>
      </w:tblGrid>
      <w:tr>
        <w:trPr/>
        <w:tc>
          <w:tcPr>
            <w:tcW w:w="7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2023</w:t>
            </w:r>
          </w:p>
        </w:tc>
        <w:tc>
          <w:tcPr>
            <w:tcW w:w="110" w:type="dxa"/>
            <w:tcBorders/>
            <w:vAlign w:val="center"/>
          </w:tcPr>
          <w:p>
            <w:pPr>
              <w:pStyle w:val="TableContents"/>
              <w:bidi w:val="0"/>
              <w:spacing w:before="0" w:after="283"/>
              <w:jc w:val="left"/>
              <w:rPr/>
            </w:pPr>
            <w:r>
              <w:rPr/>
              <w:t> </w:t>
            </w:r>
          </w:p>
        </w:tc>
      </w:tr>
      <w:tr>
        <w:trPr/>
        <w:tc>
          <w:tcPr>
            <w:tcW w:w="7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715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150"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15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432,533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403,456</w:t>
            </w:r>
          </w:p>
        </w:tc>
        <w:tc>
          <w:tcPr>
            <w:tcW w:w="110" w:type="dxa"/>
            <w:tcBorders/>
            <w:shd w:fill="CCEEFF" w:val="clear"/>
            <w:vAlign w:val="center"/>
          </w:tcPr>
          <w:p>
            <w:pPr>
              <w:pStyle w:val="TableContents"/>
              <w:bidi w:val="0"/>
              <w:spacing w:before="0" w:after="283"/>
              <w:jc w:val="left"/>
              <w:rPr/>
            </w:pPr>
            <w:r>
              <w:rPr/>
              <w:t> </w:t>
            </w:r>
          </w:p>
        </w:tc>
      </w:tr>
      <w:tr>
        <w:trPr/>
        <w:tc>
          <w:tcPr>
            <w:tcW w:w="715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432,533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403,456</w:t>
            </w:r>
          </w:p>
        </w:tc>
        <w:tc>
          <w:tcPr>
            <w:tcW w:w="110" w:type="dxa"/>
            <w:tcBorders/>
            <w:shd w:fill="FFFFFF" w:val="clear"/>
            <w:vAlign w:val="center"/>
          </w:tcPr>
          <w:p>
            <w:pPr>
              <w:pStyle w:val="TableContents"/>
              <w:bidi w:val="0"/>
              <w:spacing w:before="0" w:after="283"/>
              <w:jc w:val="left"/>
              <w:rPr/>
            </w:pPr>
            <w:r>
              <w:rPr/>
              <w:t> </w:t>
            </w:r>
          </w:p>
        </w:tc>
      </w:tr>
      <w:tr>
        <w:trPr/>
        <w:tc>
          <w:tcPr>
            <w:tcW w:w="7150" w:type="dxa"/>
            <w:tcBorders/>
            <w:shd w:fill="CCEEFF" w:val="clear"/>
            <w:vAlign w:val="center"/>
          </w:tcPr>
          <w:p>
            <w:pPr>
              <w:pStyle w:val="TableContents"/>
              <w:bidi w:val="0"/>
              <w:spacing w:before="0" w:after="283"/>
              <w:jc w:val="left"/>
              <w:rPr/>
            </w:pPr>
            <w:r>
              <w:rPr/>
              <w:t>Cash held in Trust Account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5,585,436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21,099,267</w:t>
            </w:r>
          </w:p>
        </w:tc>
        <w:tc>
          <w:tcPr>
            <w:tcW w:w="110" w:type="dxa"/>
            <w:tcBorders/>
            <w:shd w:fill="CCEEFF" w:val="clear"/>
            <w:vAlign w:val="center"/>
          </w:tcPr>
          <w:p>
            <w:pPr>
              <w:pStyle w:val="TableContents"/>
              <w:bidi w:val="0"/>
              <w:spacing w:before="0" w:after="283"/>
              <w:jc w:val="left"/>
              <w:rPr/>
            </w:pPr>
            <w:r>
              <w:rPr/>
              <w:t> </w:t>
            </w:r>
          </w:p>
        </w:tc>
      </w:tr>
      <w:tr>
        <w:trPr/>
        <w:tc>
          <w:tcPr>
            <w:tcW w:w="715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6,017,969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6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21,502,723</w:t>
            </w:r>
          </w:p>
        </w:tc>
        <w:tc>
          <w:tcPr>
            <w:tcW w:w="110" w:type="dxa"/>
            <w:tcBorders/>
            <w:shd w:fill="FFFFFF" w:val="clear"/>
            <w:vAlign w:val="center"/>
          </w:tcPr>
          <w:p>
            <w:pPr>
              <w:pStyle w:val="TableContents"/>
              <w:bidi w:val="0"/>
              <w:spacing w:before="0" w:after="283"/>
              <w:jc w:val="left"/>
              <w:rPr/>
            </w:pPr>
            <w:r>
              <w:rPr/>
              <w:t> </w:t>
            </w:r>
          </w:p>
        </w:tc>
      </w:tr>
      <w:tr>
        <w:trPr/>
        <w:tc>
          <w:tcPr>
            <w:tcW w:w="71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50" w:type="dxa"/>
            <w:tcBorders/>
            <w:shd w:fill="FFFFFF" w:val="clear"/>
            <w:vAlign w:val="center"/>
          </w:tcPr>
          <w:p>
            <w:pPr>
              <w:pStyle w:val="TableContents"/>
              <w:bidi w:val="0"/>
              <w:spacing w:before="0" w:after="283"/>
              <w:jc w:val="left"/>
              <w:rPr>
                <w:b/>
              </w:rPr>
            </w:pPr>
            <w:r>
              <w:rPr>
                <w:b/>
              </w:rPr>
              <w:t>Liabilities, Class A Common Stock Subject to Possible Redemption, and 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50"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5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1,426,710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798,071</w:t>
            </w:r>
          </w:p>
        </w:tc>
        <w:tc>
          <w:tcPr>
            <w:tcW w:w="110" w:type="dxa"/>
            <w:tcBorders/>
            <w:shd w:fill="FFFFFF" w:val="clear"/>
            <w:vAlign w:val="center"/>
          </w:tcPr>
          <w:p>
            <w:pPr>
              <w:pStyle w:val="TableContents"/>
              <w:bidi w:val="0"/>
              <w:spacing w:before="0" w:after="283"/>
              <w:jc w:val="left"/>
              <w:rPr/>
            </w:pPr>
            <w:r>
              <w:rPr/>
              <w:t> </w:t>
            </w:r>
          </w:p>
        </w:tc>
      </w:tr>
      <w:tr>
        <w:trPr/>
        <w:tc>
          <w:tcPr>
            <w:tcW w:w="7150" w:type="dxa"/>
            <w:tcBorders/>
            <w:shd w:fill="CCEEFF" w:val="clear"/>
            <w:vAlign w:val="center"/>
          </w:tcPr>
          <w:p>
            <w:pPr>
              <w:pStyle w:val="TableContents"/>
              <w:bidi w:val="0"/>
              <w:spacing w:before="0" w:after="283"/>
              <w:jc w:val="left"/>
              <w:rPr/>
            </w:pPr>
            <w:r>
              <w:rPr/>
              <w:t>Redemptions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11,827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150" w:type="dxa"/>
            <w:tcBorders/>
            <w:shd w:fill="FFFFFF" w:val="clear"/>
            <w:vAlign w:val="center"/>
          </w:tcPr>
          <w:p>
            <w:pPr>
              <w:pStyle w:val="TableContents"/>
              <w:bidi w:val="0"/>
              <w:spacing w:before="0" w:after="283"/>
              <w:jc w:val="left"/>
              <w:rPr/>
            </w:pPr>
            <w:r>
              <w:rPr/>
              <w:t>Franchise tax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63,600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38,800</w:t>
            </w:r>
          </w:p>
        </w:tc>
        <w:tc>
          <w:tcPr>
            <w:tcW w:w="110" w:type="dxa"/>
            <w:tcBorders/>
            <w:shd w:fill="FFFFFF" w:val="clear"/>
            <w:vAlign w:val="center"/>
          </w:tcPr>
          <w:p>
            <w:pPr>
              <w:pStyle w:val="TableContents"/>
              <w:bidi w:val="0"/>
              <w:spacing w:before="0" w:after="283"/>
              <w:jc w:val="left"/>
              <w:rPr/>
            </w:pPr>
            <w:r>
              <w:rPr/>
              <w:t> </w:t>
            </w:r>
          </w:p>
        </w:tc>
      </w:tr>
      <w:tr>
        <w:trPr/>
        <w:tc>
          <w:tcPr>
            <w:tcW w:w="7150" w:type="dxa"/>
            <w:tcBorders/>
            <w:shd w:fill="CCEEFF" w:val="clear"/>
            <w:vAlign w:val="center"/>
          </w:tcPr>
          <w:p>
            <w:pPr>
              <w:pStyle w:val="TableContents"/>
              <w:bidi w:val="0"/>
              <w:spacing w:before="0" w:after="283"/>
              <w:jc w:val="left"/>
              <w:rPr/>
            </w:pPr>
            <w:r>
              <w:rPr/>
              <w:t>Income tax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173,575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301,072</w:t>
            </w:r>
          </w:p>
        </w:tc>
        <w:tc>
          <w:tcPr>
            <w:tcW w:w="110" w:type="dxa"/>
            <w:tcBorders/>
            <w:shd w:fill="CCEEFF" w:val="clear"/>
            <w:vAlign w:val="center"/>
          </w:tcPr>
          <w:p>
            <w:pPr>
              <w:pStyle w:val="TableContents"/>
              <w:bidi w:val="0"/>
              <w:spacing w:before="0" w:after="283"/>
              <w:jc w:val="left"/>
              <w:rPr/>
            </w:pPr>
            <w:r>
              <w:rPr/>
              <w:t> </w:t>
            </w:r>
          </w:p>
        </w:tc>
      </w:tr>
      <w:tr>
        <w:trPr/>
        <w:tc>
          <w:tcPr>
            <w:tcW w:w="7150" w:type="dxa"/>
            <w:tcBorders/>
            <w:shd w:fill="FFFFFF" w:val="clear"/>
            <w:vAlign w:val="center"/>
          </w:tcPr>
          <w:p>
            <w:pPr>
              <w:pStyle w:val="TableContents"/>
              <w:bidi w:val="0"/>
              <w:spacing w:before="0" w:after="283"/>
              <w:jc w:val="left"/>
              <w:rPr/>
            </w:pPr>
            <w:r>
              <w:rPr/>
              <w:t>Excise tax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3,415,525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2,925,014</w:t>
            </w:r>
          </w:p>
        </w:tc>
        <w:tc>
          <w:tcPr>
            <w:tcW w:w="110" w:type="dxa"/>
            <w:tcBorders/>
            <w:shd w:fill="FFFFFF" w:val="clear"/>
            <w:vAlign w:val="center"/>
          </w:tcPr>
          <w:p>
            <w:pPr>
              <w:pStyle w:val="TableContents"/>
              <w:bidi w:val="0"/>
              <w:spacing w:before="0" w:after="283"/>
              <w:jc w:val="left"/>
              <w:rPr/>
            </w:pPr>
            <w:r>
              <w:rPr/>
              <w:t> </w:t>
            </w:r>
          </w:p>
        </w:tc>
      </w:tr>
      <w:tr>
        <w:trPr/>
        <w:tc>
          <w:tcPr>
            <w:tcW w:w="7150" w:type="dxa"/>
            <w:tcBorders/>
            <w:shd w:fill="CCEEFF" w:val="clear"/>
            <w:vAlign w:val="center"/>
          </w:tcPr>
          <w:p>
            <w:pPr>
              <w:pStyle w:val="TableContents"/>
              <w:bidi w:val="0"/>
              <w:spacing w:before="0" w:after="283"/>
              <w:jc w:val="left"/>
              <w:rPr/>
            </w:pPr>
            <w:r>
              <w:rPr/>
              <w:t>Promissory note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150" w:type="dxa"/>
            <w:tcBorders/>
            <w:shd w:fill="FFFFFF" w:val="clear"/>
            <w:vAlign w:val="center"/>
          </w:tcPr>
          <w:p>
            <w:pPr>
              <w:pStyle w:val="TableContents"/>
              <w:bidi w:val="0"/>
              <w:spacing w:before="0" w:after="283"/>
              <w:jc w:val="left"/>
              <w:rPr/>
            </w:pPr>
            <w:r>
              <w:rPr/>
              <w:t>Due to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238,272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pPr>
            <w:r>
              <w:rPr/>
              <w:t>118,272</w:t>
            </w:r>
          </w:p>
        </w:tc>
        <w:tc>
          <w:tcPr>
            <w:tcW w:w="110" w:type="dxa"/>
            <w:tcBorders/>
            <w:shd w:fill="FFFFFF" w:val="clear"/>
            <w:vAlign w:val="center"/>
          </w:tcPr>
          <w:p>
            <w:pPr>
              <w:pStyle w:val="TableContents"/>
              <w:bidi w:val="0"/>
              <w:spacing w:before="0" w:after="283"/>
              <w:jc w:val="left"/>
              <w:rPr/>
            </w:pPr>
            <w:r>
              <w:rPr/>
              <w:t> </w:t>
            </w:r>
          </w:p>
        </w:tc>
      </w:tr>
      <w:tr>
        <w:trPr/>
        <w:tc>
          <w:tcPr>
            <w:tcW w:w="7150"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5,929,509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4,181,229</w:t>
            </w:r>
          </w:p>
        </w:tc>
        <w:tc>
          <w:tcPr>
            <w:tcW w:w="110" w:type="dxa"/>
            <w:tcBorders/>
            <w:shd w:fill="CCEEFF" w:val="clear"/>
            <w:vAlign w:val="center"/>
          </w:tcPr>
          <w:p>
            <w:pPr>
              <w:pStyle w:val="TableContents"/>
              <w:bidi w:val="0"/>
              <w:spacing w:before="0" w:after="283"/>
              <w:jc w:val="left"/>
              <w:rPr/>
            </w:pPr>
            <w:r>
              <w:rPr/>
              <w:t> </w:t>
            </w:r>
          </w:p>
        </w:tc>
      </w:tr>
      <w:tr>
        <w:trPr/>
        <w:tc>
          <w:tcPr>
            <w:tcW w:w="7150" w:type="dxa"/>
            <w:tcBorders/>
            <w:shd w:fill="FFFFFF" w:val="clear"/>
            <w:vAlign w:val="center"/>
          </w:tcPr>
          <w:p>
            <w:pPr>
              <w:pStyle w:val="TableContents"/>
              <w:bidi w:val="0"/>
              <w:spacing w:before="0" w:after="283"/>
              <w:jc w:val="left"/>
              <w:rPr/>
            </w:pPr>
            <w:r>
              <w:rPr/>
              <w:t>Non-redemption agreements 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8,886,828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6,646,080</w:t>
            </w:r>
          </w:p>
        </w:tc>
        <w:tc>
          <w:tcPr>
            <w:tcW w:w="110" w:type="dxa"/>
            <w:tcBorders/>
            <w:shd w:fill="FFFFFF" w:val="clear"/>
            <w:vAlign w:val="center"/>
          </w:tcPr>
          <w:p>
            <w:pPr>
              <w:pStyle w:val="TableContents"/>
              <w:bidi w:val="0"/>
              <w:spacing w:before="0" w:after="283"/>
              <w:jc w:val="left"/>
              <w:rPr/>
            </w:pPr>
            <w:r>
              <w:rPr/>
              <w:t> </w:t>
            </w:r>
          </w:p>
        </w:tc>
      </w:tr>
      <w:tr>
        <w:trPr/>
        <w:tc>
          <w:tcPr>
            <w:tcW w:w="7150" w:type="dxa"/>
            <w:tcBorders/>
            <w:shd w:fill="CCEEFF" w:val="clear"/>
            <w:vAlign w:val="center"/>
          </w:tcPr>
          <w:p>
            <w:pPr>
              <w:pStyle w:val="TableContents"/>
              <w:bidi w:val="0"/>
              <w:spacing w:before="0" w:after="283"/>
              <w:jc w:val="left"/>
              <w:rPr/>
            </w:pPr>
            <w:r>
              <w:rPr/>
              <w:t>Deferred underwriting commissions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11,200,000</w:t>
            </w:r>
          </w:p>
        </w:tc>
        <w:tc>
          <w:tcPr>
            <w:tcW w:w="110" w:type="dxa"/>
            <w:tcBorders/>
            <w:shd w:fill="CCEEFF" w:val="clear"/>
            <w:vAlign w:val="center"/>
          </w:tcPr>
          <w:p>
            <w:pPr>
              <w:pStyle w:val="TableContents"/>
              <w:bidi w:val="0"/>
              <w:spacing w:before="0" w:after="283"/>
              <w:jc w:val="left"/>
              <w:rPr/>
            </w:pPr>
            <w:r>
              <w:rPr/>
              <w:t> </w:t>
            </w:r>
          </w:p>
        </w:tc>
      </w:tr>
      <w:tr>
        <w:trPr/>
        <w:tc>
          <w:tcPr>
            <w:tcW w:w="715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14,816,337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22,027,309</w:t>
            </w:r>
          </w:p>
        </w:tc>
        <w:tc>
          <w:tcPr>
            <w:tcW w:w="110" w:type="dxa"/>
            <w:tcBorders/>
            <w:shd w:fill="FFFFFF" w:val="clear"/>
            <w:vAlign w:val="center"/>
          </w:tcPr>
          <w:p>
            <w:pPr>
              <w:pStyle w:val="TableContents"/>
              <w:bidi w:val="0"/>
              <w:spacing w:before="0" w:after="283"/>
              <w:jc w:val="left"/>
              <w:rPr/>
            </w:pPr>
            <w:r>
              <w:rPr/>
              <w:t> </w:t>
            </w:r>
          </w:p>
        </w:tc>
      </w:tr>
      <w:tr>
        <w:trPr/>
        <w:tc>
          <w:tcPr>
            <w:tcW w:w="71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50" w:type="dxa"/>
            <w:tcBorders/>
            <w:shd w:fill="FFFFFF" w:val="clear"/>
            <w:vAlign w:val="center"/>
          </w:tcPr>
          <w:p>
            <w:pPr>
              <w:pStyle w:val="TableContents"/>
              <w:bidi w:val="0"/>
              <w:spacing w:before="0" w:after="283"/>
              <w:jc w:val="left"/>
              <w:rPr>
                <w:b/>
              </w:rPr>
            </w:pPr>
            <w:r>
              <w:rPr>
                <w:b/>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50" w:type="dxa"/>
            <w:tcBorders/>
            <w:shd w:fill="FFFFFF" w:val="clear"/>
            <w:vAlign w:val="center"/>
          </w:tcPr>
          <w:p>
            <w:pPr>
              <w:pStyle w:val="TableContents"/>
              <w:bidi w:val="0"/>
              <w:spacing w:before="0" w:after="283"/>
              <w:jc w:val="left"/>
              <w:rPr/>
            </w:pPr>
            <w:r>
              <w:rPr/>
              <w:t>Class A common stock subject to possible redemption, $0.0001 par value; 508,829 and 1,984,568 shares issued and outstanding at redemption value of approximately $10.98 and $10.63 per share as of December 31, 2024 and 2023,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5,595,937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21,108,225</w:t>
            </w:r>
          </w:p>
        </w:tc>
        <w:tc>
          <w:tcPr>
            <w:tcW w:w="110" w:type="dxa"/>
            <w:tcBorders/>
            <w:shd w:fill="FFFFFF" w:val="clear"/>
            <w:vAlign w:val="center"/>
          </w:tcPr>
          <w:p>
            <w:pPr>
              <w:pStyle w:val="TableContents"/>
              <w:bidi w:val="0"/>
              <w:spacing w:before="0" w:after="283"/>
              <w:jc w:val="left"/>
              <w:rPr/>
            </w:pPr>
            <w:r>
              <w:rPr/>
              <w:t> </w:t>
            </w:r>
          </w:p>
        </w:tc>
      </w:tr>
      <w:tr>
        <w:trPr/>
        <w:tc>
          <w:tcPr>
            <w:tcW w:w="71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50" w:type="dxa"/>
            <w:tcBorders/>
            <w:shd w:fill="FFFFFF" w:val="clear"/>
            <w:vAlign w:val="center"/>
          </w:tcPr>
          <w:p>
            <w:pPr>
              <w:pStyle w:val="TableContents"/>
              <w:bidi w:val="0"/>
              <w:spacing w:before="0" w:after="283"/>
              <w:jc w:val="left"/>
              <w:rPr>
                <w:b/>
              </w:rPr>
            </w:pPr>
            <w:r>
              <w:rPr>
                <w:b/>
              </w:rPr>
              <w:t>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50" w:type="dxa"/>
            <w:tcBorders/>
            <w:shd w:fill="CCEEFF" w:val="clear"/>
            <w:vAlign w:val="center"/>
          </w:tcPr>
          <w:p>
            <w:pPr>
              <w:pStyle w:val="TableContents"/>
              <w:bidi w:val="0"/>
              <w:spacing w:before="0" w:after="283"/>
              <w:jc w:val="left"/>
              <w:rPr/>
            </w:pPr>
            <w:r>
              <w:rPr/>
              <w:t>Preferred stock, $0.0001 par value; 1,000,000 shares authorized; none issued or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50" w:type="dxa"/>
            <w:tcBorders/>
            <w:shd w:fill="FFFFFF" w:val="clear"/>
            <w:vAlign w:val="center"/>
          </w:tcPr>
          <w:p>
            <w:pPr>
              <w:pStyle w:val="TableContents"/>
              <w:bidi w:val="0"/>
              <w:spacing w:before="0" w:after="283"/>
              <w:jc w:val="left"/>
              <w:rPr/>
            </w:pPr>
            <w:r>
              <w:rPr/>
              <w:t>Class A common stock, $0.0001 par value; 300,000,000 shares authorized; 11,800,000 and 1,350,000 shares issued and outstanding (excluding 508,829 and 1,984,568 shares subject to possible redemption) as of December 31, 2024, and 2023,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135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50" w:type="dxa"/>
            <w:tcBorders/>
            <w:shd w:fill="CCEEFF" w:val="clear"/>
            <w:vAlign w:val="center"/>
          </w:tcPr>
          <w:p>
            <w:pPr>
              <w:pStyle w:val="TableContents"/>
              <w:bidi w:val="0"/>
              <w:spacing w:before="0" w:after="283"/>
              <w:jc w:val="left"/>
              <w:rPr/>
            </w:pPr>
            <w:r>
              <w:rPr/>
              <w:t>Convertible Class B common stock, $0.0001 par value; 20,000,000 shares authorized; none and 10,450,000 shares issued and outstanding as of December 31, 2024, and 2023,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1,045</w:t>
            </w:r>
          </w:p>
        </w:tc>
        <w:tc>
          <w:tcPr>
            <w:tcW w:w="110" w:type="dxa"/>
            <w:tcBorders/>
            <w:shd w:fill="CCEEFF" w:val="clear"/>
            <w:vAlign w:val="center"/>
          </w:tcPr>
          <w:p>
            <w:pPr>
              <w:pStyle w:val="TableContents"/>
              <w:bidi w:val="0"/>
              <w:spacing w:before="0" w:after="283"/>
              <w:jc w:val="left"/>
              <w:rPr/>
            </w:pPr>
            <w:r>
              <w:rPr/>
              <w:t> </w:t>
            </w:r>
          </w:p>
        </w:tc>
      </w:tr>
      <w:tr>
        <w:trPr/>
        <w:tc>
          <w:tcPr>
            <w:tcW w:w="7150" w:type="dxa"/>
            <w:tcBorders/>
            <w:shd w:fill="FFFFFF" w:val="clear"/>
            <w:vAlign w:val="center"/>
          </w:tcPr>
          <w:p>
            <w:pPr>
              <w:pStyle w:val="TableContents"/>
              <w:bidi w:val="0"/>
              <w:spacing w:before="0" w:after="283"/>
              <w:jc w:val="left"/>
              <w:rPr/>
            </w:pPr>
            <w:r>
              <w:rPr/>
              <w:t>Subscription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(600,000</w:t>
            </w:r>
          </w:p>
        </w:tc>
        <w:tc>
          <w:tcPr>
            <w:tcW w:w="110" w:type="dxa"/>
            <w:tcBorders/>
            <w:shd w:fill="FFFFFF" w:val="clear"/>
            <w:vAlign w:val="center"/>
          </w:tcPr>
          <w:p>
            <w:pPr>
              <w:pStyle w:val="TableContents"/>
              <w:bidi w:val="0"/>
              <w:spacing w:before="0" w:after="283"/>
              <w:jc w:val="left"/>
              <w:rPr/>
            </w:pPr>
            <w:r>
              <w:rPr/>
              <w:t>)</w:t>
            </w:r>
          </w:p>
        </w:tc>
      </w:tr>
      <w:tr>
        <w:trPr/>
        <w:tc>
          <w:tcPr>
            <w:tcW w:w="715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(13,795,485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(21,033,991</w:t>
            </w:r>
          </w:p>
        </w:tc>
        <w:tc>
          <w:tcPr>
            <w:tcW w:w="110" w:type="dxa"/>
            <w:tcBorders/>
            <w:shd w:fill="CCEEFF" w:val="clear"/>
            <w:vAlign w:val="center"/>
          </w:tcPr>
          <w:p>
            <w:pPr>
              <w:pStyle w:val="TableContents"/>
              <w:bidi w:val="0"/>
              <w:spacing w:before="0" w:after="283"/>
              <w:jc w:val="left"/>
              <w:rPr/>
            </w:pPr>
            <w:r>
              <w:rPr/>
              <w:t>)</w:t>
            </w:r>
          </w:p>
        </w:tc>
      </w:tr>
      <w:tr>
        <w:trPr/>
        <w:tc>
          <w:tcPr>
            <w:tcW w:w="7150" w:type="dxa"/>
            <w:tcBorders/>
            <w:shd w:fill="FFFFFF" w:val="clear"/>
            <w:vAlign w:val="center"/>
          </w:tcPr>
          <w:p>
            <w:pPr>
              <w:pStyle w:val="TableContents"/>
              <w:bidi w:val="0"/>
              <w:spacing w:before="0" w:after="283"/>
              <w:jc w:val="left"/>
              <w:rPr>
                <w:b/>
              </w:rPr>
            </w:pPr>
            <w:r>
              <w:rPr>
                <w:b/>
              </w:rPr>
              <w:t>Total 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(14,394,305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(21,632,811</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7150" w:type="dxa"/>
            <w:tcBorders/>
            <w:shd w:fill="CCEEFF" w:val="clear"/>
            <w:vAlign w:val="center"/>
          </w:tcPr>
          <w:p>
            <w:pPr>
              <w:pStyle w:val="TableContents"/>
              <w:bidi w:val="0"/>
              <w:spacing w:before="0" w:after="283"/>
              <w:jc w:val="left"/>
              <w:rPr>
                <w:b/>
              </w:rPr>
            </w:pPr>
            <w:r>
              <w:rPr>
                <w:b/>
              </w:rPr>
              <w:t>Total Liabilities, Class A Common Stock Subject to Possible Redemption, and 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6,017,969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6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21,502,723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8" w:name="f_0031"/>
      <w:bookmarkEnd w:id="68"/>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50"/>
        <w:gridCol w:w="60"/>
        <w:gridCol w:w="159"/>
        <w:gridCol w:w="1256"/>
        <w:gridCol w:w="95"/>
        <w:gridCol w:w="60"/>
        <w:gridCol w:w="159"/>
        <w:gridCol w:w="1256"/>
        <w:gridCol w:w="110"/>
      </w:tblGrid>
      <w:tr>
        <w:trPr/>
        <w:tc>
          <w:tcPr>
            <w:tcW w:w="7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Year Ended</w:t>
              <w:br/>
              <w:t>December 31,</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Year Ended</w:t>
              <w:br/>
              <w:t>December 31,</w:t>
              <w:br/>
              <w:t>2023</w:t>
            </w:r>
          </w:p>
        </w:tc>
        <w:tc>
          <w:tcPr>
            <w:tcW w:w="110" w:type="dxa"/>
            <w:tcBorders/>
            <w:vAlign w:val="center"/>
          </w:tcPr>
          <w:p>
            <w:pPr>
              <w:pStyle w:val="TableContents"/>
              <w:bidi w:val="0"/>
              <w:spacing w:before="0" w:after="283"/>
              <w:jc w:val="left"/>
              <w:rPr/>
            </w:pPr>
            <w:r>
              <w:rPr/>
              <w:t> </w:t>
            </w:r>
          </w:p>
        </w:tc>
      </w:tr>
      <w:tr>
        <w:trPr/>
        <w:tc>
          <w:tcPr>
            <w:tcW w:w="7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1,278,781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999,143</w:t>
            </w:r>
          </w:p>
        </w:tc>
        <w:tc>
          <w:tcPr>
            <w:tcW w:w="110" w:type="dxa"/>
            <w:tcBorders/>
            <w:shd w:fill="CCEEFF" w:val="clear"/>
            <w:vAlign w:val="center"/>
          </w:tcPr>
          <w:p>
            <w:pPr>
              <w:pStyle w:val="TableContents"/>
              <w:bidi w:val="0"/>
              <w:spacing w:before="0" w:after="283"/>
              <w:jc w:val="left"/>
              <w:rPr/>
            </w:pPr>
            <w:r>
              <w:rPr/>
              <w:t> </w:t>
            </w:r>
          </w:p>
        </w:tc>
      </w:tr>
      <w:tr>
        <w:trPr/>
        <w:tc>
          <w:tcPr>
            <w:tcW w:w="7050" w:type="dxa"/>
            <w:tcBorders/>
            <w:shd w:fill="FFFFFF" w:val="clear"/>
            <w:vAlign w:val="center"/>
          </w:tcPr>
          <w:p>
            <w:pPr>
              <w:pStyle w:val="TableContents"/>
              <w:bidi w:val="0"/>
              <w:spacing w:before="0" w:after="283"/>
              <w:jc w:val="left"/>
              <w:rPr/>
            </w:pPr>
            <w:r>
              <w:rPr/>
              <w:t>Franchise tax expense</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66,095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200,400</w:t>
            </w:r>
          </w:p>
        </w:tc>
        <w:tc>
          <w:tcPr>
            <w:tcW w:w="110" w:type="dxa"/>
            <w:tcBorders/>
            <w:shd w:fill="FFFFFF" w:val="clear"/>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b/>
              </w:rPr>
            </w:pPr>
            <w:r>
              <w:rPr>
                <w:b/>
              </w:rPr>
              <w:t>(1,344,876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b/>
              </w:rPr>
            </w:pPr>
            <w:r>
              <w:rPr>
                <w:b/>
              </w:rPr>
              <w:t>(1,199,543</w:t>
            </w:r>
          </w:p>
        </w:tc>
        <w:tc>
          <w:tcPr>
            <w:tcW w:w="110" w:type="dxa"/>
            <w:tcBorders/>
            <w:shd w:fill="CCEEFF" w:val="clear"/>
            <w:vAlign w:val="center"/>
          </w:tcPr>
          <w:p>
            <w:pPr>
              <w:pStyle w:val="TableContents"/>
              <w:bidi w:val="0"/>
              <w:spacing w:before="0" w:after="283"/>
              <w:jc w:val="left"/>
              <w:rPr>
                <w:b/>
              </w:rPr>
            </w:pPr>
            <w:r>
              <w:rPr>
                <w:b/>
              </w:rPr>
              <w:t>)</w:t>
            </w:r>
          </w:p>
        </w:tc>
      </w:tr>
      <w:tr>
        <w:trPr/>
        <w:tc>
          <w:tcPr>
            <w:tcW w:w="7050"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pPr>
            <w:r>
              <w:rPr/>
              <w:t>Interest income from operating account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11,574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1,945</w:t>
            </w:r>
          </w:p>
        </w:tc>
        <w:tc>
          <w:tcPr>
            <w:tcW w:w="110" w:type="dxa"/>
            <w:tcBorders/>
            <w:shd w:fill="CCEEFF" w:val="clear"/>
            <w:vAlign w:val="center"/>
          </w:tcPr>
          <w:p>
            <w:pPr>
              <w:pStyle w:val="TableContents"/>
              <w:bidi w:val="0"/>
              <w:spacing w:before="0" w:after="283"/>
              <w:jc w:val="left"/>
              <w:rPr/>
            </w:pPr>
            <w:r>
              <w:rPr/>
              <w:t> </w:t>
            </w:r>
          </w:p>
        </w:tc>
      </w:tr>
      <w:tr>
        <w:trPr/>
        <w:tc>
          <w:tcPr>
            <w:tcW w:w="7050" w:type="dxa"/>
            <w:tcBorders/>
            <w:shd w:fill="FFFFFF" w:val="clear"/>
            <w:vAlign w:val="center"/>
          </w:tcPr>
          <w:p>
            <w:pPr>
              <w:pStyle w:val="TableContents"/>
              <w:bidi w:val="0"/>
              <w:spacing w:before="0" w:after="283"/>
              <w:jc w:val="left"/>
              <w:rPr/>
            </w:pPr>
            <w:r>
              <w:rPr/>
              <w:t>Interest and penalties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(330,967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pPr>
            <w:r>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(928,751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(3,112,640</w:t>
            </w:r>
          </w:p>
        </w:tc>
        <w:tc>
          <w:tcPr>
            <w:tcW w:w="110" w:type="dxa"/>
            <w:tcBorders/>
            <w:shd w:fill="CCEEFF" w:val="clear"/>
            <w:vAlign w:val="center"/>
          </w:tcPr>
          <w:p>
            <w:pPr>
              <w:pStyle w:val="TableContents"/>
              <w:bidi w:val="0"/>
              <w:spacing w:before="0" w:after="283"/>
              <w:jc w:val="left"/>
              <w:rPr/>
            </w:pPr>
            <w:r>
              <w:rPr/>
              <w:t>)</w:t>
            </w:r>
          </w:p>
        </w:tc>
      </w:tr>
      <w:tr>
        <w:trPr/>
        <w:tc>
          <w:tcPr>
            <w:tcW w:w="7050" w:type="dxa"/>
            <w:tcBorders/>
            <w:shd w:fill="FFFFFF" w:val="clear"/>
            <w:vAlign w:val="center"/>
          </w:tcPr>
          <w:p>
            <w:pPr>
              <w:pStyle w:val="TableContents"/>
              <w:bidi w:val="0"/>
              <w:spacing w:before="0" w:after="283"/>
              <w:jc w:val="left"/>
              <w:rPr/>
            </w:pPr>
            <w:r>
              <w:rPr/>
              <w:t>Income from cash held in Trust Account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690,591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5,823,923</w:t>
            </w:r>
          </w:p>
        </w:tc>
        <w:tc>
          <w:tcPr>
            <w:tcW w:w="110" w:type="dxa"/>
            <w:tcBorders/>
            <w:shd w:fill="FFFFFF" w:val="clear"/>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pPr>
            <w:r>
              <w:rPr/>
              <w:t>Total other (expense) income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(557,553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2,713,228</w:t>
            </w:r>
          </w:p>
        </w:tc>
        <w:tc>
          <w:tcPr>
            <w:tcW w:w="110" w:type="dxa"/>
            <w:tcBorders/>
            <w:shd w:fill="CCEEFF" w:val="clear"/>
            <w:vAlign w:val="center"/>
          </w:tcPr>
          <w:p>
            <w:pPr>
              <w:pStyle w:val="TableContents"/>
              <w:bidi w:val="0"/>
              <w:spacing w:before="0" w:after="283"/>
              <w:jc w:val="left"/>
              <w:rPr/>
            </w:pPr>
            <w:r>
              <w:rPr/>
              <w:t> </w:t>
            </w:r>
          </w:p>
        </w:tc>
      </w:tr>
      <w:tr>
        <w:trPr/>
        <w:tc>
          <w:tcPr>
            <w:tcW w:w="7050" w:type="dxa"/>
            <w:tcBorders/>
            <w:shd w:fill="FFFFFF" w:val="clear"/>
            <w:vAlign w:val="center"/>
          </w:tcPr>
          <w:p>
            <w:pPr>
              <w:pStyle w:val="TableContents"/>
              <w:bidi w:val="0"/>
              <w:spacing w:before="0" w:after="283"/>
              <w:jc w:val="left"/>
              <w:rPr/>
            </w:pPr>
            <w:r>
              <w:rPr/>
              <w:t>Net (loss) income before income taxes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(1,902,429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1,513,685</w:t>
            </w:r>
          </w:p>
        </w:tc>
        <w:tc>
          <w:tcPr>
            <w:tcW w:w="110" w:type="dxa"/>
            <w:tcBorders/>
            <w:shd w:fill="FFFFFF" w:val="clear"/>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(133,575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(1,181,348</w:t>
            </w:r>
          </w:p>
        </w:tc>
        <w:tc>
          <w:tcPr>
            <w:tcW w:w="110" w:type="dxa"/>
            <w:tcBorders/>
            <w:shd w:fill="CCEEFF" w:val="clear"/>
            <w:vAlign w:val="center"/>
          </w:tcPr>
          <w:p>
            <w:pPr>
              <w:pStyle w:val="TableContents"/>
              <w:bidi w:val="0"/>
              <w:spacing w:before="0" w:after="283"/>
              <w:jc w:val="left"/>
              <w:rPr/>
            </w:pPr>
            <w:r>
              <w:rPr/>
              <w:t>)</w:t>
            </w:r>
          </w:p>
        </w:tc>
      </w:tr>
      <w:tr>
        <w:trPr/>
        <w:tc>
          <w:tcPr>
            <w:tcW w:w="7050" w:type="dxa"/>
            <w:tcBorders/>
            <w:shd w:fill="FFFFFF" w:val="clear"/>
            <w:vAlign w:val="center"/>
          </w:tcPr>
          <w:p>
            <w:pPr>
              <w:pStyle w:val="TableContents"/>
              <w:bidi w:val="0"/>
              <w:spacing w:before="0" w:after="283"/>
              <w:jc w:val="left"/>
              <w:rPr>
                <w:b/>
              </w:rPr>
            </w:pPr>
            <w:r>
              <w:rPr>
                <w:b/>
              </w:rPr>
              <w:t>Net (loss) income</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5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(2,036,004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5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332,337</w:t>
            </w:r>
          </w:p>
        </w:tc>
        <w:tc>
          <w:tcPr>
            <w:tcW w:w="110" w:type="dxa"/>
            <w:tcBorders/>
            <w:shd w:fill="FFFFFF" w:val="clear"/>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050" w:type="dxa"/>
            <w:tcBorders/>
            <w:shd w:fill="FFFFFF" w:val="clear"/>
            <w:vAlign w:val="center"/>
          </w:tcPr>
          <w:p>
            <w:pPr>
              <w:pStyle w:val="TableContents"/>
              <w:bidi w:val="0"/>
              <w:spacing w:before="0" w:after="283"/>
              <w:jc w:val="left"/>
              <w:rPr>
                <w:b/>
              </w:rPr>
            </w:pPr>
            <w:r>
              <w:rPr>
                <w:b/>
              </w:rPr>
              <w:t>Weighted average shares outstanding of redeemable Class A common stock, basic and diluted</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double" w:sz="10" w:space="0" w:color="000000"/>
            </w:tcBorders>
            <w:shd w:fill="FFFFFF" w:val="clear"/>
            <w:tcMar>
              <w:bottom w:w="28" w:type="dxa"/>
            </w:tcMar>
            <w:vAlign w:val="center"/>
          </w:tcPr>
          <w:p>
            <w:pPr>
              <w:pStyle w:val="TableContents"/>
              <w:bidi w:val="0"/>
              <w:spacing w:before="0" w:after="283"/>
              <w:jc w:val="right"/>
              <w:rPr/>
            </w:pPr>
            <w:r>
              <w:rPr/>
              <w:t>1,243,542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double" w:sz="10" w:space="0" w:color="000000"/>
            </w:tcBorders>
            <w:shd w:fill="FFFFFF" w:val="clear"/>
            <w:tcMar>
              <w:bottom w:w="28" w:type="dxa"/>
            </w:tcMar>
            <w:vAlign w:val="center"/>
          </w:tcPr>
          <w:p>
            <w:pPr>
              <w:pStyle w:val="TableContents"/>
              <w:bidi w:val="0"/>
              <w:spacing w:before="0" w:after="283"/>
              <w:jc w:val="right"/>
              <w:rPr/>
            </w:pPr>
            <w:r>
              <w:rPr/>
              <w:t>13,810,919</w:t>
            </w:r>
          </w:p>
        </w:tc>
        <w:tc>
          <w:tcPr>
            <w:tcW w:w="110" w:type="dxa"/>
            <w:tcBorders/>
            <w:shd w:fill="FFFFFF" w:val="clear"/>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b/>
              </w:rPr>
            </w:pPr>
            <w:r>
              <w:rPr>
                <w:b/>
              </w:rPr>
              <w:t>Basic and diluted net (loss) income per share, redeemable Class A common stock</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(0.16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0.01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050" w:type="dxa"/>
            <w:tcBorders/>
            <w:shd w:fill="FFFFFF" w:val="clear"/>
            <w:vAlign w:val="center"/>
          </w:tcPr>
          <w:p>
            <w:pPr>
              <w:pStyle w:val="TableContents"/>
              <w:bidi w:val="0"/>
              <w:spacing w:before="0" w:after="283"/>
              <w:jc w:val="left"/>
              <w:rPr>
                <w:b/>
              </w:rPr>
            </w:pPr>
            <w:r>
              <w:rPr>
                <w:b/>
              </w:rPr>
              <w:t>Weighted average shares outstanding of non-redeemable Class A and Class B common stock, basic and diluted</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double" w:sz="10" w:space="0" w:color="000000"/>
            </w:tcBorders>
            <w:shd w:fill="FFFFFF" w:val="clear"/>
            <w:tcMar>
              <w:bottom w:w="28" w:type="dxa"/>
            </w:tcMar>
            <w:vAlign w:val="center"/>
          </w:tcPr>
          <w:p>
            <w:pPr>
              <w:pStyle w:val="TableContents"/>
              <w:bidi w:val="0"/>
              <w:spacing w:before="0" w:after="283"/>
              <w:jc w:val="right"/>
              <w:rPr/>
            </w:pPr>
            <w:r>
              <w:rPr/>
              <w:t>11,800,000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double" w:sz="10" w:space="0" w:color="000000"/>
            </w:tcBorders>
            <w:shd w:fill="FFFFFF" w:val="clear"/>
            <w:tcMar>
              <w:bottom w:w="28" w:type="dxa"/>
            </w:tcMar>
            <w:vAlign w:val="center"/>
          </w:tcPr>
          <w:p>
            <w:pPr>
              <w:pStyle w:val="TableContents"/>
              <w:bidi w:val="0"/>
              <w:spacing w:before="0" w:after="283"/>
              <w:jc w:val="right"/>
              <w:rPr/>
            </w:pPr>
            <w:r>
              <w:rPr/>
              <w:t>10,450,000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050" w:type="dxa"/>
            <w:tcBorders/>
            <w:shd w:fill="CCEEFF" w:val="clear"/>
            <w:vAlign w:val="center"/>
          </w:tcPr>
          <w:p>
            <w:pPr>
              <w:pStyle w:val="TableContents"/>
              <w:bidi w:val="0"/>
              <w:spacing w:before="0" w:after="283"/>
              <w:jc w:val="left"/>
              <w:rPr>
                <w:b/>
              </w:rPr>
            </w:pPr>
            <w:r>
              <w:rPr>
                <w:b/>
              </w:rPr>
              <w:t>Basic and diluted net (loss) income per share, non-redeemable Class A and Class B common stock</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(0.16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0.01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9" w:name="f_0041"/>
      <w:bookmarkEnd w:id="69"/>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AND 2023</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76"/>
        <w:gridCol w:w="60"/>
        <w:gridCol w:w="60"/>
        <w:gridCol w:w="830"/>
        <w:gridCol w:w="60"/>
        <w:gridCol w:w="60"/>
        <w:gridCol w:w="124"/>
        <w:gridCol w:w="481"/>
        <w:gridCol w:w="60"/>
        <w:gridCol w:w="60"/>
        <w:gridCol w:w="60"/>
        <w:gridCol w:w="890"/>
        <w:gridCol w:w="80"/>
        <w:gridCol w:w="60"/>
        <w:gridCol w:w="111"/>
        <w:gridCol w:w="494"/>
        <w:gridCol w:w="80"/>
        <w:gridCol w:w="60"/>
        <w:gridCol w:w="130"/>
        <w:gridCol w:w="790"/>
        <w:gridCol w:w="80"/>
        <w:gridCol w:w="60"/>
        <w:gridCol w:w="110"/>
        <w:gridCol w:w="890"/>
        <w:gridCol w:w="80"/>
        <w:gridCol w:w="60"/>
        <w:gridCol w:w="110"/>
        <w:gridCol w:w="893"/>
        <w:gridCol w:w="96"/>
      </w:tblGrid>
      <w:tr>
        <w:trPr/>
        <w:tc>
          <w:tcPr>
            <w:tcW w:w="32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430" w:type="dxa"/>
            <w:gridSpan w:val="14"/>
            <w:tcBorders>
              <w:bottom w:val="single" w:sz="12" w:space="0" w:color="000000"/>
            </w:tcBorders>
            <w:tcMar>
              <w:bottom w:w="28" w:type="dxa"/>
            </w:tcMar>
            <w:vAlign w:val="center"/>
          </w:tcPr>
          <w:p>
            <w:pPr>
              <w:pStyle w:val="TableContents"/>
              <w:bidi w:val="0"/>
              <w:spacing w:before="0" w:after="283"/>
              <w:jc w:val="center"/>
              <w:rPr>
                <w:b/>
                <w:sz w:val="16"/>
              </w:rPr>
            </w:pPr>
            <w:r>
              <w:rPr>
                <w:b/>
                <w:sz w:val="16"/>
              </w:rPr>
              <w:t>Common Stock</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3" w:type="dxa"/>
            <w:gridSpan w:val="2"/>
            <w:tcBorders/>
            <w:vAlign w:val="center"/>
          </w:tcPr>
          <w:p>
            <w:pPr>
              <w:pStyle w:val="TableContents"/>
              <w:bidi w:val="0"/>
              <w:spacing w:before="0" w:after="283"/>
              <w:jc w:val="center"/>
              <w:rPr>
                <w:b/>
                <w:sz w:val="16"/>
              </w:rPr>
            </w:pPr>
            <w:r>
              <w:rPr>
                <w:b/>
                <w:sz w:val="16"/>
              </w:rPr>
              <w:t>Total</w:t>
            </w:r>
          </w:p>
        </w:tc>
        <w:tc>
          <w:tcPr>
            <w:tcW w:w="96" w:type="dxa"/>
            <w:tcBorders/>
            <w:vAlign w:val="center"/>
          </w:tcPr>
          <w:p>
            <w:pPr>
              <w:pStyle w:val="TableContents"/>
              <w:bidi w:val="0"/>
              <w:spacing w:before="0" w:after="283"/>
              <w:jc w:val="center"/>
              <w:rPr/>
            </w:pPr>
            <w:r>
              <w:rPr/>
              <w:t> </w:t>
            </w:r>
          </w:p>
        </w:tc>
      </w:tr>
      <w:tr>
        <w:trPr/>
        <w:tc>
          <w:tcPr>
            <w:tcW w:w="32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Class 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9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Convertible Class 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b/>
                <w:sz w:val="16"/>
              </w:rPr>
            </w:pPr>
            <w:r>
              <w:rPr>
                <w:b/>
                <w:sz w:val="16"/>
              </w:rPr>
              <w:t>Subscription</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0" w:type="dxa"/>
            <w:gridSpan w:val="2"/>
            <w:tcBorders/>
            <w:vAlign w:val="center"/>
          </w:tcPr>
          <w:p>
            <w:pPr>
              <w:pStyle w:val="TableContents"/>
              <w:bidi w:val="0"/>
              <w:spacing w:before="0" w:after="283"/>
              <w:jc w:val="center"/>
              <w:rPr>
                <w:b/>
                <w:sz w:val="16"/>
              </w:rPr>
            </w:pPr>
            <w:r>
              <w:rPr>
                <w:b/>
                <w:sz w:val="16"/>
              </w:rPr>
              <w:t>Accumulated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3" w:type="dxa"/>
            <w:gridSpan w:val="2"/>
            <w:tcBorders/>
            <w:vAlign w:val="center"/>
          </w:tcPr>
          <w:p>
            <w:pPr>
              <w:pStyle w:val="TableContents"/>
              <w:bidi w:val="0"/>
              <w:spacing w:before="0" w:after="283"/>
              <w:jc w:val="center"/>
              <w:rPr>
                <w:b/>
                <w:sz w:val="16"/>
              </w:rPr>
            </w:pPr>
            <w:r>
              <w:rPr>
                <w:b/>
                <w:sz w:val="16"/>
              </w:rPr>
              <w:t>Stockholders’</w:t>
            </w:r>
          </w:p>
        </w:tc>
        <w:tc>
          <w:tcPr>
            <w:tcW w:w="96" w:type="dxa"/>
            <w:tcBorders/>
            <w:vAlign w:val="center"/>
          </w:tcPr>
          <w:p>
            <w:pPr>
              <w:pStyle w:val="TableContents"/>
              <w:bidi w:val="0"/>
              <w:spacing w:before="0" w:after="283"/>
              <w:jc w:val="center"/>
              <w:rPr/>
            </w:pPr>
            <w:r>
              <w:rPr/>
              <w:t> </w:t>
            </w:r>
          </w:p>
        </w:tc>
      </w:tr>
      <w:tr>
        <w:trPr/>
        <w:tc>
          <w:tcPr>
            <w:tcW w:w="32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Receivable</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Deficit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3"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Deficit</w:t>
            </w:r>
          </w:p>
        </w:tc>
        <w:tc>
          <w:tcPr>
            <w:tcW w:w="96" w:type="dxa"/>
            <w:tcBorders/>
            <w:vAlign w:val="center"/>
          </w:tcPr>
          <w:p>
            <w:pPr>
              <w:pStyle w:val="TableContents"/>
              <w:bidi w:val="0"/>
              <w:spacing w:before="0" w:after="283"/>
              <w:ind w:left="0" w:right="0" w:hanging="180"/>
              <w:jc w:val="center"/>
              <w:rPr/>
            </w:pPr>
            <w:r>
              <w:rPr/>
              <w:t> </w:t>
            </w:r>
          </w:p>
        </w:tc>
      </w:tr>
      <w:tr>
        <w:trPr/>
        <w:tc>
          <w:tcPr>
            <w:tcW w:w="3276" w:type="dxa"/>
            <w:tcBorders/>
            <w:shd w:fill="CCEEFF" w:val="clear"/>
            <w:vAlign w:val="center"/>
          </w:tcPr>
          <w:p>
            <w:pPr>
              <w:pStyle w:val="TableContents"/>
              <w:bidi w:val="0"/>
              <w:spacing w:before="0" w:after="283"/>
              <w:jc w:val="left"/>
              <w:rPr>
                <w:b/>
                <w:sz w:val="16"/>
              </w:rPr>
            </w:pPr>
            <w:r>
              <w:rPr>
                <w:b/>
                <w:sz w:val="16"/>
              </w:rPr>
              <w:t>Balance -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sz w:val="16"/>
              </w:rPr>
            </w:pPr>
            <w:r>
              <w:rPr>
                <w:b/>
                <w:sz w:val="16"/>
              </w:rPr>
              <w:t>1,350,000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b/>
                <w:sz w:val="16"/>
              </w:rPr>
            </w:pPr>
            <w:r>
              <w:rPr>
                <w:b/>
                <w:sz w:val="16"/>
              </w:rPr>
              <w:t>$</w:t>
            </w:r>
          </w:p>
        </w:tc>
        <w:tc>
          <w:tcPr>
            <w:tcW w:w="481" w:type="dxa"/>
            <w:tcBorders/>
            <w:shd w:fill="CCEEFF" w:val="clear"/>
            <w:vAlign w:val="center"/>
          </w:tcPr>
          <w:p>
            <w:pPr>
              <w:pStyle w:val="TableContents"/>
              <w:bidi w:val="0"/>
              <w:spacing w:before="0" w:after="283"/>
              <w:jc w:val="right"/>
              <w:rPr>
                <w:b/>
                <w:sz w:val="16"/>
              </w:rPr>
            </w:pPr>
            <w:r>
              <w:rPr>
                <w:b/>
                <w:sz w:val="16"/>
              </w:rPr>
              <w:t>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b/>
                <w:sz w:val="16"/>
              </w:rPr>
            </w:pPr>
            <w:r>
              <w:rPr>
                <w:b/>
                <w:sz w:val="16"/>
              </w:rPr>
              <w:t>10,450,000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b/>
                <w:sz w:val="16"/>
              </w:rPr>
            </w:pPr>
            <w:r>
              <w:rPr>
                <w:b/>
                <w:sz w:val="16"/>
              </w:rPr>
              <w:t>$</w:t>
            </w:r>
          </w:p>
        </w:tc>
        <w:tc>
          <w:tcPr>
            <w:tcW w:w="494" w:type="dxa"/>
            <w:tcBorders/>
            <w:shd w:fill="CCEEFF" w:val="clear"/>
            <w:vAlign w:val="center"/>
          </w:tcPr>
          <w:p>
            <w:pPr>
              <w:pStyle w:val="TableContents"/>
              <w:bidi w:val="0"/>
              <w:spacing w:before="0" w:after="283"/>
              <w:jc w:val="right"/>
              <w:rPr>
                <w:b/>
                <w:sz w:val="16"/>
              </w:rPr>
            </w:pPr>
            <w:r>
              <w:rPr>
                <w:b/>
                <w:sz w:val="16"/>
              </w:rPr>
              <w:t>1,045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b/>
                <w:sz w:val="16"/>
              </w:rPr>
            </w:pPr>
            <w:r>
              <w:rPr>
                <w:b/>
                <w:sz w:val="16"/>
              </w:rPr>
              <w:t>$</w:t>
            </w:r>
          </w:p>
        </w:tc>
        <w:tc>
          <w:tcPr>
            <w:tcW w:w="790" w:type="dxa"/>
            <w:tcBorders/>
            <w:shd w:fill="CCEEFF" w:val="clear"/>
            <w:vAlign w:val="center"/>
          </w:tcPr>
          <w:p>
            <w:pPr>
              <w:pStyle w:val="TableContents"/>
              <w:bidi w:val="0"/>
              <w:spacing w:before="0" w:after="283"/>
              <w:jc w:val="right"/>
              <w:rPr>
                <w:b/>
                <w:sz w:val="16"/>
              </w:rPr>
            </w:pPr>
            <w:r>
              <w:rPr>
                <w:b/>
                <w:sz w:val="16"/>
              </w:rPr>
              <w:t>(600,000</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890" w:type="dxa"/>
            <w:tcBorders/>
            <w:shd w:fill="CCEEFF" w:val="clear"/>
            <w:vAlign w:val="center"/>
          </w:tcPr>
          <w:p>
            <w:pPr>
              <w:pStyle w:val="TableContents"/>
              <w:bidi w:val="0"/>
              <w:spacing w:before="0" w:after="283"/>
              <w:jc w:val="right"/>
              <w:rPr>
                <w:b/>
                <w:sz w:val="16"/>
              </w:rPr>
            </w:pPr>
            <w:r>
              <w:rPr>
                <w:b/>
                <w:sz w:val="16"/>
              </w:rPr>
              <w:t>(10,428,727</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893" w:type="dxa"/>
            <w:tcBorders/>
            <w:shd w:fill="CCEEFF" w:val="clear"/>
            <w:vAlign w:val="center"/>
          </w:tcPr>
          <w:p>
            <w:pPr>
              <w:pStyle w:val="TableContents"/>
              <w:bidi w:val="0"/>
              <w:spacing w:before="0" w:after="283"/>
              <w:jc w:val="right"/>
              <w:rPr>
                <w:b/>
                <w:sz w:val="16"/>
              </w:rPr>
            </w:pPr>
            <w:r>
              <w:rPr>
                <w:b/>
                <w:sz w:val="16"/>
              </w:rPr>
              <w:t>(11,027,547</w:t>
            </w:r>
          </w:p>
        </w:tc>
        <w:tc>
          <w:tcPr>
            <w:tcW w:w="96" w:type="dxa"/>
            <w:tcBorders/>
            <w:shd w:fill="CCEEFF" w:val="clear"/>
            <w:vAlign w:val="center"/>
          </w:tcPr>
          <w:p>
            <w:pPr>
              <w:pStyle w:val="TableContents"/>
              <w:bidi w:val="0"/>
              <w:spacing w:before="0" w:after="283"/>
              <w:ind w:left="0" w:right="0" w:hanging="180"/>
              <w:jc w:val="left"/>
              <w:rPr>
                <w:b/>
                <w:sz w:val="16"/>
              </w:rPr>
            </w:pPr>
            <w:r>
              <w:rPr>
                <w:b/>
                <w:sz w:val="16"/>
              </w:rPr>
              <w:t>)</w:t>
            </w:r>
          </w:p>
        </w:tc>
      </w:tr>
      <w:tr>
        <w:trPr/>
        <w:tc>
          <w:tcPr>
            <w:tcW w:w="3276" w:type="dxa"/>
            <w:tcBorders/>
            <w:shd w:fill="FFFFFF" w:val="clear"/>
            <w:vAlign w:val="center"/>
          </w:tcPr>
          <w:p>
            <w:pPr>
              <w:pStyle w:val="TableContents"/>
              <w:bidi w:val="0"/>
              <w:spacing w:before="0" w:after="283"/>
              <w:jc w:val="left"/>
              <w:rPr>
                <w:sz w:val="16"/>
              </w:rPr>
            </w:pPr>
            <w:r>
              <w:rPr>
                <w:sz w:val="16"/>
              </w:rPr>
              <w:t>Increase in redemption value of Class A common stock subject to possible redemption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(4,479,147</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sz w:val="16"/>
              </w:rPr>
            </w:pPr>
            <w:r>
              <w:rPr>
                <w:sz w:val="16"/>
              </w:rPr>
              <w:t>(4,479,147</w:t>
            </w:r>
          </w:p>
        </w:tc>
        <w:tc>
          <w:tcPr>
            <w:tcW w:w="96"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3276" w:type="dxa"/>
            <w:tcBorders/>
            <w:shd w:fill="CCEEFF" w:val="clear"/>
            <w:vAlign w:val="center"/>
          </w:tcPr>
          <w:p>
            <w:pPr>
              <w:pStyle w:val="TableContents"/>
              <w:bidi w:val="0"/>
              <w:spacing w:before="0" w:after="283"/>
              <w:jc w:val="left"/>
              <w:rPr>
                <w:sz w:val="16"/>
              </w:rPr>
            </w:pPr>
            <w:r>
              <w:rPr>
                <w:sz w:val="16"/>
              </w:rPr>
              <w:t>Excise tax liability on share redemptions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(2,925,014</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sz w:val="16"/>
              </w:rPr>
            </w:pPr>
            <w:r>
              <w:rPr>
                <w:sz w:val="16"/>
              </w:rPr>
              <w:t>(2,925,014</w:t>
            </w:r>
          </w:p>
        </w:tc>
        <w:tc>
          <w:tcPr>
            <w:tcW w:w="96"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3276" w:type="dxa"/>
            <w:tcBorders/>
            <w:shd w:fill="FFFFFF" w:val="clear"/>
            <w:vAlign w:val="center"/>
          </w:tcPr>
          <w:p>
            <w:pPr>
              <w:pStyle w:val="TableContents"/>
              <w:bidi w:val="0"/>
              <w:spacing w:before="0" w:after="283"/>
              <w:jc w:val="left"/>
              <w:rPr>
                <w:sz w:val="16"/>
              </w:rPr>
            </w:pPr>
            <w:r>
              <w:rPr>
                <w:sz w:val="16"/>
              </w:rPr>
              <w:t>Fair value of non-redemption agreements liability at issuance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(3,533,440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sz w:val="16"/>
              </w:rPr>
            </w:pPr>
            <w:r>
              <w:rPr>
                <w:sz w:val="16"/>
              </w:rPr>
              <w:t>(3,533,440</w:t>
            </w:r>
          </w:p>
        </w:tc>
        <w:tc>
          <w:tcPr>
            <w:tcW w:w="96"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3276" w:type="dxa"/>
            <w:tcBorders/>
            <w:shd w:fill="CCEEFF" w:val="clear"/>
            <w:vAlign w:val="center"/>
          </w:tcPr>
          <w:p>
            <w:pPr>
              <w:pStyle w:val="TableContents"/>
              <w:bidi w:val="0"/>
              <w:spacing w:before="0" w:after="283"/>
              <w:jc w:val="left"/>
              <w:rPr>
                <w:sz w:val="16"/>
              </w:rPr>
            </w:pPr>
            <w:r>
              <w:rPr>
                <w:sz w:val="16"/>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332,337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332,337</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3276" w:type="dxa"/>
            <w:tcBorders/>
            <w:shd w:fill="FFFFFF" w:val="clear"/>
            <w:vAlign w:val="center"/>
          </w:tcPr>
          <w:p>
            <w:pPr>
              <w:pStyle w:val="TableContents"/>
              <w:bidi w:val="0"/>
              <w:spacing w:before="0" w:after="283"/>
              <w:jc w:val="left"/>
              <w:rPr>
                <w:b/>
                <w:sz w:val="16"/>
              </w:rPr>
            </w:pPr>
            <w:r>
              <w:rPr>
                <w:b/>
                <w:sz w:val="16"/>
              </w:rPr>
              <w:t>Balance -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b/>
                <w:sz w:val="16"/>
              </w:rPr>
            </w:pPr>
            <w:r>
              <w:rPr>
                <w:b/>
                <w:sz w:val="16"/>
              </w:rPr>
              <w:t>1,350,000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b/>
                <w:sz w:val="16"/>
              </w:rPr>
            </w:pPr>
            <w:r>
              <w:rPr>
                <w:b/>
                <w:sz w:val="16"/>
              </w:rPr>
              <w:t>$</w:t>
            </w:r>
          </w:p>
        </w:tc>
        <w:tc>
          <w:tcPr>
            <w:tcW w:w="481" w:type="dxa"/>
            <w:tcBorders/>
            <w:shd w:fill="FFFFFF" w:val="clear"/>
            <w:vAlign w:val="center"/>
          </w:tcPr>
          <w:p>
            <w:pPr>
              <w:pStyle w:val="TableContents"/>
              <w:bidi w:val="0"/>
              <w:spacing w:before="0" w:after="283"/>
              <w:jc w:val="right"/>
              <w:rPr>
                <w:b/>
                <w:sz w:val="16"/>
              </w:rPr>
            </w:pPr>
            <w:r>
              <w:rPr>
                <w:b/>
                <w:sz w:val="16"/>
              </w:rPr>
              <w:t>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b/>
                <w:sz w:val="16"/>
              </w:rPr>
            </w:pPr>
            <w:r>
              <w:rPr>
                <w:b/>
                <w:sz w:val="16"/>
              </w:rPr>
              <w:t>10,450,000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b/>
                <w:sz w:val="16"/>
              </w:rPr>
            </w:pPr>
            <w:r>
              <w:rPr>
                <w:b/>
                <w:sz w:val="16"/>
              </w:rPr>
              <w:t>$</w:t>
            </w:r>
          </w:p>
        </w:tc>
        <w:tc>
          <w:tcPr>
            <w:tcW w:w="494" w:type="dxa"/>
            <w:tcBorders/>
            <w:shd w:fill="FFFFFF" w:val="clear"/>
            <w:vAlign w:val="center"/>
          </w:tcPr>
          <w:p>
            <w:pPr>
              <w:pStyle w:val="TableContents"/>
              <w:bidi w:val="0"/>
              <w:spacing w:before="0" w:after="283"/>
              <w:jc w:val="right"/>
              <w:rPr>
                <w:b/>
                <w:sz w:val="16"/>
              </w:rPr>
            </w:pPr>
            <w:r>
              <w:rPr>
                <w:b/>
                <w:sz w:val="16"/>
              </w:rPr>
              <w:t>1,045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b/>
                <w:sz w:val="16"/>
              </w:rPr>
            </w:pPr>
            <w:r>
              <w:rPr>
                <w:b/>
                <w:sz w:val="16"/>
              </w:rPr>
              <w:t>$</w:t>
            </w:r>
          </w:p>
        </w:tc>
        <w:tc>
          <w:tcPr>
            <w:tcW w:w="790" w:type="dxa"/>
            <w:tcBorders/>
            <w:shd w:fill="FFFFFF" w:val="clear"/>
            <w:vAlign w:val="center"/>
          </w:tcPr>
          <w:p>
            <w:pPr>
              <w:pStyle w:val="TableContents"/>
              <w:bidi w:val="0"/>
              <w:spacing w:before="0" w:after="283"/>
              <w:jc w:val="right"/>
              <w:rPr>
                <w:b/>
                <w:sz w:val="16"/>
              </w:rPr>
            </w:pPr>
            <w:r>
              <w:rPr>
                <w:b/>
                <w:sz w:val="16"/>
              </w:rPr>
              <w:t>(600,000</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b/>
                <w:sz w:val="16"/>
              </w:rPr>
            </w:pPr>
            <w:r>
              <w:rPr>
                <w:b/>
                <w:sz w:val="16"/>
              </w:rPr>
              <w:t>$</w:t>
            </w:r>
          </w:p>
        </w:tc>
        <w:tc>
          <w:tcPr>
            <w:tcW w:w="890" w:type="dxa"/>
            <w:tcBorders/>
            <w:shd w:fill="FFFFFF" w:val="clear"/>
            <w:vAlign w:val="center"/>
          </w:tcPr>
          <w:p>
            <w:pPr>
              <w:pStyle w:val="TableContents"/>
              <w:bidi w:val="0"/>
              <w:spacing w:before="0" w:after="283"/>
              <w:jc w:val="right"/>
              <w:rPr>
                <w:b/>
                <w:sz w:val="16"/>
              </w:rPr>
            </w:pPr>
            <w:r>
              <w:rPr>
                <w:b/>
                <w:sz w:val="16"/>
              </w:rPr>
              <w:t>(21,033,991</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b/>
                <w:sz w:val="16"/>
              </w:rPr>
            </w:pPr>
            <w:r>
              <w:rPr>
                <w:b/>
                <w:sz w:val="16"/>
              </w:rPr>
              <w:t>$</w:t>
            </w:r>
          </w:p>
        </w:tc>
        <w:tc>
          <w:tcPr>
            <w:tcW w:w="893" w:type="dxa"/>
            <w:tcBorders/>
            <w:shd w:fill="FFFFFF" w:val="clear"/>
            <w:vAlign w:val="center"/>
          </w:tcPr>
          <w:p>
            <w:pPr>
              <w:pStyle w:val="TableContents"/>
              <w:bidi w:val="0"/>
              <w:spacing w:before="0" w:after="283"/>
              <w:jc w:val="right"/>
              <w:rPr>
                <w:b/>
                <w:sz w:val="16"/>
              </w:rPr>
            </w:pPr>
            <w:r>
              <w:rPr>
                <w:b/>
                <w:sz w:val="16"/>
              </w:rPr>
              <w:t>(21,632,811</w:t>
            </w:r>
          </w:p>
        </w:tc>
        <w:tc>
          <w:tcPr>
            <w:tcW w:w="96" w:type="dxa"/>
            <w:tcBorders/>
            <w:shd w:fill="FFFFFF" w:val="clear"/>
            <w:vAlign w:val="center"/>
          </w:tcPr>
          <w:p>
            <w:pPr>
              <w:pStyle w:val="TableContents"/>
              <w:bidi w:val="0"/>
              <w:spacing w:before="0" w:after="283"/>
              <w:ind w:left="0" w:right="0" w:hanging="180"/>
              <w:jc w:val="left"/>
              <w:rPr>
                <w:b/>
                <w:sz w:val="16"/>
              </w:rPr>
            </w:pPr>
            <w:r>
              <w:rPr>
                <w:b/>
                <w:sz w:val="16"/>
              </w:rPr>
              <w:t>)</w:t>
            </w:r>
          </w:p>
        </w:tc>
      </w:tr>
      <w:tr>
        <w:trPr/>
        <w:tc>
          <w:tcPr>
            <w:tcW w:w="3276" w:type="dxa"/>
            <w:tcBorders/>
            <w:shd w:fill="CCEEFF" w:val="clear"/>
            <w:vAlign w:val="center"/>
          </w:tcPr>
          <w:p>
            <w:pPr>
              <w:pStyle w:val="TableContents"/>
              <w:bidi w:val="0"/>
              <w:spacing w:before="0" w:after="283"/>
              <w:jc w:val="left"/>
              <w:rPr>
                <w:sz w:val="16"/>
              </w:rPr>
            </w:pPr>
            <w:r>
              <w:rPr>
                <w:sz w:val="16"/>
              </w:rPr>
              <w:t>Accretion for Class A ordinary shares to redemption amount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(453,950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sz w:val="16"/>
              </w:rPr>
            </w:pPr>
            <w:r>
              <w:rPr>
                <w:sz w:val="16"/>
              </w:rPr>
              <w:t>(453,950</w:t>
            </w:r>
          </w:p>
        </w:tc>
        <w:tc>
          <w:tcPr>
            <w:tcW w:w="96"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3276" w:type="dxa"/>
            <w:tcBorders/>
            <w:shd w:fill="FFFFFF" w:val="clear"/>
            <w:vAlign w:val="center"/>
          </w:tcPr>
          <w:p>
            <w:pPr>
              <w:pStyle w:val="TableContents"/>
              <w:bidi w:val="0"/>
              <w:spacing w:before="0" w:after="283"/>
              <w:jc w:val="left"/>
              <w:rPr>
                <w:sz w:val="16"/>
              </w:rPr>
            </w:pPr>
            <w:r>
              <w:rPr>
                <w:sz w:val="16"/>
              </w:rPr>
              <w:t>Fair value of non-redemption agreements liability at issuance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(1,311,997</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sz w:val="16"/>
              </w:rPr>
            </w:pPr>
            <w:r>
              <w:rPr>
                <w:sz w:val="16"/>
              </w:rPr>
              <w:t>(1,311,997</w:t>
            </w:r>
          </w:p>
        </w:tc>
        <w:tc>
          <w:tcPr>
            <w:tcW w:w="96"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3276" w:type="dxa"/>
            <w:tcBorders/>
            <w:shd w:fill="CCEEFF" w:val="clear"/>
            <w:vAlign w:val="center"/>
          </w:tcPr>
          <w:p>
            <w:pPr>
              <w:pStyle w:val="TableContents"/>
              <w:bidi w:val="0"/>
              <w:spacing w:before="0" w:after="283"/>
              <w:jc w:val="left"/>
              <w:rPr>
                <w:sz w:val="16"/>
              </w:rPr>
            </w:pPr>
            <w:r>
              <w:rPr>
                <w:sz w:val="16"/>
              </w:rPr>
              <w:t>Excise tax liability on share redemptions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(159,543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sz w:val="16"/>
              </w:rPr>
            </w:pPr>
            <w:r>
              <w:rPr>
                <w:sz w:val="16"/>
              </w:rPr>
              <w:t>(159,543</w:t>
            </w:r>
          </w:p>
        </w:tc>
        <w:tc>
          <w:tcPr>
            <w:tcW w:w="96"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3276" w:type="dxa"/>
            <w:tcBorders/>
            <w:shd w:fill="FFFFFF" w:val="clear"/>
            <w:vAlign w:val="center"/>
          </w:tcPr>
          <w:p>
            <w:pPr>
              <w:pStyle w:val="TableContents"/>
              <w:bidi w:val="0"/>
              <w:spacing w:before="0" w:after="283"/>
              <w:jc w:val="left"/>
              <w:rPr>
                <w:sz w:val="16"/>
              </w:rPr>
            </w:pPr>
            <w:r>
              <w:rPr>
                <w:sz w:val="16"/>
              </w:rPr>
              <w:t>Waiver of deferred underwriting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11,200,000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sz w:val="16"/>
              </w:rPr>
            </w:pPr>
            <w:r>
              <w:rPr>
                <w:sz w:val="16"/>
              </w:rPr>
              <w:t>11,200,000</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3276" w:type="dxa"/>
            <w:tcBorders/>
            <w:shd w:fill="CCEEFF" w:val="clear"/>
            <w:vAlign w:val="center"/>
          </w:tcPr>
          <w:p>
            <w:pPr>
              <w:pStyle w:val="TableContents"/>
              <w:bidi w:val="0"/>
              <w:spacing w:before="0" w:after="283"/>
              <w:jc w:val="left"/>
              <w:rPr>
                <w:sz w:val="16"/>
              </w:rPr>
            </w:pPr>
            <w:r>
              <w:rPr>
                <w:sz w:val="16"/>
              </w:rPr>
              <w:t>Conversion of Class B ordinary shares in Class A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10,450,000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sz w:val="16"/>
              </w:rPr>
            </w:pPr>
            <w:r>
              <w:rPr>
                <w:sz w:val="16"/>
              </w:rPr>
              <w:t>1,045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(10,450,000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sz w:val="16"/>
              </w:rPr>
            </w:pPr>
            <w:r>
              <w:rPr>
                <w:sz w:val="16"/>
              </w:rPr>
              <w:t>(1,045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3276" w:type="dxa"/>
            <w:tcBorders/>
            <w:shd w:fill="FFFFFF" w:val="clear"/>
            <w:vAlign w:val="center"/>
          </w:tcPr>
          <w:p>
            <w:pPr>
              <w:pStyle w:val="TableContents"/>
              <w:bidi w:val="0"/>
              <w:spacing w:before="0" w:after="283"/>
              <w:jc w:val="left"/>
              <w:rPr>
                <w:sz w:val="16"/>
              </w:rPr>
            </w:pPr>
            <w:r>
              <w:rPr>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8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9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(2,036,004</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(2,036,004</w:t>
            </w:r>
          </w:p>
        </w:tc>
        <w:tc>
          <w:tcPr>
            <w:tcW w:w="96"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3276" w:type="dxa"/>
            <w:tcBorders/>
            <w:shd w:fill="CCEEFF" w:val="clear"/>
            <w:vAlign w:val="center"/>
          </w:tcPr>
          <w:p>
            <w:pPr>
              <w:pStyle w:val="TableContents"/>
              <w:bidi w:val="0"/>
              <w:spacing w:before="0" w:after="283"/>
              <w:jc w:val="left"/>
              <w:rPr>
                <w:b/>
                <w:sz w:val="16"/>
              </w:rPr>
            </w:pPr>
            <w:r>
              <w:rPr>
                <w:b/>
                <w:sz w:val="16"/>
              </w:rPr>
              <w:t>Balance -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11,800,000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481"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49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79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(600,000</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(13,795,485</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(14,394,305</w:t>
            </w:r>
          </w:p>
        </w:tc>
        <w:tc>
          <w:tcPr>
            <w:tcW w:w="96" w:type="dxa"/>
            <w:tcBorders/>
            <w:shd w:fill="CCEEFF" w:val="clear"/>
            <w:vAlign w:val="center"/>
          </w:tcPr>
          <w:p>
            <w:pPr>
              <w:pStyle w:val="TableContents"/>
              <w:bidi w:val="0"/>
              <w:spacing w:before="0" w:after="283"/>
              <w:jc w:val="left"/>
              <w:rPr>
                <w:b/>
                <w:sz w:val="16"/>
              </w:rPr>
            </w:pPr>
            <w:r>
              <w:rPr>
                <w:b/>
                <w:sz w:val="16"/>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0" w:name="f_0051"/>
      <w:bookmarkEnd w:id="70"/>
      <w:r>
        <w:rPr>
          <w:rFonts w:ascii="Times New Roman;Times;Serif" w:hAnsi="Times New Roman;Times;Serif"/>
          <w:b/>
          <w:i w:val="false"/>
          <w:caps w:val="false"/>
          <w:smallCaps w:val="false"/>
          <w:sz w:val="20"/>
        </w:rPr>
        <w:t>SHOULDERUP TECHNOLOGY ACQUISITION CORP.</w:t>
        <w:br/>
        <w:t>CONSOLIDATED STATEMENTS OF CASH FLOWS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30"/>
        <w:gridCol w:w="60"/>
        <w:gridCol w:w="150"/>
        <w:gridCol w:w="1265"/>
        <w:gridCol w:w="95"/>
        <w:gridCol w:w="60"/>
        <w:gridCol w:w="140"/>
        <w:gridCol w:w="1295"/>
        <w:gridCol w:w="110"/>
      </w:tblGrid>
      <w:tr>
        <w:trPr/>
        <w:tc>
          <w:tcPr>
            <w:tcW w:w="7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Year Ended</w:t>
              <w:br/>
              <w:t>December 31,</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Year Ended</w:t>
              <w:br/>
              <w:t>December 31,</w:t>
              <w:br/>
              <w:t>2023</w:t>
            </w:r>
          </w:p>
        </w:tc>
        <w:tc>
          <w:tcPr>
            <w:tcW w:w="110" w:type="dxa"/>
            <w:tcBorders/>
            <w:vAlign w:val="center"/>
          </w:tcPr>
          <w:p>
            <w:pPr>
              <w:pStyle w:val="TableContents"/>
              <w:bidi w:val="0"/>
              <w:spacing w:before="0" w:after="283"/>
              <w:jc w:val="left"/>
              <w:rPr/>
            </w:pPr>
            <w:r>
              <w:rPr/>
              <w:t> </w:t>
            </w:r>
          </w:p>
        </w:tc>
      </w:tr>
      <w:tr>
        <w:trPr/>
        <w:tc>
          <w:tcPr>
            <w:tcW w:w="703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030" w:type="dxa"/>
            <w:tcBorders/>
            <w:shd w:fill="CCEEFF" w:val="clear"/>
            <w:vAlign w:val="center"/>
          </w:tcPr>
          <w:p>
            <w:pPr>
              <w:pStyle w:val="TableContents"/>
              <w:bidi w:val="0"/>
              <w:spacing w:before="0" w:after="283"/>
              <w:jc w:val="left"/>
              <w:rPr/>
            </w:pPr>
            <w:r>
              <w:rPr/>
              <w:t>Net (loss) income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(2,036,004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332,337</w:t>
            </w:r>
          </w:p>
        </w:tc>
        <w:tc>
          <w:tcPr>
            <w:tcW w:w="110" w:type="dxa"/>
            <w:tcBorders/>
            <w:shd w:fill="CCEEFF" w:val="clear"/>
            <w:vAlign w:val="center"/>
          </w:tcPr>
          <w:p>
            <w:pPr>
              <w:pStyle w:val="TableContents"/>
              <w:bidi w:val="0"/>
              <w:spacing w:before="0" w:after="283"/>
              <w:jc w:val="left"/>
              <w:rPr/>
            </w:pPr>
            <w:r>
              <w:rPr/>
              <w:t> </w:t>
            </w:r>
          </w:p>
        </w:tc>
      </w:tr>
      <w:tr>
        <w:trPr/>
        <w:tc>
          <w:tcPr>
            <w:tcW w:w="7030" w:type="dxa"/>
            <w:tcBorders/>
            <w:shd w:fill="FFFFFF" w:val="clear"/>
            <w:vAlign w:val="center"/>
          </w:tcPr>
          <w:p>
            <w:pPr>
              <w:pStyle w:val="TableContents"/>
              <w:bidi w:val="0"/>
              <w:spacing w:before="0" w:after="283"/>
              <w:jc w:val="left"/>
              <w:rPr/>
            </w:pPr>
            <w:r>
              <w:rPr/>
              <w:t>Adjustments to reconcile net (loss) income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30" w:type="dxa"/>
            <w:tcBorders/>
            <w:shd w:fill="CCEEFF" w:val="clear"/>
            <w:vAlign w:val="center"/>
          </w:tcPr>
          <w:p>
            <w:pPr>
              <w:pStyle w:val="TableContents"/>
              <w:bidi w:val="0"/>
              <w:spacing w:before="0" w:after="283"/>
              <w:jc w:val="left"/>
              <w:rPr/>
            </w:pPr>
            <w:r>
              <w:rPr/>
              <w:t>Interest and penalties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330,967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30" w:type="dxa"/>
            <w:tcBorders/>
            <w:shd w:fill="FFFFFF" w:val="clear"/>
            <w:vAlign w:val="center"/>
          </w:tcPr>
          <w:p>
            <w:pPr>
              <w:pStyle w:val="TableContents"/>
              <w:bidi w:val="0"/>
              <w:spacing w:before="0" w:after="283"/>
              <w:jc w:val="left"/>
              <w:rPr/>
            </w:pPr>
            <w:r>
              <w:rPr/>
              <w:t>Change in fair value of non-redemption agreements derivative liability</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928,751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3,112,640</w:t>
            </w:r>
          </w:p>
        </w:tc>
        <w:tc>
          <w:tcPr>
            <w:tcW w:w="110" w:type="dxa"/>
            <w:tcBorders/>
            <w:shd w:fill="FFFFFF" w:val="clear"/>
            <w:vAlign w:val="center"/>
          </w:tcPr>
          <w:p>
            <w:pPr>
              <w:pStyle w:val="TableContents"/>
              <w:bidi w:val="0"/>
              <w:spacing w:before="0" w:after="283"/>
              <w:jc w:val="left"/>
              <w:rPr/>
            </w:pPr>
            <w:r>
              <w:rPr/>
              <w:t> </w:t>
            </w:r>
          </w:p>
        </w:tc>
      </w:tr>
      <w:tr>
        <w:trPr/>
        <w:tc>
          <w:tcPr>
            <w:tcW w:w="7030" w:type="dxa"/>
            <w:tcBorders/>
            <w:shd w:fill="CCEEFF" w:val="clear"/>
            <w:vAlign w:val="center"/>
          </w:tcPr>
          <w:p>
            <w:pPr>
              <w:pStyle w:val="TableContents"/>
              <w:bidi w:val="0"/>
              <w:spacing w:before="0" w:after="283"/>
              <w:jc w:val="left"/>
              <w:rPr/>
            </w:pPr>
            <w:r>
              <w:rPr/>
              <w:t>Income from cash held in Trust Account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(690,591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(5,823,923</w:t>
            </w:r>
          </w:p>
        </w:tc>
        <w:tc>
          <w:tcPr>
            <w:tcW w:w="110" w:type="dxa"/>
            <w:tcBorders/>
            <w:shd w:fill="CCEEFF" w:val="clear"/>
            <w:vAlign w:val="center"/>
          </w:tcPr>
          <w:p>
            <w:pPr>
              <w:pStyle w:val="TableContents"/>
              <w:bidi w:val="0"/>
              <w:spacing w:before="0" w:after="283"/>
              <w:jc w:val="left"/>
              <w:rPr/>
            </w:pPr>
            <w:r>
              <w:rPr/>
              <w:t>)</w:t>
            </w:r>
          </w:p>
        </w:tc>
      </w:tr>
      <w:tr>
        <w:trPr/>
        <w:tc>
          <w:tcPr>
            <w:tcW w:w="703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3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244,688</w:t>
            </w:r>
          </w:p>
        </w:tc>
        <w:tc>
          <w:tcPr>
            <w:tcW w:w="110" w:type="dxa"/>
            <w:tcBorders/>
            <w:shd w:fill="CCEEFF" w:val="clear"/>
            <w:vAlign w:val="center"/>
          </w:tcPr>
          <w:p>
            <w:pPr>
              <w:pStyle w:val="TableContents"/>
              <w:bidi w:val="0"/>
              <w:spacing w:before="0" w:after="283"/>
              <w:jc w:val="left"/>
              <w:rPr/>
            </w:pPr>
            <w:r>
              <w:rPr/>
              <w:t> </w:t>
            </w:r>
          </w:p>
        </w:tc>
      </w:tr>
      <w:tr>
        <w:trPr/>
        <w:tc>
          <w:tcPr>
            <w:tcW w:w="703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628,640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246,013</w:t>
            </w:r>
          </w:p>
        </w:tc>
        <w:tc>
          <w:tcPr>
            <w:tcW w:w="110" w:type="dxa"/>
            <w:tcBorders/>
            <w:shd w:fill="FFFFFF" w:val="clear"/>
            <w:vAlign w:val="center"/>
          </w:tcPr>
          <w:p>
            <w:pPr>
              <w:pStyle w:val="TableContents"/>
              <w:bidi w:val="0"/>
              <w:spacing w:before="0" w:after="283"/>
              <w:jc w:val="left"/>
              <w:rPr/>
            </w:pPr>
            <w:r>
              <w:rPr/>
              <w:t> </w:t>
            </w:r>
          </w:p>
        </w:tc>
      </w:tr>
      <w:tr>
        <w:trPr/>
        <w:tc>
          <w:tcPr>
            <w:tcW w:w="7030" w:type="dxa"/>
            <w:tcBorders/>
            <w:shd w:fill="CCEEFF" w:val="clear"/>
            <w:vAlign w:val="center"/>
          </w:tcPr>
          <w:p>
            <w:pPr>
              <w:pStyle w:val="TableContents"/>
              <w:bidi w:val="0"/>
              <w:spacing w:before="0" w:after="283"/>
              <w:jc w:val="left"/>
              <w:rPr/>
            </w:pPr>
            <w:r>
              <w:rPr/>
              <w:t>Franchise tax payable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24,800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(62,082</w:t>
            </w:r>
          </w:p>
        </w:tc>
        <w:tc>
          <w:tcPr>
            <w:tcW w:w="110" w:type="dxa"/>
            <w:tcBorders/>
            <w:shd w:fill="CCEEFF" w:val="clear"/>
            <w:vAlign w:val="center"/>
          </w:tcPr>
          <w:p>
            <w:pPr>
              <w:pStyle w:val="TableContents"/>
              <w:bidi w:val="0"/>
              <w:spacing w:before="0" w:after="283"/>
              <w:jc w:val="left"/>
              <w:rPr/>
            </w:pPr>
            <w:r>
              <w:rPr/>
              <w:t>)</w:t>
            </w:r>
          </w:p>
        </w:tc>
      </w:tr>
      <w:tr>
        <w:trPr/>
        <w:tc>
          <w:tcPr>
            <w:tcW w:w="7030" w:type="dxa"/>
            <w:tcBorders/>
            <w:shd w:fill="FFFFFF" w:val="clear"/>
            <w:vAlign w:val="center"/>
          </w:tcPr>
          <w:p>
            <w:pPr>
              <w:pStyle w:val="TableContents"/>
              <w:bidi w:val="0"/>
              <w:spacing w:before="0" w:after="283"/>
              <w:jc w:val="left"/>
              <w:rPr/>
            </w:pPr>
            <w:r>
              <w:rPr/>
              <w:t>Income tax payable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(127,497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(113,652</w:t>
            </w:r>
          </w:p>
        </w:tc>
        <w:tc>
          <w:tcPr>
            <w:tcW w:w="110" w:type="dxa"/>
            <w:tcBorders/>
            <w:shd w:fill="FFFFFF" w:val="clear"/>
            <w:vAlign w:val="center"/>
          </w:tcPr>
          <w:p>
            <w:pPr>
              <w:pStyle w:val="TableContents"/>
              <w:bidi w:val="0"/>
              <w:spacing w:before="0" w:after="283"/>
              <w:jc w:val="left"/>
              <w:rPr/>
            </w:pPr>
            <w:r>
              <w:rPr/>
              <w:t>)</w:t>
            </w:r>
          </w:p>
        </w:tc>
      </w:tr>
      <w:tr>
        <w:trPr/>
        <w:tc>
          <w:tcPr>
            <w:tcW w:w="7030"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120,000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90,229</w:t>
            </w:r>
          </w:p>
        </w:tc>
        <w:tc>
          <w:tcPr>
            <w:tcW w:w="110" w:type="dxa"/>
            <w:tcBorders/>
            <w:shd w:fill="CCEEFF" w:val="clear"/>
            <w:vAlign w:val="center"/>
          </w:tcPr>
          <w:p>
            <w:pPr>
              <w:pStyle w:val="TableContents"/>
              <w:bidi w:val="0"/>
              <w:spacing w:before="0" w:after="283"/>
              <w:jc w:val="left"/>
              <w:rPr/>
            </w:pPr>
            <w:r>
              <w:rPr/>
              <w:t> </w:t>
            </w:r>
          </w:p>
        </w:tc>
      </w:tr>
      <w:tr>
        <w:trPr/>
        <w:tc>
          <w:tcPr>
            <w:tcW w:w="7030"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(820,934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(1,973,750</w:t>
            </w:r>
          </w:p>
        </w:tc>
        <w:tc>
          <w:tcPr>
            <w:tcW w:w="110" w:type="dxa"/>
            <w:tcBorders/>
            <w:shd w:fill="FFFFFF" w:val="clear"/>
            <w:vAlign w:val="center"/>
          </w:tcPr>
          <w:p>
            <w:pPr>
              <w:pStyle w:val="TableContents"/>
              <w:bidi w:val="0"/>
              <w:spacing w:before="0" w:after="283"/>
              <w:jc w:val="left"/>
              <w:rPr>
                <w:b/>
              </w:rPr>
            </w:pPr>
            <w:r>
              <w:rPr>
                <w:b/>
              </w:rPr>
              <w:t>)</w:t>
            </w:r>
          </w:p>
        </w:tc>
      </w:tr>
      <w:tr>
        <w:trPr/>
        <w:tc>
          <w:tcPr>
            <w:tcW w:w="70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3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30" w:type="dxa"/>
            <w:tcBorders/>
            <w:shd w:fill="CCEEFF" w:val="clear"/>
            <w:vAlign w:val="center"/>
          </w:tcPr>
          <w:p>
            <w:pPr>
              <w:pStyle w:val="TableContents"/>
              <w:bidi w:val="0"/>
              <w:spacing w:before="0" w:after="283"/>
              <w:jc w:val="left"/>
              <w:rPr/>
            </w:pPr>
            <w:r>
              <w:rPr/>
              <w:t>Investment income released from Trust Account to pay for taxes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250,011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1,967,481</w:t>
            </w:r>
          </w:p>
        </w:tc>
        <w:tc>
          <w:tcPr>
            <w:tcW w:w="110" w:type="dxa"/>
            <w:tcBorders/>
            <w:shd w:fill="CCEEFF" w:val="clear"/>
            <w:vAlign w:val="center"/>
          </w:tcPr>
          <w:p>
            <w:pPr>
              <w:pStyle w:val="TableContents"/>
              <w:bidi w:val="0"/>
              <w:spacing w:before="0" w:after="283"/>
              <w:jc w:val="left"/>
              <w:rPr/>
            </w:pPr>
            <w:r>
              <w:rPr/>
              <w:t> </w:t>
            </w:r>
          </w:p>
        </w:tc>
      </w:tr>
      <w:tr>
        <w:trPr/>
        <w:tc>
          <w:tcPr>
            <w:tcW w:w="7030" w:type="dxa"/>
            <w:tcBorders/>
            <w:shd w:fill="FFFFFF" w:val="clear"/>
            <w:vAlign w:val="center"/>
          </w:tcPr>
          <w:p>
            <w:pPr>
              <w:pStyle w:val="TableContents"/>
              <w:bidi w:val="0"/>
              <w:spacing w:before="0" w:after="283"/>
              <w:jc w:val="left"/>
              <w:rPr/>
            </w:pPr>
            <w:r>
              <w:rPr/>
              <w:t>Cash withdrawn from Trust Account in connection with redemption</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pPr>
            <w:r>
              <w:rPr/>
              <w:t>15,954,412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292,501,454</w:t>
            </w:r>
          </w:p>
        </w:tc>
        <w:tc>
          <w:tcPr>
            <w:tcW w:w="110" w:type="dxa"/>
            <w:tcBorders/>
            <w:shd w:fill="FFFFFF" w:val="clear"/>
            <w:vAlign w:val="center"/>
          </w:tcPr>
          <w:p>
            <w:pPr>
              <w:pStyle w:val="TableContents"/>
              <w:bidi w:val="0"/>
              <w:spacing w:before="0" w:after="283"/>
              <w:jc w:val="left"/>
              <w:rPr/>
            </w:pPr>
            <w:r>
              <w:rPr/>
              <w:t> </w:t>
            </w:r>
          </w:p>
        </w:tc>
      </w:tr>
      <w:tr>
        <w:trPr/>
        <w:tc>
          <w:tcPr>
            <w:tcW w:w="7030" w:type="dxa"/>
            <w:tcBorders/>
            <w:shd w:fill="CCEEFF" w:val="clear"/>
            <w:vAlign w:val="center"/>
          </w:tcPr>
          <w:p>
            <w:pPr>
              <w:pStyle w:val="TableContents"/>
              <w:bidi w:val="0"/>
              <w:spacing w:before="0" w:after="283"/>
              <w:jc w:val="left"/>
              <w:rPr>
                <w:b/>
              </w:rPr>
            </w:pPr>
            <w:r>
              <w:rPr>
                <w:b/>
              </w:rPr>
              <w:t>Net cash provided by investing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16,204,423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294,468,935</w:t>
            </w:r>
          </w:p>
        </w:tc>
        <w:tc>
          <w:tcPr>
            <w:tcW w:w="110" w:type="dxa"/>
            <w:tcBorders/>
            <w:shd w:fill="CCEEFF" w:val="clear"/>
            <w:vAlign w:val="center"/>
          </w:tcPr>
          <w:p>
            <w:pPr>
              <w:pStyle w:val="TableContents"/>
              <w:bidi w:val="0"/>
              <w:spacing w:before="0" w:after="283"/>
              <w:jc w:val="left"/>
              <w:rPr/>
            </w:pPr>
            <w:r>
              <w:rPr/>
              <w:t> </w:t>
            </w:r>
          </w:p>
        </w:tc>
      </w:tr>
      <w:tr>
        <w:trPr/>
        <w:tc>
          <w:tcPr>
            <w:tcW w:w="7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3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30" w:type="dxa"/>
            <w:tcBorders/>
            <w:shd w:fill="FFFFFF" w:val="clear"/>
            <w:vAlign w:val="center"/>
          </w:tcPr>
          <w:p>
            <w:pPr>
              <w:pStyle w:val="TableContents"/>
              <w:bidi w:val="0"/>
              <w:spacing w:before="0" w:after="283"/>
              <w:jc w:val="left"/>
              <w:rPr/>
            </w:pPr>
            <w:r>
              <w:rPr/>
              <w:t>Proceeds from promissory note - related party</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600,000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30" w:type="dxa"/>
            <w:tcBorders/>
            <w:shd w:fill="CCEEFF" w:val="clear"/>
            <w:vAlign w:val="center"/>
          </w:tcPr>
          <w:p>
            <w:pPr>
              <w:pStyle w:val="TableContents"/>
              <w:bidi w:val="0"/>
              <w:spacing w:before="0" w:after="283"/>
              <w:jc w:val="left"/>
              <w:rPr/>
            </w:pPr>
            <w:r>
              <w:rPr/>
              <w:t>Redemption of common stock</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(15,954,412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(292,501,454</w:t>
            </w:r>
          </w:p>
        </w:tc>
        <w:tc>
          <w:tcPr>
            <w:tcW w:w="110" w:type="dxa"/>
            <w:tcBorders/>
            <w:shd w:fill="CCEEFF" w:val="clear"/>
            <w:vAlign w:val="center"/>
          </w:tcPr>
          <w:p>
            <w:pPr>
              <w:pStyle w:val="TableContents"/>
              <w:bidi w:val="0"/>
              <w:spacing w:before="0" w:after="283"/>
              <w:jc w:val="left"/>
              <w:rPr/>
            </w:pPr>
            <w:r>
              <w:rPr/>
              <w:t>)</w:t>
            </w:r>
          </w:p>
        </w:tc>
      </w:tr>
      <w:tr>
        <w:trPr/>
        <w:tc>
          <w:tcPr>
            <w:tcW w:w="7030" w:type="dxa"/>
            <w:tcBorders/>
            <w:shd w:fill="FFFFFF" w:val="clear"/>
            <w:vAlign w:val="center"/>
          </w:tcPr>
          <w:p>
            <w:pPr>
              <w:pStyle w:val="TableContents"/>
              <w:bidi w:val="0"/>
              <w:spacing w:before="0" w:after="283"/>
              <w:jc w:val="left"/>
              <w:rPr>
                <w:b/>
              </w:rPr>
            </w:pPr>
            <w:r>
              <w:rPr>
                <w:b/>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(15,354,412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(292,501,454</w:t>
            </w:r>
          </w:p>
        </w:tc>
        <w:tc>
          <w:tcPr>
            <w:tcW w:w="110" w:type="dxa"/>
            <w:tcBorders/>
            <w:shd w:fill="FFFFFF" w:val="clear"/>
            <w:vAlign w:val="center"/>
          </w:tcPr>
          <w:p>
            <w:pPr>
              <w:pStyle w:val="TableContents"/>
              <w:bidi w:val="0"/>
              <w:spacing w:before="0" w:after="283"/>
              <w:jc w:val="left"/>
              <w:rPr>
                <w:b/>
              </w:rPr>
            </w:pPr>
            <w:r>
              <w:rPr>
                <w:b/>
              </w:rPr>
              <w:t>)</w:t>
            </w:r>
          </w:p>
        </w:tc>
      </w:tr>
      <w:tr>
        <w:trPr/>
        <w:tc>
          <w:tcPr>
            <w:tcW w:w="70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30" w:type="dxa"/>
            <w:tcBorders/>
            <w:shd w:fill="FFFFFF" w:val="clear"/>
            <w:vAlign w:val="center"/>
          </w:tcPr>
          <w:p>
            <w:pPr>
              <w:pStyle w:val="TableContents"/>
              <w:bidi w:val="0"/>
              <w:spacing w:before="0" w:after="283"/>
              <w:jc w:val="left"/>
              <w:rPr>
                <w:b/>
              </w:rPr>
            </w:pPr>
            <w:r>
              <w:rPr>
                <w:b/>
              </w:rPr>
              <w:t>Net change in cash</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29,077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(6,269</w:t>
            </w:r>
          </w:p>
        </w:tc>
        <w:tc>
          <w:tcPr>
            <w:tcW w:w="110" w:type="dxa"/>
            <w:tcBorders/>
            <w:shd w:fill="FFFFFF" w:val="clear"/>
            <w:vAlign w:val="center"/>
          </w:tcPr>
          <w:p>
            <w:pPr>
              <w:pStyle w:val="TableContents"/>
              <w:bidi w:val="0"/>
              <w:spacing w:before="0" w:after="283"/>
              <w:jc w:val="left"/>
              <w:rPr/>
            </w:pPr>
            <w:r>
              <w:rPr/>
              <w:t>)</w:t>
            </w:r>
          </w:p>
        </w:tc>
      </w:tr>
      <w:tr>
        <w:trPr/>
        <w:tc>
          <w:tcPr>
            <w:tcW w:w="7030" w:type="dxa"/>
            <w:tcBorders/>
            <w:shd w:fill="CCEEFF" w:val="clear"/>
            <w:vAlign w:val="center"/>
          </w:tcPr>
          <w:p>
            <w:pPr>
              <w:pStyle w:val="TableContents"/>
              <w:bidi w:val="0"/>
              <w:spacing w:before="0" w:after="283"/>
              <w:jc w:val="left"/>
              <w:rPr>
                <w:b/>
              </w:rPr>
            </w:pPr>
            <w:r>
              <w:rPr>
                <w:b/>
              </w:rPr>
              <w:t>Cash - beginning of the year</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403,456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409,725</w:t>
            </w:r>
          </w:p>
        </w:tc>
        <w:tc>
          <w:tcPr>
            <w:tcW w:w="110" w:type="dxa"/>
            <w:tcBorders/>
            <w:shd w:fill="CCEEFF" w:val="clear"/>
            <w:vAlign w:val="center"/>
          </w:tcPr>
          <w:p>
            <w:pPr>
              <w:pStyle w:val="TableContents"/>
              <w:bidi w:val="0"/>
              <w:spacing w:before="0" w:after="283"/>
              <w:jc w:val="left"/>
              <w:rPr/>
            </w:pPr>
            <w:r>
              <w:rPr/>
              <w:t> </w:t>
            </w:r>
          </w:p>
        </w:tc>
      </w:tr>
      <w:tr>
        <w:trPr/>
        <w:tc>
          <w:tcPr>
            <w:tcW w:w="7030" w:type="dxa"/>
            <w:tcBorders/>
            <w:shd w:fill="FFFFFF" w:val="clear"/>
            <w:vAlign w:val="center"/>
          </w:tcPr>
          <w:p>
            <w:pPr>
              <w:pStyle w:val="TableContents"/>
              <w:bidi w:val="0"/>
              <w:spacing w:before="0" w:after="283"/>
              <w:jc w:val="left"/>
              <w:rPr>
                <w:b/>
              </w:rPr>
            </w:pPr>
            <w:r>
              <w:rPr>
                <w:b/>
              </w:rPr>
              <w:t>Cash - end of the year</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6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432,533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403,456</w:t>
            </w:r>
          </w:p>
        </w:tc>
        <w:tc>
          <w:tcPr>
            <w:tcW w:w="110" w:type="dxa"/>
            <w:tcBorders/>
            <w:shd w:fill="FFFFFF" w:val="clear"/>
            <w:vAlign w:val="center"/>
          </w:tcPr>
          <w:p>
            <w:pPr>
              <w:pStyle w:val="TableContents"/>
              <w:bidi w:val="0"/>
              <w:spacing w:before="0" w:after="283"/>
              <w:jc w:val="left"/>
              <w:rPr/>
            </w:pPr>
            <w:r>
              <w:rPr/>
              <w:t> </w:t>
            </w:r>
          </w:p>
        </w:tc>
      </w:tr>
      <w:tr>
        <w:trPr/>
        <w:tc>
          <w:tcPr>
            <w:tcW w:w="70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30"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30" w:type="dxa"/>
            <w:tcBorders/>
            <w:shd w:fill="CCEEFF" w:val="clear"/>
            <w:vAlign w:val="center"/>
          </w:tcPr>
          <w:p>
            <w:pPr>
              <w:pStyle w:val="TableContents"/>
              <w:bidi w:val="0"/>
              <w:spacing w:before="0" w:after="283"/>
              <w:jc w:val="left"/>
              <w:rPr/>
            </w:pPr>
            <w:r>
              <w:rPr/>
              <w:t>Cash paid for taxes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10" w:space="0" w:color="000000"/>
            </w:tcBorders>
            <w:shd w:fill="CCEEFF" w:val="clear"/>
            <w:tcMar>
              <w:bottom w:w="28" w:type="dxa"/>
            </w:tcMar>
            <w:vAlign w:val="center"/>
          </w:tcPr>
          <w:p>
            <w:pPr>
              <w:pStyle w:val="TableContents"/>
              <w:bidi w:val="0"/>
              <w:spacing w:before="0" w:after="283"/>
              <w:jc w:val="right"/>
              <w:rPr/>
            </w:pPr>
            <w:r>
              <w:rPr/>
              <w:t>261,072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1,335,000</w:t>
            </w:r>
          </w:p>
        </w:tc>
        <w:tc>
          <w:tcPr>
            <w:tcW w:w="110" w:type="dxa"/>
            <w:tcBorders/>
            <w:shd w:fill="CCEEFF" w:val="clear"/>
            <w:vAlign w:val="center"/>
          </w:tcPr>
          <w:p>
            <w:pPr>
              <w:pStyle w:val="TableContents"/>
              <w:bidi w:val="0"/>
              <w:spacing w:before="0" w:after="283"/>
              <w:jc w:val="left"/>
              <w:rPr/>
            </w:pPr>
            <w:r>
              <w:rPr/>
              <w:t> </w:t>
            </w:r>
          </w:p>
        </w:tc>
      </w:tr>
      <w:tr>
        <w:trPr/>
        <w:tc>
          <w:tcPr>
            <w:tcW w:w="7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30" w:type="dxa"/>
            <w:tcBorders/>
            <w:shd w:fill="CCEEFF" w:val="clear"/>
            <w:vAlign w:val="center"/>
          </w:tcPr>
          <w:p>
            <w:pPr>
              <w:pStyle w:val="TableContents"/>
              <w:bidi w:val="0"/>
              <w:spacing w:before="0" w:after="283"/>
              <w:jc w:val="left"/>
              <w:rPr>
                <w:b/>
              </w:rPr>
            </w:pPr>
            <w:r>
              <w:rPr>
                <w:b/>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30" w:type="dxa"/>
            <w:tcBorders/>
            <w:shd w:fill="FFFFFF" w:val="clear"/>
            <w:vAlign w:val="center"/>
          </w:tcPr>
          <w:p>
            <w:pPr>
              <w:pStyle w:val="TableContents"/>
              <w:bidi w:val="0"/>
              <w:spacing w:before="0" w:after="283"/>
              <w:jc w:val="left"/>
              <w:rPr/>
            </w:pPr>
            <w:r>
              <w:rPr/>
              <w:t>Excise tax liability</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65" w:type="dxa"/>
            <w:tcBorders>
              <w:bottom w:val="double" w:sz="10" w:space="0" w:color="000000"/>
            </w:tcBorders>
            <w:shd w:fill="FFFFFF" w:val="clear"/>
            <w:tcMar>
              <w:bottom w:w="28" w:type="dxa"/>
            </w:tcMar>
            <w:vAlign w:val="center"/>
          </w:tcPr>
          <w:p>
            <w:pPr>
              <w:pStyle w:val="TableContents"/>
              <w:bidi w:val="0"/>
              <w:spacing w:before="0" w:after="283"/>
              <w:jc w:val="right"/>
              <w:rPr/>
            </w:pPr>
            <w:r>
              <w:rPr/>
              <w:t>159,543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2,925,014</w:t>
            </w:r>
          </w:p>
        </w:tc>
        <w:tc>
          <w:tcPr>
            <w:tcW w:w="110" w:type="dxa"/>
            <w:tcBorders/>
            <w:shd w:fill="FFFFFF" w:val="clear"/>
            <w:vAlign w:val="center"/>
          </w:tcPr>
          <w:p>
            <w:pPr>
              <w:pStyle w:val="TableContents"/>
              <w:bidi w:val="0"/>
              <w:spacing w:before="0" w:after="283"/>
              <w:jc w:val="left"/>
              <w:rPr/>
            </w:pPr>
            <w:r>
              <w:rPr/>
              <w:t> </w:t>
            </w:r>
          </w:p>
        </w:tc>
      </w:tr>
      <w:tr>
        <w:trPr/>
        <w:tc>
          <w:tcPr>
            <w:tcW w:w="7030" w:type="dxa"/>
            <w:tcBorders/>
            <w:shd w:fill="CCEEFF" w:val="clear"/>
            <w:vAlign w:val="center"/>
          </w:tcPr>
          <w:p>
            <w:pPr>
              <w:pStyle w:val="TableContents"/>
              <w:bidi w:val="0"/>
              <w:spacing w:before="0" w:after="283"/>
              <w:jc w:val="left"/>
              <w:rPr/>
            </w:pPr>
            <w:r>
              <w:rPr/>
              <w:t>Initial recognition of liability for shareholders’ non-redemption agreement liability</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10" w:space="0" w:color="000000"/>
            </w:tcBorders>
            <w:shd w:fill="CCEEFF" w:val="clear"/>
            <w:tcMar>
              <w:bottom w:w="28" w:type="dxa"/>
            </w:tcMar>
            <w:vAlign w:val="center"/>
          </w:tcPr>
          <w:p>
            <w:pPr>
              <w:pStyle w:val="TableContents"/>
              <w:bidi w:val="0"/>
              <w:spacing w:before="0" w:after="283"/>
              <w:jc w:val="right"/>
              <w:rPr/>
            </w:pPr>
            <w:r>
              <w:rPr/>
              <w:t>1,312,002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3,533,440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1" w:name="f_006"/>
      <w:bookmarkEnd w:id="71"/>
      <w:r>
        <w:rPr>
          <w:rFonts w:ascii="Times New Roman;Times;Serif" w:hAnsi="Times New Roman;Times;Serif"/>
          <w:b/>
          <w:i w:val="false"/>
          <w:caps w:val="false"/>
          <w:smallCaps w:val="false"/>
          <w:sz w:val="20"/>
        </w:rPr>
        <w:t>SHOULDERUP TECHNOLOGY ACQUISITION CORP.</w:t>
        <w:b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Organization and Business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ShoulderUp Technology Acquisition Corp. (the “Company”) is a blank check company formed as a Delaware corporation on May 20, 2021 for the purpose of effecting a merger, capital stock exchange, asset acquisition, stock purchase, reorganization or similar business combination with one or more businesses (the “Business Combination”). The Company has not selected any specific Business Combination target and the Company has not, nor has anyone on its behalf, engaged in any substantive discussions, directly or indirectly, with any Business Combination target with respect to an initial Business Combination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has neither engaged in any operations nor generated any revenues. All activity for the period from May 20, 2021 (inception) through December 31, 2024 relates to the Company’s formation and its initial public offering (the “Initial Public Offering” or “IPO”) described below, and, subsequent to the Initial Public Offering, identifying a target company for a Business Combination. The Company will not generate any operating revenues until after the completion of its initial Business Combination, at the earliest. The Company generates non-operating income in the form of interest income on the proceeds derived from the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Sponsor is ShoulderUp Technology Sponsor LLC, a Delaware limited liability company (the “Sponsor”).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statements for the Company’s IPO were declared effective on November 17, 2021. On November 19, 2021, the Company consummated the IPO of 30,000,000 units, including 3,500,000 units pursuant to the exercise of the underwriters’ over-allotment option in full, at $10.00 per unit (the “Units”), which is discussed in Note 3, generating gross proceeds to the Company of $300,000,000. Each Unit consists of one share (the “Public Shares”) of Class A common stock, par value $0.0001 per share (“Class A common stock”), and one-half of one warrant (the “Public Warrants”). Each whole Public Warrant is exercisable to purchase one whole share of Class A common stock at $11.50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consummation of the IPO, the Company consummated the private placement of 1,350,000 private units (the “Private Units”) at a price of $10.00 per Private Unit in a private placement, generating gross proceeds to the Company of $13,500,000, of which $600,000 has not been funded and was recorded as subscription receivable, which is described in Note 4. Each Private Unit consists of one share of Class A common stock (the “Private Placement Shares”) and one-half of one warrant (the “Private Placement Warrants”). Each whole Private Placement Warrant is exercisable to purchase one whole share of Class A common stock at $11.50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amounted to $17,820,368 consisting of $5,300,000 of underwriting commissions, $11,200,000 of deferred underwriting commissions, and $1,320,368 of other offering costs (including $795,000 of offering costs reimbursed by the underwriters) and was allocated between Class A common stock subject to possible redemption, Public Warrants, Private Placement Shares, and 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must complete one or more initial Business Combinations having an aggregate fair market value of at least 80% of the value of the assets held in the Trust Account (as defined below) (excluding the deferred underwriting commissions and taxes payable on the income earned on the Trust Account) at the time of the signing a definitive agreement in connection with the initial Business Combination. However, the Company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IPO on November 19, 2021, $306,000,000 ($10.20 per Unit) from the net proceeds of the sale of the Units in the IPO and the sale of the Private Units was deposited into a trust account (the “Trust Account”), located in the United States with Continental Stock Transfer &amp; Trust Company acting as trustee, which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December 28,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its discretion. The public stockholders are entitled to redeem all or a portion of their Public Shares upon the completion of the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(which interest shall be net of taxes payable), divided by the number of then outstanding Public Shares, subject to the limitations and on the conditions described herein. The amount in the Trust Account initially deposited into the Trust following the closing of the IPO was $10.20 per Public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Public Shares contain a redemption feature which allows for the redemption of such Public Shares in connection with the Company’s liquidation, if there is a stockholder vote or tender offer in connection with the initial Business Combination and in connection with certain amendments to the Company’s amended and restated certificate of incorporation.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 and its guidance on redeemable equity instruments, which has been codified in Financial Accounting Standards Board (“FASB”) Accounting Standards Codification (“ASC”) Topic 480-10-S99, redemption provisions not solely within the control of a company require common stock subject to redemption to be classified outside of permanent deficit. Given that the Public Shares were issued with Public Warrants, the initial carrying value of common stock classified as temporary equity was then allocated proceeds determined in accordance with FASB ASC 470-20. The Public Shares are subject to FASB ASC 480-10-S99. If it is probable that the equity instrument will become redeemable, the Company has the option to either (i) accrete changes in the redemption value over the period from the date of issuance (or from the date that it becomes probable that the instrument will become redeemable, if later) to the earliest redemption date of the instrument or (ii) recognize changes in the redemption value immediately as they occur and adjust the carrying amount of the instrument to equal the redemption value at the end of each reporting period. The Company has elected to recognize the changes immediately as they occur, measured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stockholders, sponsor, officers and directors have entered into a letter agreement with the Company, pursuant to which they have agreed to (i) waive their redemption rights with respect to any shares of Class B common stock, par value $0.0001 (the “Founder Shares”), Private Placement Shares and Public Shares they hold in connection with the completion of the initial Business Combination, (ii) waive their redemption rights with respect to any Founder Shares and Public Shares they hold in connection with a stockholder vote to approve an amendment to the Company’s amended and restated certificate of incorporation, and (iii) waive their rights to liquidating distributions from the Trust Account with respect to any Founder Shares they hold if the Company fails to complete the initial Business Combination within the Combination Period or during any Extension Period (although they will be entitled to liquidating distributions from the Trust Account with respect to any Public Shares they hold if the Company fails to complete the initial Business Combination within the prescribed time frame).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$10.20 per Public Share and (ii) the actual amount per Public Share held in the Trust Account as of the date of the liquidation of the Trust Account, if less than $10.20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IPO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the Company believes that the Sponsor’s only assets are securities of the Company. Therefore, the Company cannot assure that the Sponsor would be able to satisfy those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2023, the Company held a special meeting of its stockholders (the “Special Meeting”). At the Special Meeting, the Company’s stockholders approved an amendment to the Company’s Amended and Restated Certificate of Incorporation that extends the date by which the Company must consummate a business combination transaction from May 19, 2023, to November 19, 2023 (the date which is 24 months from the closing date of the Company’s initial public offering of units). The certificate of amendment was filed with the Delaware Secretary of State and has an effective date of April 21, 2023. In connection with Special Meeting, holders of 25,845,428 shares of the Company’s Class A common stock exercised their right to redeem their shares for a cash redemption price of approximately $10.43 per share, or an aggregate redemption amount of $269,597,445. Following such redemptions, approximately 4,154,572 shares of Class A common stock remain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2023, the Company announced that it has entered into a non-binding letter of intent for a potential business combination with Airspace Experience Technologies, Inc., a pioneer in the urban mobility market. The non-binding letter of intent was terminated on December 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17, 2023, the Company, held a special meeting of its stockholders (the “Special Meeting”). At the Special Meeting, the Company’s stockholders approved an amendment to the Company’s Amended and Restated Certificate of Incorporation that extends the date (the “Termination Date”) by which the Company must consummate a business combination (the “Charter Extension”) from November 19, 2023 (the “Original Termination Date”) to May 19, 2024 or such earlier date as may be determined by the Company’s board of directors in its sole discretion (the “Charter Extension Date”). The certificate of amendment was filed with the Delaware Secretary of State and has an effective date of November 15, 2023. In connection with the Extension Amendment Proposal, holders of 2,170,004 shares of the Company’s common stock properly exercised their right to redeem their shares. $22,904,010 or $10.55 per share was withdrawn from the Trust Account, leaving $20,946,765 in the Trust Account after the redemptions.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2023, the Company held an annual meeting of its stockholders (the “Annual Meeting”). At the Annual Meeting, the Company’s stockholders approved an amendment to the Company’s Amended and Restated Certificate of Incorporation to allow for the right of a holder of Class B common stock of the Company to convert its shares of Class B common stock into shares of Class A common stock on a one-to-one basis at any time and from time to time at the election of the holder. The newly issued Class A common stock would not have any redemption rights and would continue to be subject to a lock-up period upon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2023, the NYSE filed a Form 25 to delist the Company securities. The delisting was effective on December 29, 2023. On March 6, 2024, pursuant to Rule 15c-211 of the U.S. Securities Exchange Act, as amended (the “Exchange Act”), as amended, a market maker filed a Form 211 with the Financial Industry Regulatory Authority, Inc. (“FINRA”) to initiate proprietary trading of the Class A common stock, the units, and the warrants of the Company. Pursuant to Rule 15c2-11 (the “Exchange Act”), the submission of Form 211 to the FINRA OTC Compliance Unit enables broker-dealers to initiate or resume trading quotes on the “pink sheets” by OTC Markets Group Inc. for securities not listed on the New York Stock Exchange or The Nasdaq Stock Market LLC. The securities are expected to be quoted on the Pink Sheets, but there can be no assurance if or when this will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17, 2024, the Company held a special meeting of its stockholders (the “Special Meeting”). At the Special Meeting, the Company’s stockholders approved an amendment to the Company’s Amended and Restated Certificate of Incorporation that extends the date by which the Company must consummate a business combination from May 19, 2024 to November 19, 2024 or such earlier date as may be determined by the Company’s board of directors in its sole discretion. The certificate of amendment was filed with the Delaware Secretary of State and has an effective date of May 17, 2024. In connection with the Extension Amendment Proposal, holders of 1,125,154 shares of the Company’s common stock properly exercised their right to redeem their shares. $12,136,736 or $10.78 per share was withdrawn from the Trust Account, leaving $9,270,270 in the Trust Account after the redemptions.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2024, the Company issued a press release announcing that on June 26, 2024, the Company was assigned the trading symbols SUAC, SUACU and SUACW for its common stock, units and warrants, respectively, by FINRA. As a result, the Company’s common stock, units and warrants begin to be quoted and traded in the over-the-counter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2024, the Company has filed a definite proxy announcing a special meeting of stockholders to be held on November 18, 2024, seeking shareholders’ approval of the proposal to extend the date by which it has to consummate a business combination from November 19, 2024 to December 31, 2024, or such earlier date as may be determined by the Company’s board of directors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2024, the Sponsor elected to convert all of the 10,450,000 shares of Class B common stock held by the Sponsor into 10,450,000 shares of Class A common stock pursuant to Section 4.3(b)(i) of Article IV of the Company’s existing Amended and Restated Certificate of Incorporation. The conversion is effective as of November 19,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2024, the Company held a special meeting of its stockholders (the “Special Meeting”). At the Special Meeting, the Company’s stockholders approved an amendment to the Company’s Amended and Restated Certificate of Incorporation that extends the date by which the Company must consummate a business combination from November 19, 2024 to December 31, 2024 or such earlier date as may be determined by the Company’s board of directors in its sole discretion. The certificate of amendment was filed with the Delaware Secretary of State and has an effective date of November 19, 2024. In connection with the Extension Amendment Proposal, holders of 349,505 shares of the Company’s common stock properly exercised their right to redeem their shares. $3,817,676 or $10.92 per share was withdrawn from the Trust Account, leaving $5,616,776 in the Trust Account after the redemptions.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2024, the Company held a special meeting of its stockholders (the “Special Meeting”). At the Special Meeting, the Company’s stockholders approved an amendment to the Company’s Amended and Restated Certificate of Incorporation that extends the date by which the Company must consummate a business combination from December 31, 2024 to January 25, 2025 or such earlier date as may be determined by the Company’s board of directors in its sole discretion. The certificate of amendment was filed with the Delaware Secretary of State and has an effective date of November 30, 2024. In connection with the Extension Amendment Proposal, holders of 1,080 shares of the Company’s common stock properly exercised their right to redeem their shares. $11,823,98 or $10.92 per share was withdrawn from the Trust Account, leaving $557,030 in the Trust Account after the redemptions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2025, the Company held a special meeting of its stockholders (the “January 24 Special Meeting”). At the January 24 Special Meeting, the Company’s stockholders approved an amendment to the Company’s Amended and Restated Certificate of Incorporation that extends the Termination Date by which the Company must consummate a business combination from January 24, 2025, to February 24, 2025, or such earlier date as may be determined by the Company’s board of directors in its sole discretion. The certificate of amendment was filed with the Delaware Secretary of State and has an effective date of January 24, 2025. In connection with the extension amendment proposal at the January 24 Special Meeting, holders of 240 shares of the Company’s common stock properly exercised their right to redeem their shares (and did not withdraw their redemption) for a cash redemption price of approximately $10.98 per share, or an aggregate redemption amount of approximately $ 2,634.91. Following such redemptions, approximately $5,583,697 will remain in the trust account and 508,589 shares of common stock will remain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2025, the Company held a special meeting of its stockholders (the “Business Combination Meeting”). At the Business Combination Meeting, the Company’s stockholders approved, among other things, the Business Combination (as defined below). In connection with the Business Combination Meeting, holders of 502,000 shares of common stock elected to redeem.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Business Combination meeting, the Company and certain holders of the Company’s common stock who elected to redeem in connection with the Business Combination Meeting entered into discussions to reverse their redemptions. The discussions continued after February 24, 2025, the Company’s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Company entered into a non-redemption agreement (the “Non-Redemption Agreement”) with a certain holder of the Company’s common stock (the “Investor”) pursuant to which the Investor agreed to rescind its redemptions of an aggregate of 500,000 shares of common stock redeemed in connection with the Business Combination Meeting (the “Investor Shares”). The Non-Redemption Agreement shall terminate on the earlier of (a) May 31, 2025; (b) the fulfillment of all obligations of the parties to the Non-Redemption Agreement; (c) the liquidation or dissolution of the Company; (d) the mutual written agreement of the parties to the Non-Redemption Agreement; or (e) if any the Investor Shares are actually redeemed in connection with a meeting of the Company prior to consummation of the Business Combination. The Company processed the redemptions of the remaining holders of the 2,000 shares of common stock who elected to redeem.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Franchise and Income Tax Withdrawals from Trust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completion of its IPO on November 19, 2021, and through December 31, 2024, the Company withdrew $2,886,354 from the Trust Account to pay its liabilities related to the income and Delaware franchise taxes. Through December 31, 2024, the Company remitted $2,526,664 to the respective tax authorities, which resulted in remaining excess of funds withdrawn from the Trust Account, but not remitted to the government authorities of $359,690. Additionally, as of December 31, 2024, the Company had accrued but unpaid income tax liability of $173,575 and unpaid liability for the Delaware franchise tax of $63,600. In 2024 the Company has established a dedicated bank account which is solely used for keeping amounts withdrawn from the Trust Account for taxes until such taxes are due and payable. As of December 31, 2024, the amount maintained in this account was $362,425.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$432,533 in its operating bank account and working capital deficit of approximately $5.5 million. $359,690 of the amount of cash on hand as of December 31, 2024 relate to the amounts that were withdrawn from the Trust for payment of income and Delaware Franchise Taxes and can not be used for any other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$600,000 in a subscription receivable, which will be used to satisfy the Company’s liquidity needs. The Company’s liquidity needs prior to the consummation of the Initial Public Offering were satisfied through the cash contribution of $25,000 from the Sponsor to purchase Founder Shares (as defined in Note 5), and an advance from the Sponsor of approximately $29,000 (see Note 5). The Company repaid $24,000 on November 19, 2021 and the remaining $5,000 remains outstanding and is due on demand. Subsequent to the consummation of the Initial Public Offering, the Company’s liquidity has been satisfied through the net proceeds from the consummation of the Initial Public Offering, over-allotment and the Private Placement held outside of the Trust Account. Over this time period, the Company will be using the funds outside of the Trust Account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order to finance transaction costs in connection with a Business Combination, the Sponsor or an affiliate of the Sponsor, or certain of the Company’s officers and directors may, but are not obligated to, provide the Company Working Capital Loans, as defined below (see Note 5). As of December 31, 2024, the Sponsor and its affiliates advanced $600,000 under the terms of four promissory notes which were fully drawn.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assessment of going concern considerations in accordance with FASB Accounting Standards Update (“ASU”) 2014-15, “Disclosures of Uncertainties about an Entity’s Ability to Continue as a Going Concern,” management has determined that the liquidity condition and the fact that the mandatory liquidation date has passed, raises substantial doubt about the Company’s ability to continue as a going concern. No adjustments have been made to the carrying amounts of assets or liabilities should the Company be required to liquidate. The financial statements do not include any adjustment that might be necessary if the Company is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Inflation Reduction Act of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stockholders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 Any share redemption or other share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will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2023, the Company’s stockholders redeemed 25,845,428 shares of the Company’s Class A common stock for a total of $269,597,445. On November 17, 2023, the Company’s stockholders redeemed 2,170,004 shares of the Company’s Class A common stock for a total of $22,904,010. The Company evaluated the classification and accounting of the share/ stock redemption under ASC 450, “Contingencies”. ASC 450 states that when a loss contingency exists the likelihood that the future event(s) will confirm the loss or impairment of an asset or the incurrence of a liability can range from probable to remote. A contingent liability must be reviewed at each reporting period to determine appropriate treatment. Management has evaluated the requirements of the IR Act and the Company’s operations at the end of the reporting period and has determined that a liability of $3,415,525 (including penalties and interest) should be recorded for the excise tax in connection with the above-mentioned redemptions as of December 31, 2024. This liability will be reviewed and remeasured at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(“US GAAP”) and pursuant to the rules and regulations of the U.S. Securities and Exchanges Commission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Making estimates requires management to exercise significant judgement.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Actual results could differ from those estimates. Management has identified assumptions involved in the valuation of Class B shares transferred under the terms of non-redemption agreements as a critical accounting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short-term investments with an original maturity of three months or less when purchased to be cash equivalents. As of December 31, 2024 and 2023, the Company had no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Held in the Trust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portfolio of investments was comprised of cash held in demand deposit account of December 31,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significant cash balances at financial institutions which throughout the year regularly exceed the federally insured limit of $250,000 by the Federal Deposit Insurance Corporation. Any loss incurred or a lack of access to such funds could have a significant adverse impact on the Company’s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assets and liabilities, excluding the non-redemption agreements derivative liability, which qualify as financial instruments under the FASB ASC Topic 820, “Fair Value Measurements” equal or approximate the carrying amounts represented in the Consolidated balance sheets, primarily due to their short-term nature (see Note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hierarchy gives the highest priority to unadjusted quoted prices in active markets for identical assets or liabilities (Level 1 measurements) and the lowest priority to unobservable inputs (Level 3 measurements). These tiers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Level 1, defined as observable inputs such as quoted prices for identical instruments in active markets;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equity-linked financial instruments to determine if such instruments are derivatives or contain features that qualify as embedded derivatives in accordance with ASC Topic 815, “Derivatives and Hedging” (“ASC 815”). For derivative financial instruments that are classified as liabilities, the derivative instrument is initially recognized at fair value with subsequent changes in fair value recognized in the Consolidated statements of operations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15,000,000 warrants included in the Units sold in the Initial Public Offering and the 675,000 Private Placement Warrants in accordance with the guidance contained in ASC 815. Such guidance provides that the warrants described above are not precluded from equity classification. Equity-classified contracts are initially measured at fair value (or allocated value). Subsequent changes in fair value are not recognized as long as the contracts continue to be classified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Non-Redemption Agreements (as defined in Note 6) in accordance with the guidance contained in ASC 815. Such guidance provides that the Non-Redemption Agreements are classified as liabilities. As such, the non-redemption agreements derivative liability was recorded at its initial fair value on the date of issuance, and is adjusted at each balance sheet date thereafter. Changes in the estimated fair value of the non-redemption agreements derivative liability are recognized as a non-cash gain or loss on the Consolidated statements of operations. The fair value of the derivative liability is discussed in Note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 Subject to Possible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Class A common stock subject to possible redemption in accordance with the guidance in ASC 480. Class A common stock subject to mandatory redemption (if any) is classified as liability instruments and is measured at fair value. Conditionally redeemable Class A common stock (including Class A common stock that features redemption rights that are either within the control of the holder or subject to redemption upon the occurrence of uncertain events not solely within the Company’s control) is classified as temporary equity. At all other times, Class A common stock is classified as stockholders’ deficit. The Public Shares feature certain redemption rights that are considered to be outside of the Company’s control and subject to the occurrence of uncertain future events. Accordingly, as of December 31, 2024 and 2023, 508,829 and 1,984,568 shares of Class A common stock subject to possible redemption are presented at redemption value, respectively, as temporary equity outside of the stockholders’ deficit section of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recognize changes in redemption value immediately as they occur and adjust the carrying value of redeemable common stock to equal the redemption value at the end of each reporting period. Increases or decreases in the carrying amount of redeemable common stock are affected by charges against additional paid-in capital (if available) and accumulated deficit.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Costs Associated with the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the requirements of Financial Accounting Standards Board (FASB) Accounting Standard Codification (ASC) 340-10-S99-1. 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were allocated between the Public Shares, Public Warrants, Private Placement Shares, and Private Placement Warrants, based on a relative fair value basis, compared to total proceeds received. Additionally, at the Initial Public Offering, offering costs allocated to the Public Shares were charged against temporary equity and offering costs allocated to the Public Warrants, Private Placement Shares, and Private Placement Warrants were charged against stockholders’ deficit. Deferred underwriting commissions are classified as non-current liabilities as their liquidation is not reasonably expected to require the use of current assets or require the creation of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accounting and disclosure requirements of FASB ASC Topic 260, “Earnings Per Share.” The Company has two classes of shares, which are referred to as Class A common stock and Convertible Class B common stock. Income and losses are shared pro rata between the two classes of shares. Net (loss) income per common share is calculated by dividing the net (loss) income by the weighted average shares of common stock outstanding for the respective period.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diluted net (loss) income does not consider the effect of the warrants underlying the Units sold in the Initial Public Offering (including the consummation of the Over-allotment) and the private placement warrants to purchase an aggregate of 15,675,000 shares of Class A common stock in the calculation of diluted (loss) income per share, because their exercise is contingent upon future events. As a result, diluted net (loss) income per share is the same as basic net (loss) income per share for the year ended December 31, 2024 and 2023. Accretion associated with the redeemable Class A common stock is excluded from earnings per share as the redemption value approximates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present a reconciliation of the numerator and denominator used to compute basic and diluted net (loss) income per share of common stock: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35"/>
        <w:gridCol w:w="60"/>
        <w:gridCol w:w="158"/>
        <w:gridCol w:w="1107"/>
        <w:gridCol w:w="95"/>
        <w:gridCol w:w="60"/>
        <w:gridCol w:w="200"/>
        <w:gridCol w:w="1575"/>
        <w:gridCol w:w="95"/>
        <w:gridCol w:w="60"/>
        <w:gridCol w:w="142"/>
        <w:gridCol w:w="1123"/>
        <w:gridCol w:w="60"/>
        <w:gridCol w:w="60"/>
        <w:gridCol w:w="191"/>
        <w:gridCol w:w="1509"/>
        <w:gridCol w:w="7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 2023</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Redeemable</w:t>
              <w:br/>
              <w:t>Class A</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Non-Redeemable</w:t>
              <w:br/>
              <w:t>Class A and</w:t>
              <w:br/>
              <w:t>Class 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Redeemable</w:t>
              <w:b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Non-redeemable</w:t>
              <w:br/>
              <w:t>Class A &amp;</w:t>
              <w:br/>
              <w:t>Class B</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Basic and diluted net (loss) income per common stock:</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i/>
              </w:rPr>
            </w:pPr>
            <w:r>
              <w:rPr>
                <w:i/>
              </w:rPr>
              <w:t>Numerator:</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Allocation of net (loss) income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r>
              <w:rPr/>
              <w:t>(194,108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575" w:type="dxa"/>
            <w:tcBorders/>
            <w:shd w:fill="CCEEFF" w:val="clear"/>
            <w:vAlign w:val="center"/>
          </w:tcPr>
          <w:p>
            <w:pPr>
              <w:pStyle w:val="TableContents"/>
              <w:bidi w:val="0"/>
              <w:spacing w:before="0" w:after="283"/>
              <w:jc w:val="right"/>
              <w:rPr/>
            </w:pPr>
            <w:r>
              <w:rPr/>
              <w:t>(1,841,896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189,188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509" w:type="dxa"/>
            <w:tcBorders/>
            <w:shd w:fill="CCEEFF" w:val="clear"/>
            <w:vAlign w:val="center"/>
          </w:tcPr>
          <w:p>
            <w:pPr>
              <w:pStyle w:val="TableContents"/>
              <w:bidi w:val="0"/>
              <w:spacing w:before="0" w:after="283"/>
              <w:jc w:val="right"/>
              <w:rPr/>
            </w:pPr>
            <w:r>
              <w:rPr/>
              <w:t>143,149</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50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i/>
              </w:rPr>
            </w:pPr>
            <w:r>
              <w:rPr>
                <w:i/>
              </w:rPr>
              <w:t>Denominator:</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50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Basic and diluted weighted average common stock outstanding</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7" w:type="dxa"/>
            <w:tcBorders>
              <w:bottom w:val="single" w:sz="12" w:space="0" w:color="000000"/>
            </w:tcBorders>
            <w:shd w:fill="FFFFFF" w:val="clear"/>
            <w:tcMar>
              <w:bottom w:w="28" w:type="dxa"/>
            </w:tcMar>
            <w:vAlign w:val="center"/>
          </w:tcPr>
          <w:p>
            <w:pPr>
              <w:pStyle w:val="TableContents"/>
              <w:bidi w:val="0"/>
              <w:spacing w:before="0" w:after="283"/>
              <w:jc w:val="right"/>
              <w:rPr/>
            </w:pPr>
            <w:r>
              <w:rPr/>
              <w:t>1,243,542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75" w:type="dxa"/>
            <w:tcBorders>
              <w:bottom w:val="single" w:sz="12" w:space="0" w:color="000000"/>
            </w:tcBorders>
            <w:shd w:fill="FFFFFF" w:val="clear"/>
            <w:tcMar>
              <w:bottom w:w="28" w:type="dxa"/>
            </w:tcMar>
            <w:vAlign w:val="center"/>
          </w:tcPr>
          <w:p>
            <w:pPr>
              <w:pStyle w:val="TableContents"/>
              <w:bidi w:val="0"/>
              <w:spacing w:before="0" w:after="283"/>
              <w:jc w:val="right"/>
              <w:rPr/>
            </w:pPr>
            <w:r>
              <w:rPr/>
              <w:t>11,800,000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13,810,919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09" w:type="dxa"/>
            <w:tcBorders>
              <w:bottom w:val="single" w:sz="12" w:space="0" w:color="000000"/>
            </w:tcBorders>
            <w:shd w:fill="FFFFFF" w:val="clear"/>
            <w:tcMar>
              <w:bottom w:w="28" w:type="dxa"/>
            </w:tcMar>
            <w:vAlign w:val="center"/>
          </w:tcPr>
          <w:p>
            <w:pPr>
              <w:pStyle w:val="TableContents"/>
              <w:bidi w:val="0"/>
              <w:spacing w:before="0" w:after="283"/>
              <w:jc w:val="right"/>
              <w:rPr/>
            </w:pPr>
            <w:r>
              <w:rPr/>
              <w:t>10,450,000</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50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Basic and diluted net (loss) income per common stock</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7" w:type="dxa"/>
            <w:tcBorders>
              <w:bottom w:val="double" w:sz="10" w:space="0" w:color="000000"/>
            </w:tcBorders>
            <w:shd w:fill="FFFFFF" w:val="clear"/>
            <w:tcMar>
              <w:bottom w:w="28" w:type="dxa"/>
            </w:tcMar>
            <w:vAlign w:val="center"/>
          </w:tcPr>
          <w:p>
            <w:pPr>
              <w:pStyle w:val="TableContents"/>
              <w:bidi w:val="0"/>
              <w:spacing w:before="0" w:after="283"/>
              <w:jc w:val="right"/>
              <w:rPr/>
            </w:pPr>
            <w:r>
              <w:rPr/>
              <w:t>(0.16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575" w:type="dxa"/>
            <w:tcBorders>
              <w:bottom w:val="double" w:sz="10" w:space="0" w:color="000000"/>
            </w:tcBorders>
            <w:shd w:fill="FFFFFF" w:val="clear"/>
            <w:tcMar>
              <w:bottom w:w="28" w:type="dxa"/>
            </w:tcMar>
            <w:vAlign w:val="center"/>
          </w:tcPr>
          <w:p>
            <w:pPr>
              <w:pStyle w:val="TableContents"/>
              <w:bidi w:val="0"/>
              <w:spacing w:before="0" w:after="283"/>
              <w:jc w:val="right"/>
              <w:rPr/>
            </w:pPr>
            <w:r>
              <w:rPr/>
              <w:t>(0.16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23" w:type="dxa"/>
            <w:tcBorders>
              <w:bottom w:val="double" w:sz="10" w:space="0" w:color="000000"/>
            </w:tcBorders>
            <w:shd w:fill="FFFFFF" w:val="clear"/>
            <w:tcMar>
              <w:bottom w:w="28" w:type="dxa"/>
            </w:tcMar>
            <w:vAlign w:val="center"/>
          </w:tcPr>
          <w:p>
            <w:pPr>
              <w:pStyle w:val="TableContents"/>
              <w:bidi w:val="0"/>
              <w:spacing w:before="0" w:after="283"/>
              <w:jc w:val="right"/>
              <w:rPr/>
            </w:pPr>
            <w:r>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509" w:type="dxa"/>
            <w:tcBorders>
              <w:bottom w:val="double" w:sz="10" w:space="0" w:color="000000"/>
            </w:tcBorders>
            <w:shd w:fill="FFFFFF" w:val="clear"/>
            <w:tcMar>
              <w:bottom w:w="28" w:type="dxa"/>
            </w:tcMar>
            <w:vAlign w:val="center"/>
          </w:tcPr>
          <w:p>
            <w:pPr>
              <w:pStyle w:val="TableContents"/>
              <w:bidi w:val="0"/>
              <w:spacing w:before="0" w:after="283"/>
              <w:jc w:val="right"/>
              <w:rPr/>
            </w:pPr>
            <w:r>
              <w:rPr/>
              <w:t>0.01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December 31, 2024 and 2023, the Company had a full valuation allowance against the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740 also clarifies the accounting for uncertainty in income taxes recognized in a company’s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accrued interest and penalties related to unrecognized tax benefits as income tax expense. There were no unrecognized tax benefits and no amounts accrued for interest and penalties as of December 31, 2024 and 2023. The Company is currently not aware of any issues under review that could result in significant payments, accruals or material deviation from its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the United States as its only “major” tax jurisdiction. The Company may be subject to potential examination by federal and state taxing authorities in the areas of income taxes. These potential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Financial Accounting Standards Board (“FASB”) issued Accounting Standards Update (“ASU”) 2020-06, Debt-Debt with Conversion and Other Options (Subtopic 470-20) and Derivatives and Hedging-Contracts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2024 for a smaller reporting company and should be applied on a full or modified retrospective basis, with early adoption permitted beginning on January 1, 2021. The Company continues to evaluate the impact of ASU 2020-06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2022, the FASB issued ASU 2022-03, ASC Subtopic 820 “Fair Value Measurement of Equity Securities Subject to Contractual Sale Restrictions”. The ASU amends ASC 820 to clarify that a contractual sales restriction is not considered in measuring an equity security at fair value and to introduce new disclosure requirements for equity securities subject to contractual sale restrictions that are measured at fair value. The ASU applies to both holders and issuers of equity and equity-linked securities measured at fair value. The amendments in this ASU are effective for the Company in fiscal years beginning after December 15, 2023, and interim periods within those fiscal years. Early adoption is permitted for both interim and annual financial statements that have not yet been issued or made available for issuance. The Company is still evaluating the impact of this pronouncement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Segment Reporting (Topic 280): Improvements to Reportable Segment Disclosures. The amendments in this ASU require disclosures, on an annual and interim basis, of significant segment expenses that are regularly provided to the chief operating officer decision maker (“CODM”), as well as the aggregate amount of other segment items included in the reported measure of segment profit or loss. The ASU requires that a public entity disclose the title and position of the CODM and an explanation of how the CODM uses the reported measure(s) of segment profit or loss in assessing segment performance and deciding how to allocate resources. Public entities will be required to provide all annual disclosures currently required by Topic 280 in interim periods, and entities with a single reportable segment are required to provide all the disclosures required by the amendments in this ASU and existing segment disclosures in Topic 280. This ASU is effective for fiscal years beginning after December 15, 2023, and interim periods within fiscal years beginning after December 15, 2024, with early adoption permitted. The Company has adopted this standard as of December 31, 2024 with resulting additional disclosure included in this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other recently issued, but not yet effective, accounting pronouncements, if currently adopted, would have a material effect on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2021, the Company sold 30,000,000 Units, including 3,500,000 Units pursuant to the exercise of the underwriters’ over-allotment option in full, at a purchase price of $10.00 per Unit. Each Unit consists of one share of Class A common stock and one-half redeemable warrant. Each whole warrant is exercisable to purchase one whole share of Class A common stock at $11.50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IPO on November 19, 2021, $306,000,000 ($10.20 per Unit) from the net proceeds of the sale of the Units in the IPO and the sale of the Private Units was deposited into the Trust Account. The net proceeds deposited into the Trust Account will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IPO, the Sponsor purchased an aggregate of 1,350,000 Private Units at a price of $10.00 per Private Unit, or $13,500,000, of which $600,000 has not been funded as of December 31, 2024 and 2023 and was recorded as subscription receivable. Each Private Unit consists of one share of Class A common stock and one-half of one warrant. Each whole warrant is exercisable to purchase one whole share of Class A common stock at $11.50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Founder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2021, the Sponsor paid $25,000 in consideration for 9,833,333 Founder Shares. Up to 1,250,000 Founder Shares were subject to forfeiture by the Sponsor depending on the extent to which the underwriters’ over-allotment option is exercised. In November 2021, the Company effected a 1.0627119 for 1 stock split of the Class B common stock, so that the Sponsor owns an aggregate of 10,450,000 Founder Shares. Up to 1,190,000 of the Founder Shares would have been forfeited depending on the extent to which the underwriters’ over-allotment option is not exercised. Because of the underwriters’ full exercise of the over-allotment option on November 19, 2021, 1,190,000 shares were no longer subject to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has agreed not to transfer, assign or sell any of its Founder Shares until the earlier to occur of: (i) one year after the completion of the initial Business Combination; (ii) subsequent to the initial Business Combination, if the last reported sale price of the Class A common stock equals or exceeds $12.00 per share (as adjusted for stock splits, stock dividends, reorganizations, recapitalizations and the like) for any 20 trading days within any 30-trading day period commencing at least 150 days after the initial Business Combination; and (iii) the date following the completion of the initial Business Combination on which the Company complete a liquidation, merger, capital stock exchange, reorganization or other similar transaction that results in all of its stockholders having the right to exchange their shares of common stock for cash, securities or other property (the “Lock-up”).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Promissory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2021, the Sponsor agreed to loan the Company up to $300,000 to be used for a portion of the expenses of the IPO. Any drawdown under the loan were non-interest bearing, unsecured and were due at the earlier of March 31, 2022, or the closing of the IPO. As of December 31, 2024 and 2023, there was no borrowing under the note. The facility is no longer available to the Company subsequent to the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2024, Company issued a promissory note to the Sponsor in the amount of $275,000 for working capital needs. and payment of certain expenses in connection the Company’s Business Combination, of which $175,000 was drawn on April 2, 2024, and remaining $100,000 was drawn on April 9, 2024. The Note is due and payable on the consummation of the initial merger, stock exchange, asset acquisition, stock purchase, recapitalization, reorganization or similar business combination with one of more businesses or entities. Upon consummation of a Business Combination, the Company shall have obligation to convert up to $270,000 of the principal amount of the Note in whole or in part into common stock of the Company at a price of $10.00 per share. The company has determined the conversion feature include in the promissory note is not required to be bifurcated and all debt proceeds received under the promissory note were allocated to the debt host. As of December 31, 2024 the promissory note to the Sponsor was fully drawn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Company issued a promissory note to the Sponsor in the amount of $100,000 for working capital needs, which was funded on same date for working capital requirements and payment of certain expenses in connection the Company’s Business Combination. The Note is due and payable on the consummation of the initial merger, stock exchange, asset acquisition, stock purchase, recapitalization, reorganization or similar business combination with one of more businesses or entities. Upon consummation of a Business Combination, the Company shall have obligation to convert up to $100,000 of the principal amount of the Note in whole or in part into common stock of the Company at a price of $10.00 per share. The company has determined the conversion feature include in the promissory note is not required to be bifurcated and all debt proceeds received under the promissory note were allocated to the debt host. As of December 31, 2024, the promissory note to the Sponsor was fully drawn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Company issued a promissory note to the Sponsor in the amount of $50,000 for working capital needs, which was funded on October 1, 2024, for working capital requirements and payment of certain expenses in connection the Company’s Business Combination. The Note is due and payable on the consummation of the initial merger, stock exchange, asset acquisition, stock purchase, recapitalization, reorganization or similar business combination with one of more businesses or entities. Upon consummation of a Business Combination, the Company shall have obligation to convert up to $50,000 of the principal amount of the Note in whole or in part into common stock of the Company at a price of $10.00 per share. The company has determined the conversion feature include in the promissory note is not required to be bifurcated and all debt proceeds received under the promissory note were allocated to the debt host. As of December 31, 2024, the promissory note to the Sponsor was fully drawn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27, 2024, Company issued a promissory note to the Sponsor in the amount of $175,000 for working capital needs, which was funded on same date for working capital requirements and payment of certain expenses in connection the Company’s Business Combination. The Note is due and payable on the consummation of the initial merger, stock exchange, asset acquisition, stock purchase, recapitalization, reorganization or similar business combination with one of more businesses or entities. Upon consummation of a Business Combination, the Company shall have obligation to convert up to $175,000 of the principal amount of the Note in whole or in part into common stock of the Company at a price of $10.00 per share. The company has determined the conversion feature include in the promissory note is not required to be bifurcated and all debt proceeds received under the promissory note were allocated to the debt host. As of December 31, 2024 the promissory note to the Sponsor was fully drawn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Due to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IPO, the Sponsor had advanced to the Company an aggregate of approximately $29,000, of which approximately $24,000 was repaid to the Sponsor upon the closing of the IPO. As of December 31, 2024 and 2023, approximately $5,000, remained outstanding and is due on demand, and is included in the due to related party on the accompanying Consolidated balance sheets. In addition, as of December 31, 2024 and 2023, approximately $0 and $4,300, respectively, is outstanding for reimbursable expenses and is included in the due to related party on the accompanying Consolidated balance sheets. The due to related party balances as of December 31, 2024 and 2023, also includes approximately $250,000 and $130,000 respectively, of administrative fees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Working Capital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finance transaction costs in connection with an intended Business Combination, the Sponsor or an affiliate of the Sponsor, or certain of the Company’s officers and directors may, but are not obligated to, loan the Company funds as may be required (the “Working Capital Loans”). If the Company completes the initial Business Combination, the Company may repay the Working Capital Loans out of the proceeds of the Trust Account released to the Company. Otherwise, the Working Capital Loans may be repaid only out of funds held outside the Trust Account. In the event that the initial Business Combination does not close, the Company may use a portion of the working capital held outside the Trust Account to repay the Working Capital Loans but no proceeds from the Trust Account would be used to repay the Working Capital Loans. Up to $1,500,000 of such Working Capital Loans may be convertible into units of the post-Business Combination entity at a price of $10.00 per unit at the option of the lender. The units would be identical to the Private Units. As of December 31, 2024 and 2023, the Company had no borrowings under the Working Capital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Administrative Service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16, 2021, the Company entered into an agreement with the Sponsor, pursuant to which the Company agreed to pay the Sponsor a total of $10,000 per month for office space, secretarial and administrative services through the earlier of consummation of the initial Business Combination and the Company’s liquidation. For the year ended December 31, 2024, the Company incurred expenses of $120,000 of services under this agreement and is included in the general and administrative expenses on the accompanying Consolidated statements of operations. For year ended December 31, 2023, the Company incurred expenses of $120,000 under this agreement and is included in the general and administrative expenses on the accompanying consolidated statements of operations. As of December 31, 2024 and 2023, the Company had $238,272 and $ 118,272 outstanding for services in connection with such agreement, respectively, and is included in the due to related party on the accompanying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and Stockholder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(i) Founder Shares, which were issued in a private placement prior to the closing of the IPO, (ii) Private Units (including securities contained therein), which were issued in a private placement simultaneously with the closing of the IPO and (iii) private placement-equivalent units (including securities contained therein) that may be issued upon conversion of Working Capital Loans will have registration rights to require the Company to register a sale of any of the Company’s securities held by them pursuant to a registration rights agreement signed on November 16, 2021.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Company’s completion of the initial Business Combination. The Company will bear the expenses incurred in connection with the filing of any such registration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the underwriters a 45-day option from the date of the IPO to purchase up to an additional 3,500,000 Units to cover over-allotments, which was exercised in full on November 19,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2021, the Company paid cash underwriting commissions of $5,300,000 to the underwriters.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were entitled to a deferred underwriting commission of $11,200,000, which will be paid from the funds held in the Trust Account upon completion of the Company’s initial Business Combination subject to the terms of the underwriting agreement.  On September 19, 2024, the underwriter executed a waiver letter confirming their resignation and waiver of its entitlement to the payment of deferred fee under the terms of the underwriting agreement in the full amount of $11,200,000. The Company applied recovery of the previously recorded deferred underwriting commission proportionately to Class A common stock subject to possible redemption ($10,701,600) and public warrants ($498,400).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Non-Redemption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April 2023, the Company and the Sponsor entered into agreements (the “April Non-Redemption Agreements”) with third parties in exchange for them agreeing not to redeem shares of Class A common stock at the Special Meeting at which a proposal to amend to the Company’s Certificate of Incorporation to effect an extension of time for the Company to consummate an initial business combination (the “April Charter Amendment Proposal”) from May 19, 2023 to November 19, 2023 (the “April Extension”). The Non-Redemption Agreements provide for the allocation of 1,000,000 Founder Shares held by the Sponsor in exchange for such investors agreeing to hold and not redeem certain public shares at the Special Meeting. Certain of the parties to the Non-Redemption Agreements are also members of the Sponsor.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November 2023, the Company and the Sponsor entered into agreements (the “November Non-Redemption Agreements”, and together with the April Non-Redemption Agreements, collectively, the “Non-Redemption Agreements”) with third parties in exchange for them agreeing not to redeem shares of Class A common stock at the Special Meeting at which a proposal to amend to the Company’s Certificate of Incorporation to effect an extension of time for the Company to consummate an initial business combination (the “November Charter Amendment Proposal”) from November 19, 2023 to May 19, 2024 (the “November Extension”). The November Non-Redemption Agreements provide for the allocation of 376,000 Founder Shares held by the Sponsor in exchange for such investors agreeing to hold and not redeem certain public shares at the Special Meeting. Certain of the parties to the Non-Redemption Agreements are also members of the Sponsor.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17, 2024, the Company and the Sponsor entered into Non-Redemption Agreements on substantially the same terms with certain stockholders of the Company, pursuant to which such stockholders agreed not to redeem (or to validly rescind any redemption requests on) an aggregate of 800,000 non-Redeemed shares in connection with the Special Meeting. In exchange for the foregoing commitments not to redeem such shares of Class A Common Stock, the Sponsor agreed to transfer an aggregate of 266,666 shares of Class B Common Stock held by the Sponsor to such stockholders immediately following consummation of the initial business combination if they continued to hold such Non-Redeemed shares through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Non-Redemption Agreements shall terminate on the earlier of (a) the failure of the Company’s stockholders to approve the Extensions at the Meeting, or the determination of the Company not to proceed to effect the Extensions, (b) the fulfillment of all obligations of parties to the Non-Redemption Agreements, (c) the liquidation or dissolution of the Company, or (d) the mutual written agreement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pursuant to the Non-Redemption Agreements, the Company has agreed that until the earlier of (a) the consummation of the Company’s initial business combination; (b) the liquidation of the trust account; and (c) 24 months from consummation of the Company’s initial public offering, the Company will maintain the investment of funds held in the trust account in interest-bearing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which invest only in direct U.S. government treasury obligations. The Company has also agreed that it will not use any amounts in the trust account, or the interest earned thereon, to pay any excise tax that may be imposed on the Company pursuant to the Inflation Reduction Act (IRA) of 2022 (H.R. 5376) due to any redemptions of public shares at the Special Meeting, in connection with a liquidation of the Company if it does not effect a business combination prior to its termination date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non-redemption agreements on a derivative liability basis and records any changes in their fair value in the consolidated statements of operations. The amount of such liability was $8,886,828 and $6,646,080 as of December 31,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 Provider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has entered into and may enter into agreements with various service providers and advisors, including investment banks, that helped us identify targets, negotiate terms of potential Business Combinations, and that will help us consummate a Business Combination and/or provide other services. In connection with these agreements, the Company may be required to pay such service providers and advisors fees in connection with their services to the extent that certain conditions, including the closing of a potential Business Combination, are met. If a Business Combination does not occur, the Company would not expect to be required to pay these contingent fees. There can be no assurance that the Company will complete a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recorded an accrual of $751,376 of fees for legal services by outside counsel related to on-going matters and compliance with reporting obligations. In addition, the Company incurred $1,834,636 of fees for legal services by outside counsel related to the acquisition activities which will be payable solely on completion of the Business Combination and won’t be paid if the Business Combination does not close. This portion of the legal fees will be recorded and recognized by the Company only in the event of successful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ID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the Company entered into a Business Combination Agreement (such agreement, the “Business Combination Agreement” and such business combination, the “Business Combination”) by and among CID HoldCo, Inc., a Delaware corporation and a direct, wholly-owned subsidiary of ShoulderUp (“Holdings”), ShoulderUp Merger Sub, Inc., a Delaware corporation and wholly-owned subsidiary of Holdings (“ShoulderUp Merger Sub”), SEI Merger Sub, Inc., a Delaware corporation and a direct, wholly owned subsidiary of Holdings (“SEI Merger Sub” and together with ShoulderUp Merger Sub, the “Merger Subs”) and SEE ID, Inc., a Nevada corporation (“SEE ID”).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Business Combination Agreement and subject to the terms and conditions set forth therein, (i) ShoulderUp Merger Sub will merge with and into ShoulderUp (the “ShoulderUp Merger”), whereby the separate existence of ShoulderUp Merger Sub will cease and ShoulderUp will be the surviving entity of the ShoulderUp Merger and become a wholly owned subsidiary of Holdings, and (ii) following confirmation of the effective filing of the documents required to implement the ShoulderUp Merger, SEI Merger Sub will merge with and into the Company (the “SEE ID Merger” and together with the ShoulderUp Merger, the “Mergers”), the separate existence of SEI Merger Sub will cease and SEE ID will be the surviving entity of the SEE ID Merger and a direct wholly owned subsidiary of Holdings (the “Surviving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transactions, it is expected that Holdings will be listed on the Nasdaq Stock Market,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assurances that the Business Combination will close, the consummation of which remains subject to the satisfaction or waiver of certain customary closing conditions of the respective parties, including, among others, a registration statement of Holdings becoming effective and approval of the Business Combination by the stockholders of ShoulderUp and SEE 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Class A Common Stock Subject to Possible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Public Shares feature certain redemption rights that are considered to be outside of the Company’s control and subject to the occurrence of future events. The Company is authorized to issue 300,000,000 shares of Class A common stock with a par value of $0.0001 per share. Holders of the Company’s Class A common stock are entitled to one vote for each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Special Meeting held on April 20, 2023, holders of 25,845,428 shares of the Company’s Class A common stock exercised their right to redeem their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Special Meeting held on November 17, 2023, holders of 2,170,004 shares of the Company’s Class A common stock exercised their right to redeem their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Special Meeting held on May 17, 2024, holders of 1,125,154 shares of the Company’s Class A common stock exercised their right to redeem their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Special Meeting held on November 19, 2024, holders of 349,505 shares of the Company’s Class A common stock exercised their right to redeem their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Special Meeting held on December 30, 2024, holders of 1,080 shares of the Company’s Class A common stock exercised their right to redeem their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2023, there were respectively 12,308,829 and 3,334,568 shares of Class A common stock outstanding, of which 508,829 and 1,984,568 shares were subject to possible redemption and are classified outside of permanent deficit in the accompanying Consolidated balance sheets,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changes in redemption value of the Class A common stock subject to possible redemption immediately as changes occur and adjusts the carrying value of the Class A common stock subject to possible redemption to equal the redemption value as if liquidation were to occur at the end of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common stock subject to possible redemption reflected on the accompanying Consolidated balance sheets is reconciled on the following table:</w:t>
      </w:r>
    </w:p>
    <w:p>
      <w:pPr>
        <w:pStyle w:val="TextBody"/>
        <w:bidi w:val="0"/>
        <w:spacing w:before="0" w:after="0"/>
        <w:ind w:left="0" w:right="0" w:hanging="0"/>
        <w:jc w:val="both"/>
        <w:rPr>
          <w:caps w:val="false"/>
          <w:smallCaps w:val="false"/>
        </w:rPr>
      </w:pPr>
      <w:r>
        <w:rPr>
          <w:caps w:val="false"/>
          <w:smallCaps w:val="false"/>
        </w:rPr>
        <w:t> </w:t>
      </w:r>
    </w:p>
    <w:tbl>
      <w:tblPr>
        <w:tblW w:w="9770" w:type="dxa"/>
        <w:jc w:val="left"/>
        <w:tblInd w:w="0" w:type="dxa"/>
        <w:tblLayout w:type="fixed"/>
        <w:tblCellMar>
          <w:top w:w="0" w:type="dxa"/>
          <w:left w:w="0" w:type="dxa"/>
          <w:bottom w:w="0" w:type="dxa"/>
          <w:right w:w="0" w:type="dxa"/>
        </w:tblCellMar>
      </w:tblPr>
      <w:tblGrid>
        <w:gridCol w:w="8165"/>
        <w:gridCol w:w="60"/>
        <w:gridCol w:w="140"/>
        <w:gridCol w:w="1295"/>
        <w:gridCol w:w="110"/>
      </w:tblGrid>
      <w:tr>
        <w:trPr/>
        <w:tc>
          <w:tcPr>
            <w:tcW w:w="8165" w:type="dxa"/>
            <w:tcBorders/>
            <w:shd w:fill="CCEEFF" w:val="clear"/>
            <w:vAlign w:val="center"/>
          </w:tcPr>
          <w:p>
            <w:pPr>
              <w:pStyle w:val="TableContents"/>
              <w:bidi w:val="0"/>
              <w:spacing w:before="0" w:after="283"/>
              <w:jc w:val="left"/>
              <w:rPr>
                <w:b/>
              </w:rPr>
            </w:pPr>
            <w:r>
              <w:rPr>
                <w:b/>
              </w:rPr>
              <w:t>Class A common stock subject to possible redemption as of December 31, 2022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309,130,532</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pPr>
            <w:r>
              <w:rPr/>
              <w:t>Redemptions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(292,501,454</w:t>
            </w:r>
          </w:p>
        </w:tc>
        <w:tc>
          <w:tcPr>
            <w:tcW w:w="110" w:type="dxa"/>
            <w:tcBorders/>
            <w:shd w:fill="FFFFFF" w:val="clear"/>
            <w:vAlign w:val="center"/>
          </w:tcPr>
          <w:p>
            <w:pPr>
              <w:pStyle w:val="TableContents"/>
              <w:bidi w:val="0"/>
              <w:spacing w:before="0" w:after="283"/>
              <w:jc w:val="left"/>
              <w:rPr/>
            </w:pPr>
            <w:r>
              <w:rPr/>
              <w:t>)</w:t>
            </w:r>
          </w:p>
        </w:tc>
      </w:tr>
      <w:tr>
        <w:trPr/>
        <w:tc>
          <w:tcPr>
            <w:tcW w:w="8165" w:type="dxa"/>
            <w:tcBorders/>
            <w:shd w:fill="CCEEFF" w:val="clear"/>
            <w:vAlign w:val="center"/>
          </w:tcPr>
          <w:p>
            <w:pPr>
              <w:pStyle w:val="TableContents"/>
              <w:bidi w:val="0"/>
              <w:spacing w:before="0" w:after="283"/>
              <w:jc w:val="left"/>
              <w:rPr/>
            </w:pPr>
            <w:r>
              <w:rPr/>
              <w:t>Increase in redemption value of Class A common stock subject to possible redemption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4,479,147</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b/>
              </w:rPr>
            </w:pPr>
            <w:r>
              <w:rPr>
                <w:b/>
              </w:rPr>
              <w:t>Class A common stock subject to possible redemption as of December 31, 2023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21,108,225</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pPr>
            <w:r>
              <w:rPr/>
              <w:t>Increase in redemption value of Class A common stock subject to possible redemption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453,948</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pPr>
            <w:r>
              <w:rPr/>
              <w:t>Redemptions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(15,966,236</w:t>
            </w:r>
          </w:p>
        </w:tc>
        <w:tc>
          <w:tcPr>
            <w:tcW w:w="110" w:type="dxa"/>
            <w:tcBorders/>
            <w:shd w:fill="FFFFFF" w:val="clear"/>
            <w:vAlign w:val="center"/>
          </w:tcPr>
          <w:p>
            <w:pPr>
              <w:pStyle w:val="TableContents"/>
              <w:bidi w:val="0"/>
              <w:spacing w:before="0" w:after="283"/>
              <w:jc w:val="left"/>
              <w:rPr/>
            </w:pPr>
            <w:r>
              <w:rPr/>
              <w:t>)</w:t>
            </w:r>
          </w:p>
        </w:tc>
      </w:tr>
      <w:tr>
        <w:trPr/>
        <w:tc>
          <w:tcPr>
            <w:tcW w:w="8165" w:type="dxa"/>
            <w:tcBorders/>
            <w:shd w:fill="CCEEFF" w:val="clear"/>
            <w:vAlign w:val="center"/>
          </w:tcPr>
          <w:p>
            <w:pPr>
              <w:pStyle w:val="TableContents"/>
              <w:bidi w:val="0"/>
              <w:spacing w:before="0" w:after="283"/>
              <w:jc w:val="left"/>
              <w:rPr>
                <w:b/>
              </w:rPr>
            </w:pPr>
            <w:r>
              <w:rPr>
                <w:b/>
              </w:rPr>
              <w:t>Class A common stock subject to possible redemption as of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5,595,937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Stockholders’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xml:space="preserve"> - The Company is authorized to issue 1,000,000 shares of preferred stock with a par value of $0.0001 from time to time in one or more series. As of December 31, 2024 and 2023, there were no shares of preferred stock issued or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Class A Common stock</w:t>
      </w:r>
      <w:r>
        <w:rPr>
          <w:rFonts w:ascii="Times New Roman;Times;Serif" w:hAnsi="Times New Roman;Times;Serif"/>
          <w:b w:val="false"/>
          <w:i w:val="false"/>
          <w:caps w:val="false"/>
          <w:smallCaps w:val="false"/>
          <w:sz w:val="20"/>
        </w:rPr>
        <w:t xml:space="preserve"> - The Company is authorized to issue 300,000,000 shares of Class A common stock with a par value of $0.0001 per share. At December 31, 2024 and 2023, respectively 12,308,829 and 3,334,568 shares of Class A common stock were issued and outstanding, of which 508,829 and 1,984,568 shares of Class A common stock are subject to possible redemption (see Note 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Convertible Class B Common stock</w:t>
      </w:r>
      <w:r>
        <w:rPr>
          <w:rFonts w:ascii="Times New Roman;Times;Serif" w:hAnsi="Times New Roman;Times;Serif"/>
          <w:b w:val="false"/>
          <w:i w:val="false"/>
          <w:caps w:val="false"/>
          <w:smallCaps w:val="false"/>
          <w:sz w:val="20"/>
        </w:rPr>
        <w:t xml:space="preserve"> - The Company is authorized to issue 20,000,000 shares of Class B common stock with a par value of $0.0001 per share. Holders are entitled to one vote for each share of Class B common stock. On August 30, 2021, the Sponsor paid $25,000, or approximately $0.003 per share, in consideration for 9,833,333 shares of Class B common stock, par value $0.0001. Up to 1,250,000 Founder Shares were subject to forfeiture by the Sponsor depending on the extent to which the underwriters’ over-allotment option was exercised. In November 2021, the Company effected a 1.0627119 for 1 stock split of the Class B common stock, so that the Sponsor owns an aggregate of 10,450,000 Founder Shares. Up to 1,190,000 of the Founder Shares would have been forfeited depending on the extent to which the underwriters’ over-allotment option was not exercised. Because of the underwriters’ full exercise of the over-allotment option on November 19, 2021, 1,190,000 shares are no longer subject to forfeiture. On November 19, 2024, the Sponsor elected to convert all of the 10,450,000 shares of Class B common stock held by the Sponsor into 10,450,000 shares of Class A common stock pursuant to Section 4.3(b)(i) of Article IV of the Company’s existing Amended and Restated Certificate of Incorporation. The conversion is effective as of November 19, 2024. As of December 31, 2024 and 2023, there were none and 10,450,000 shares of Class B Common Stock issued and outstanding,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record of the Class A common stock and holders of record of the Class B common stock will vote together as a single class on all matters submitted to a vote of the Company’s stockholders, with each share of common stock entitling the holder to one vote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December 29, 2023, the Company amended its certificate of incorporation to allow for the right of a holder of Class B common stock of the Company to convert its shares of Class B common stock into shares of Class A common stock on a one-to-one basis at any time and from time to time at the election of the holder. The newly issued Class A common stock would not have any redemption rights and would continue to be subject to a lock-up period upon consummation of the business combination. The amendment was approved by the Company’s stockholders at a meeting held on December 28,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B common stock (to the extent not already converted) will automatically convert into shares of Class A common stock at the time of the initial Business Combination on a one-for-one basis (subject to adjustment for stock splits, stock dividends, reorganizations, recapitalizations and the like), and subject to further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xml:space="preserve"> - As of December 31, 2024 and 2023, there were 15,675,000 warrants issued and outstanding (15,000,000 Public Warrants and 675,000 Private Placement Warrants). Each whole warrant entitles the holder to purchase one Class A common share at a price of $11.50 per share, subject to adjustment as discussed herein. In addition, if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Company’s initial stockholders or their respective affiliates, without taking into account any Founder Shares held by them, as applicable, prior to such issuance) (the “newly issued price”), the exercise price of the warrants will be adjusted (to the nearest cent) to be equal to 115% of the newly issued price.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become exercisable on the later of 30 days after the completion of the Company’s initial Business Combination and 12 months from the closing of the IPO and will expire five years after the completion of the Company’s initial Business Combination, at 5:00 p.m., New York City time, or earlier upon redemption or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registering the shares of Class A common stock issuable upon exercise of the warrants at this time. However, the Company has agreed that as soon as practicable, but in no event later than 15 business days after the closing of the initial Business Combination, the Company will use its best efforts to file with the SEC and have an effective registration statement covering the shares of Class A common stock issuable upon exercise of the warrants and to maintain a current prospectus relating to those shares of Class A common stock until the warrants expire or are redeemed, as specified in the warrant agreement. If a registration statement covering the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Company’s shares of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its best efforts to register or qualify the shares under applicable blue sky laws to the extent an exemption is not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warrants become exercisable, the Company may redeem the outstanding warrants: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 whole and not in part;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at a price of $0.01 per warrant;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upon a minimum of 30 days’ prior written notice of redemption (the 30-day redemption period);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and only if, the last reported sale price of the Class A common stock equals or exceeds $18.00 per share (as adjusted for stock splits, stock dividends, reorganizations, recapitalizations and the like) for any 20 trading days within a 30-trading day period ending on the third trading day prior to the date on which the Company sends the notice of redemption to the warrant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calls the warrants for redemption as described above, the management will have the option to require all holders that wish to exercise warrants to do so on a “cashless basis.” In determining whether to require all holders to exercise their warrants on a “cashless basis,” the management will consider, among other factors, the Company’s cash position, the number of warrants that are outstanding and the dilutive effect on the stockholders of issuing the maximum number of shares of Class A common stock issuable upon the exercise of the warrants.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excess of the “fair market value” (as defined below) over the exercise price of the warrants by (y) the fair market value. The “fair market value” shall mean the average last reported sale price of shares of the Class A common stock for the 10 trading days ending on the third trading day prior to the date on which the notice of redemption is sent to the holders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15,675,000 warrants that would be issued in connection with the IPO (including the 15,000,000 Public Warrants included in the Units and the 675,000 Private Placement Warrants included in the Private Units) in accordance with the guidance contained in ASC 815-40. Such guidance provides that the warrants meet the criteria for equity treatment due to the existence of provisions whereby adjustments to the exercise price of the warrants is based on a variable that is an input to the fair value of a “fixed-for-fixed” option and no circumstances under which the Company can be forced to net cash settle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information about the Company’s assets that are measured at fair value on a recurring basis as of December 31, 2024 and 2023, and indicate the fair value hierarchy of the valuation techniques that the Company utilized to determine such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p>
      <w:pPr>
        <w:pStyle w:val="TextBody"/>
        <w:bidi w:val="0"/>
        <w:spacing w:before="0" w:after="0"/>
        <w:ind w:left="0" w:right="0" w:hanging="0"/>
        <w:jc w:val="both"/>
        <w:rPr>
          <w:caps w:val="false"/>
          <w:smallCaps w:val="false"/>
        </w:rPr>
      </w:pPr>
      <w:r>
        <w:rPr>
          <w:caps w:val="false"/>
          <w:smallCaps w:val="false"/>
        </w:rPr>
        <w:t> </w:t>
      </w:r>
    </w:p>
    <w:tbl>
      <w:tblPr>
        <w:tblW w:w="8359" w:type="dxa"/>
        <w:jc w:val="left"/>
        <w:tblInd w:w="0" w:type="dxa"/>
        <w:tblLayout w:type="fixed"/>
        <w:tblCellMar>
          <w:top w:w="0" w:type="dxa"/>
          <w:left w:w="0" w:type="dxa"/>
          <w:bottom w:w="28" w:type="dxa"/>
          <w:right w:w="0" w:type="dxa"/>
        </w:tblCellMar>
      </w:tblPr>
      <w:tblGrid>
        <w:gridCol w:w="4475"/>
        <w:gridCol w:w="60"/>
        <w:gridCol w:w="316"/>
        <w:gridCol w:w="588"/>
        <w:gridCol w:w="60"/>
        <w:gridCol w:w="60"/>
        <w:gridCol w:w="411"/>
        <w:gridCol w:w="764"/>
        <w:gridCol w:w="60"/>
        <w:gridCol w:w="60"/>
        <w:gridCol w:w="178"/>
        <w:gridCol w:w="1252"/>
        <w:gridCol w:w="75"/>
      </w:tblGrid>
      <w:tr>
        <w:trPr/>
        <w:tc>
          <w:tcPr>
            <w:tcW w:w="4475" w:type="dxa"/>
            <w:tcBorders>
              <w:bottom w:val="single" w:sz="12" w:space="0" w:color="000000"/>
            </w:tcBorders>
            <w:vAlign w:val="center"/>
          </w:tcPr>
          <w:p>
            <w:pPr>
              <w:pStyle w:val="TableContents"/>
              <w:bidi w:val="0"/>
              <w:spacing w:before="0" w:after="283"/>
              <w:jc w:val="left"/>
              <w:rPr>
                <w:b/>
              </w:rPr>
            </w:pPr>
            <w:r>
              <w:rPr>
                <w:b/>
              </w:rPr>
              <w:t>Description</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12" w:space="0" w:color="000000"/>
            </w:tcBorders>
            <w:vAlign w:val="center"/>
          </w:tcPr>
          <w:p>
            <w:pPr>
              <w:pStyle w:val="TableContents"/>
              <w:bidi w:val="0"/>
              <w:spacing w:before="0" w:after="283"/>
              <w:jc w:val="center"/>
              <w:rPr>
                <w:b/>
              </w:rPr>
            </w:pPr>
            <w:r>
              <w:rPr>
                <w:b/>
              </w:rPr>
              <w:t>Quoted</w:t>
              <w:br/>
              <w:t>Prices in</w:t>
              <w:br/>
              <w:t>Active</w:t>
              <w:br/>
              <w:t>Markets</w:t>
              <w:br/>
              <w:t>(Level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12" w:space="0" w:color="000000"/>
            </w:tcBorders>
            <w:vAlign w:val="center"/>
          </w:tcPr>
          <w:p>
            <w:pPr>
              <w:pStyle w:val="TableContents"/>
              <w:bidi w:val="0"/>
              <w:spacing w:before="0" w:after="283"/>
              <w:jc w:val="center"/>
              <w:rPr>
                <w:b/>
              </w:rPr>
            </w:pPr>
            <w:r>
              <w:rPr>
                <w:b/>
              </w:rPr>
              <w:t>Significant</w:t>
              <w:br/>
              <w:t>Other</w:t>
              <w:br/>
              <w:t>Observable</w:t>
              <w:br/>
              <w:t>Inputs</w:t>
              <w:br/>
              <w:t>(Level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gridSpan w:val="2"/>
            <w:tcBorders>
              <w:bottom w:val="single" w:sz="12" w:space="0" w:color="000000"/>
            </w:tcBorders>
            <w:vAlign w:val="center"/>
          </w:tcPr>
          <w:p>
            <w:pPr>
              <w:pStyle w:val="TableContents"/>
              <w:bidi w:val="0"/>
              <w:spacing w:before="0" w:after="283"/>
              <w:jc w:val="center"/>
              <w:rPr>
                <w:b/>
              </w:rPr>
            </w:pPr>
            <w:r>
              <w:rPr>
                <w:b/>
              </w:rPr>
              <w:t>Significant</w:t>
              <w:br/>
              <w:t>Other</w:t>
              <w:br/>
              <w:t>Unobservable</w:t>
              <w:br/>
              <w:t>Inputs</w:t>
              <w:br/>
              <w:t>(Level 3)</w:t>
            </w:r>
          </w:p>
        </w:tc>
        <w:tc>
          <w:tcPr>
            <w:tcW w:w="75" w:type="dxa"/>
            <w:tcBorders/>
            <w:tcMar>
              <w:bottom w:w="0" w:type="dxa"/>
            </w:tcMar>
            <w:vAlign w:val="center"/>
          </w:tcPr>
          <w:p>
            <w:pPr>
              <w:pStyle w:val="TableContents"/>
              <w:bidi w:val="0"/>
              <w:spacing w:before="0" w:after="283"/>
              <w:jc w:val="left"/>
              <w:rPr/>
            </w:pPr>
            <w:r>
              <w:rPr/>
              <w:t> </w:t>
            </w:r>
          </w:p>
        </w:tc>
      </w:tr>
      <w:tr>
        <w:trPr/>
        <w:tc>
          <w:tcPr>
            <w:tcW w:w="4475" w:type="dxa"/>
            <w:tcBorders/>
            <w:tcMar>
              <w:bottom w:w="0" w:type="dxa"/>
            </w:tcMar>
            <w:vAlign w:val="center"/>
          </w:tcPr>
          <w:p>
            <w:pPr>
              <w:pStyle w:val="TableContents"/>
              <w:bidi w:val="0"/>
              <w:spacing w:before="0" w:after="283"/>
              <w:jc w:val="left"/>
              <w:rPr>
                <w:b/>
              </w:rPr>
            </w:pPr>
            <w:r>
              <w:rPr>
                <w:b/>
              </w:rPr>
              <w:t>Liabilities:</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475" w:type="dxa"/>
            <w:tcBorders/>
            <w:shd w:fill="CCEEFF" w:val="clear"/>
            <w:tcMar>
              <w:bottom w:w="0" w:type="dxa"/>
            </w:tcMar>
            <w:vAlign w:val="center"/>
          </w:tcPr>
          <w:p>
            <w:pPr>
              <w:pStyle w:val="TableContents"/>
              <w:bidi w:val="0"/>
              <w:spacing w:before="0" w:after="283"/>
              <w:jc w:val="left"/>
              <w:rPr/>
            </w:pPr>
            <w:r>
              <w:rPr/>
              <w:t>Non-redemption agreements derivative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jc w:val="left"/>
              <w:rPr/>
            </w:pPr>
            <w:r>
              <w:rPr/>
              <w:t>$</w:t>
            </w:r>
          </w:p>
        </w:tc>
        <w:tc>
          <w:tcPr>
            <w:tcW w:w="58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1" w:type="dxa"/>
            <w:tcBorders/>
            <w:shd w:fill="CCEEFF" w:val="clear"/>
            <w:tcMar>
              <w:bottom w:w="0" w:type="dxa"/>
            </w:tcMar>
            <w:vAlign w:val="center"/>
          </w:tcPr>
          <w:p>
            <w:pPr>
              <w:pStyle w:val="TableContents"/>
              <w:bidi w:val="0"/>
              <w:spacing w:before="0" w:after="283"/>
              <w:jc w:val="left"/>
              <w:rPr/>
            </w:pPr>
            <w:r>
              <w:rPr/>
              <w:t>$</w:t>
            </w:r>
          </w:p>
        </w:tc>
        <w:tc>
          <w:tcPr>
            <w:tcW w:w="76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w:t>
            </w:r>
          </w:p>
        </w:tc>
        <w:tc>
          <w:tcPr>
            <w:tcW w:w="1252" w:type="dxa"/>
            <w:tcBorders/>
            <w:shd w:fill="CCEEFF" w:val="clear"/>
            <w:tcMar>
              <w:bottom w:w="0" w:type="dxa"/>
            </w:tcMar>
            <w:vAlign w:val="center"/>
          </w:tcPr>
          <w:p>
            <w:pPr>
              <w:pStyle w:val="TableContents"/>
              <w:bidi w:val="0"/>
              <w:spacing w:before="0" w:after="283"/>
              <w:jc w:val="right"/>
              <w:rPr/>
            </w:pPr>
            <w:r>
              <w:rPr/>
              <w:t>8,886,828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p>
      <w:pPr>
        <w:pStyle w:val="TextBody"/>
        <w:bidi w:val="0"/>
        <w:spacing w:before="0" w:after="0"/>
        <w:ind w:left="0" w:right="0" w:hanging="0"/>
        <w:jc w:val="both"/>
        <w:rPr>
          <w:caps w:val="false"/>
          <w:smallCaps w:val="false"/>
        </w:rPr>
      </w:pPr>
      <w:r>
        <w:rPr>
          <w:caps w:val="false"/>
          <w:smallCaps w:val="false"/>
        </w:rPr>
        <w:t> </w:t>
      </w:r>
    </w:p>
    <w:tbl>
      <w:tblPr>
        <w:tblW w:w="8359" w:type="dxa"/>
        <w:jc w:val="left"/>
        <w:tblInd w:w="0" w:type="dxa"/>
        <w:tblLayout w:type="fixed"/>
        <w:tblCellMar>
          <w:top w:w="0" w:type="dxa"/>
          <w:left w:w="0" w:type="dxa"/>
          <w:bottom w:w="28" w:type="dxa"/>
          <w:right w:w="0" w:type="dxa"/>
        </w:tblCellMar>
      </w:tblPr>
      <w:tblGrid>
        <w:gridCol w:w="4475"/>
        <w:gridCol w:w="60"/>
        <w:gridCol w:w="316"/>
        <w:gridCol w:w="588"/>
        <w:gridCol w:w="60"/>
        <w:gridCol w:w="60"/>
        <w:gridCol w:w="411"/>
        <w:gridCol w:w="764"/>
        <w:gridCol w:w="60"/>
        <w:gridCol w:w="60"/>
        <w:gridCol w:w="178"/>
        <w:gridCol w:w="1252"/>
        <w:gridCol w:w="75"/>
      </w:tblGrid>
      <w:tr>
        <w:trPr/>
        <w:tc>
          <w:tcPr>
            <w:tcW w:w="4475" w:type="dxa"/>
            <w:tcBorders>
              <w:bottom w:val="single" w:sz="12" w:space="0" w:color="000000"/>
            </w:tcBorders>
            <w:vAlign w:val="center"/>
          </w:tcPr>
          <w:p>
            <w:pPr>
              <w:pStyle w:val="TableContents"/>
              <w:bidi w:val="0"/>
              <w:spacing w:before="0" w:after="283"/>
              <w:jc w:val="left"/>
              <w:rPr>
                <w:b/>
              </w:rPr>
            </w:pPr>
            <w:r>
              <w:rPr>
                <w:b/>
              </w:rPr>
              <w:t>Description</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12" w:space="0" w:color="000000"/>
            </w:tcBorders>
            <w:vAlign w:val="center"/>
          </w:tcPr>
          <w:p>
            <w:pPr>
              <w:pStyle w:val="TableContents"/>
              <w:bidi w:val="0"/>
              <w:spacing w:before="0" w:after="283"/>
              <w:jc w:val="center"/>
              <w:rPr>
                <w:b/>
              </w:rPr>
            </w:pPr>
            <w:r>
              <w:rPr>
                <w:b/>
              </w:rPr>
              <w:t>Quoted</w:t>
              <w:br/>
              <w:t>Prices in</w:t>
              <w:br/>
              <w:t>Active</w:t>
              <w:br/>
              <w:t>Markets</w:t>
              <w:br/>
              <w:t>(Level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12" w:space="0" w:color="000000"/>
            </w:tcBorders>
            <w:vAlign w:val="center"/>
          </w:tcPr>
          <w:p>
            <w:pPr>
              <w:pStyle w:val="TableContents"/>
              <w:bidi w:val="0"/>
              <w:spacing w:before="0" w:after="283"/>
              <w:jc w:val="center"/>
              <w:rPr>
                <w:b/>
              </w:rPr>
            </w:pPr>
            <w:r>
              <w:rPr>
                <w:b/>
              </w:rPr>
              <w:t>Significant</w:t>
              <w:br/>
              <w:t>Other</w:t>
              <w:br/>
              <w:t>Observable</w:t>
              <w:br/>
              <w:t>Inputs</w:t>
              <w:br/>
              <w:t>(Level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gridSpan w:val="2"/>
            <w:tcBorders>
              <w:bottom w:val="single" w:sz="12" w:space="0" w:color="000000"/>
            </w:tcBorders>
            <w:vAlign w:val="center"/>
          </w:tcPr>
          <w:p>
            <w:pPr>
              <w:pStyle w:val="TableContents"/>
              <w:bidi w:val="0"/>
              <w:spacing w:before="0" w:after="283"/>
              <w:jc w:val="center"/>
              <w:rPr>
                <w:b/>
              </w:rPr>
            </w:pPr>
            <w:r>
              <w:rPr>
                <w:b/>
              </w:rPr>
              <w:t>Significant</w:t>
              <w:br/>
              <w:t>Other</w:t>
              <w:br/>
              <w:t>Unobservable</w:t>
              <w:br/>
              <w:t>Inputs</w:t>
              <w:br/>
              <w:t>(Level 3)</w:t>
            </w:r>
          </w:p>
        </w:tc>
        <w:tc>
          <w:tcPr>
            <w:tcW w:w="75" w:type="dxa"/>
            <w:tcBorders/>
            <w:tcMar>
              <w:bottom w:w="0" w:type="dxa"/>
            </w:tcMar>
            <w:vAlign w:val="center"/>
          </w:tcPr>
          <w:p>
            <w:pPr>
              <w:pStyle w:val="TableContents"/>
              <w:bidi w:val="0"/>
              <w:spacing w:before="0" w:after="283"/>
              <w:jc w:val="left"/>
              <w:rPr/>
            </w:pPr>
            <w:r>
              <w:rPr/>
              <w:t> </w:t>
            </w:r>
          </w:p>
        </w:tc>
      </w:tr>
      <w:tr>
        <w:trPr/>
        <w:tc>
          <w:tcPr>
            <w:tcW w:w="4475" w:type="dxa"/>
            <w:tcBorders/>
            <w:tcMar>
              <w:bottom w:w="0" w:type="dxa"/>
            </w:tcMar>
            <w:vAlign w:val="center"/>
          </w:tcPr>
          <w:p>
            <w:pPr>
              <w:pStyle w:val="TableContents"/>
              <w:bidi w:val="0"/>
              <w:spacing w:before="0" w:after="283"/>
              <w:jc w:val="left"/>
              <w:rPr>
                <w:b/>
              </w:rPr>
            </w:pPr>
            <w:r>
              <w:rPr>
                <w:b/>
              </w:rPr>
              <w:t>Liabilities:</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475" w:type="dxa"/>
            <w:tcBorders/>
            <w:shd w:fill="CCEEFF" w:val="clear"/>
            <w:tcMar>
              <w:bottom w:w="0" w:type="dxa"/>
            </w:tcMar>
            <w:vAlign w:val="center"/>
          </w:tcPr>
          <w:p>
            <w:pPr>
              <w:pStyle w:val="TableContents"/>
              <w:bidi w:val="0"/>
              <w:spacing w:before="0" w:after="283"/>
              <w:jc w:val="left"/>
              <w:rPr/>
            </w:pPr>
            <w:r>
              <w:rPr/>
              <w:t>Non-redemption agreements derivative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jc w:val="left"/>
              <w:rPr/>
            </w:pPr>
            <w:r>
              <w:rPr/>
              <w:t>$</w:t>
            </w:r>
          </w:p>
        </w:tc>
        <w:tc>
          <w:tcPr>
            <w:tcW w:w="58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1" w:type="dxa"/>
            <w:tcBorders/>
            <w:shd w:fill="CCEEFF" w:val="clear"/>
            <w:tcMar>
              <w:bottom w:w="0" w:type="dxa"/>
            </w:tcMar>
            <w:vAlign w:val="center"/>
          </w:tcPr>
          <w:p>
            <w:pPr>
              <w:pStyle w:val="TableContents"/>
              <w:bidi w:val="0"/>
              <w:spacing w:before="0" w:after="283"/>
              <w:jc w:val="left"/>
              <w:rPr/>
            </w:pPr>
            <w:r>
              <w:rPr/>
              <w:t>$</w:t>
            </w:r>
          </w:p>
        </w:tc>
        <w:tc>
          <w:tcPr>
            <w:tcW w:w="76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w:t>
            </w:r>
          </w:p>
        </w:tc>
        <w:tc>
          <w:tcPr>
            <w:tcW w:w="1252" w:type="dxa"/>
            <w:tcBorders/>
            <w:shd w:fill="CCEEFF" w:val="clear"/>
            <w:tcMar>
              <w:bottom w:w="0" w:type="dxa"/>
            </w:tcMar>
            <w:vAlign w:val="center"/>
          </w:tcPr>
          <w:p>
            <w:pPr>
              <w:pStyle w:val="TableContents"/>
              <w:bidi w:val="0"/>
              <w:spacing w:before="0" w:after="283"/>
              <w:jc w:val="right"/>
              <w:rPr/>
            </w:pPr>
            <w:r>
              <w:rPr/>
              <w:t>6,646,080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Non-Redemption Agreements derivative liability were accounted for as liabilities in accordance with ASC 815 and are presented on the Consolidated balance sheets. The non-redemption agreements derivative liability are measured at fair value at inception and on a recurring basis, with changes in fair value presented within change in fair value of derivative liability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December 31, 2024 the Non-Redemption Agreements derivative liability were valued using a Monte-Carlo simulation model, which is considered to be a Level 3 fair value measurement. As of December 31, 2024, the value of Non-Redemption Agreements derivative liability was determined by applying the estimated probability of the successful business combination to the market price of the Class A common stock. The key inputs used in the estimate of the Non-Redemption Agreements derivative liability were as follows:</w:t>
      </w:r>
    </w:p>
    <w:p>
      <w:pPr>
        <w:pStyle w:val="TextBody"/>
        <w:bidi w:val="0"/>
        <w:spacing w:before="0" w:after="0"/>
        <w:ind w:left="0" w:right="0" w:hanging="0"/>
        <w:jc w:val="both"/>
        <w:rPr>
          <w:caps w:val="false"/>
          <w:smallCaps w:val="false"/>
        </w:rPr>
      </w:pPr>
      <w:r>
        <w:rPr>
          <w:caps w:val="false"/>
          <w:smallCaps w:val="false"/>
        </w:rPr>
        <w:t> </w:t>
      </w:r>
    </w:p>
    <w:tbl>
      <w:tblPr>
        <w:tblW w:w="8945" w:type="dxa"/>
        <w:jc w:val="left"/>
        <w:tblInd w:w="0" w:type="dxa"/>
        <w:tblLayout w:type="fixed"/>
        <w:tblCellMar>
          <w:top w:w="0" w:type="dxa"/>
          <w:left w:w="0" w:type="dxa"/>
          <w:bottom w:w="28" w:type="dxa"/>
          <w:right w:w="0" w:type="dxa"/>
        </w:tblCellMar>
      </w:tblPr>
      <w:tblGrid>
        <w:gridCol w:w="4430"/>
        <w:gridCol w:w="60"/>
        <w:gridCol w:w="283"/>
        <w:gridCol w:w="1132"/>
        <w:gridCol w:w="215"/>
        <w:gridCol w:w="60"/>
        <w:gridCol w:w="169"/>
        <w:gridCol w:w="676"/>
        <w:gridCol w:w="215"/>
        <w:gridCol w:w="60"/>
        <w:gridCol w:w="136"/>
        <w:gridCol w:w="1279"/>
        <w:gridCol w:w="230"/>
      </w:tblGrid>
      <w:tr>
        <w:trPr/>
        <w:tc>
          <w:tcPr>
            <w:tcW w:w="4430" w:type="dxa"/>
            <w:tcBorders>
              <w:bottom w:val="single" w:sz="12" w:space="0" w:color="000000"/>
            </w:tcBorders>
            <w:vAlign w:val="center"/>
          </w:tcPr>
          <w:p>
            <w:pPr>
              <w:pStyle w:val="TableContents"/>
              <w:bidi w:val="0"/>
              <w:spacing w:before="0" w:after="283"/>
              <w:jc w:val="left"/>
              <w:rPr>
                <w:b/>
              </w:rPr>
            </w:pPr>
            <w:r>
              <w:rPr>
                <w:b/>
              </w:rPr>
              <w:t>Input</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2024</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 w:type="dxa"/>
            <w:gridSpan w:val="2"/>
            <w:tcBorders>
              <w:bottom w:val="single" w:sz="12" w:space="0" w:color="000000"/>
            </w:tcBorders>
            <w:vAlign w:val="center"/>
          </w:tcPr>
          <w:p>
            <w:pPr>
              <w:pStyle w:val="TableContents"/>
              <w:bidi w:val="0"/>
              <w:spacing w:before="0" w:after="283"/>
              <w:jc w:val="center"/>
              <w:rPr>
                <w:b/>
              </w:rPr>
            </w:pPr>
            <w:r>
              <w:rPr>
                <w:b/>
              </w:rPr>
              <w:t>May 17,</w:t>
              <w:br/>
              <w:t>2024</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2023</w:t>
            </w:r>
          </w:p>
        </w:tc>
        <w:tc>
          <w:tcPr>
            <w:tcW w:w="230" w:type="dxa"/>
            <w:tcBorders/>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pPr>
            <w:r>
              <w:rPr/>
              <w:t>Market price of Class A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w:t>
            </w:r>
          </w:p>
        </w:tc>
        <w:tc>
          <w:tcPr>
            <w:tcW w:w="1132" w:type="dxa"/>
            <w:tcBorders/>
            <w:shd w:fill="CCEEFF" w:val="clear"/>
            <w:tcMar>
              <w:bottom w:w="0" w:type="dxa"/>
            </w:tcMar>
            <w:vAlign w:val="center"/>
          </w:tcPr>
          <w:p>
            <w:pPr>
              <w:pStyle w:val="TableContents"/>
              <w:bidi w:val="0"/>
              <w:spacing w:before="0" w:after="283"/>
              <w:jc w:val="right"/>
              <w:rPr/>
            </w:pPr>
            <w:r>
              <w:rPr/>
              <w:t>10.81</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w:t>
            </w:r>
          </w:p>
        </w:tc>
        <w:tc>
          <w:tcPr>
            <w:tcW w:w="676" w:type="dxa"/>
            <w:tcBorders/>
            <w:shd w:fill="CCEEFF" w:val="clear"/>
            <w:tcMar>
              <w:bottom w:w="0" w:type="dxa"/>
            </w:tcMar>
            <w:vAlign w:val="center"/>
          </w:tcPr>
          <w:p>
            <w:pPr>
              <w:pStyle w:val="TableContents"/>
              <w:bidi w:val="0"/>
              <w:spacing w:before="0" w:after="283"/>
              <w:jc w:val="right"/>
              <w:rPr/>
            </w:pPr>
            <w:r>
              <w:rPr/>
              <w:t>10.82</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279" w:type="dxa"/>
            <w:tcBorders/>
            <w:shd w:fill="CCEEFF" w:val="clear"/>
            <w:tcMar>
              <w:bottom w:w="0" w:type="dxa"/>
            </w:tcMar>
            <w:vAlign w:val="center"/>
          </w:tcPr>
          <w:p>
            <w:pPr>
              <w:pStyle w:val="TableContents"/>
              <w:bidi w:val="0"/>
              <w:spacing w:before="0" w:after="283"/>
              <w:jc w:val="right"/>
              <w:rPr/>
            </w:pPr>
            <w:r>
              <w:rPr/>
              <w:t>10.72</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pPr>
            <w:r>
              <w:rPr/>
              <w:t>Risk-free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pPr>
            <w:r>
              <w:rPr/>
              <w:t> </w:t>
            </w:r>
            <w:r>
              <w:rPr/>
              <w:t>n/a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right"/>
              <w:rPr/>
            </w:pPr>
            <w:r>
              <w:rPr/>
              <w:t>4.98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279" w:type="dxa"/>
            <w:tcBorders/>
            <w:shd w:fill="FFFFFF" w:val="clear"/>
            <w:tcMar>
              <w:bottom w:w="0" w:type="dxa"/>
            </w:tcMar>
            <w:vAlign w:val="center"/>
          </w:tcPr>
          <w:p>
            <w:pPr>
              <w:pStyle w:val="TableContents"/>
              <w:bidi w:val="0"/>
              <w:spacing w:before="0" w:after="283"/>
              <w:jc w:val="right"/>
              <w:rPr/>
            </w:pPr>
            <w:r>
              <w:rPr/>
              <w:t>4.56</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430" w:type="dxa"/>
            <w:tcBorders/>
            <w:shd w:fill="CCEEFF" w:val="clear"/>
            <w:tcMar>
              <w:bottom w:w="0" w:type="dxa"/>
            </w:tcMar>
            <w:vAlign w:val="center"/>
          </w:tcPr>
          <w:p>
            <w:pPr>
              <w:pStyle w:val="TableContents"/>
              <w:bidi w:val="0"/>
              <w:spacing w:before="0" w:after="283"/>
              <w:jc w:val="left"/>
              <w:rPr/>
            </w:pPr>
            <w:r>
              <w:rPr/>
              <w:t>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pPr>
            <w:r>
              <w:rPr/>
              <w:t> </w:t>
            </w:r>
            <w:r>
              <w:rPr/>
              <w:t>n/a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right"/>
              <w:rPr/>
            </w:pPr>
            <w:r>
              <w:rPr/>
              <w:t>34.8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279" w:type="dxa"/>
            <w:tcBorders/>
            <w:shd w:fill="CCEEFF" w:val="clear"/>
            <w:tcMar>
              <w:bottom w:w="0" w:type="dxa"/>
            </w:tcMar>
            <w:vAlign w:val="center"/>
          </w:tcPr>
          <w:p>
            <w:pPr>
              <w:pStyle w:val="TableContents"/>
              <w:bidi w:val="0"/>
              <w:spacing w:before="0" w:after="283"/>
              <w:jc w:val="right"/>
              <w:rPr/>
            </w:pPr>
            <w:r>
              <w:rPr/>
              <w:t>39.9</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430" w:type="dxa"/>
            <w:tcBorders/>
            <w:shd w:fill="FFFFFF" w:val="clear"/>
            <w:tcMar>
              <w:bottom w:w="0" w:type="dxa"/>
            </w:tcMar>
            <w:vAlign w:val="center"/>
          </w:tcPr>
          <w:p>
            <w:pPr>
              <w:pStyle w:val="TableContents"/>
              <w:bidi w:val="0"/>
              <w:spacing w:before="0" w:after="283"/>
              <w:jc w:val="left"/>
              <w:rPr/>
            </w:pPr>
            <w:r>
              <w:rPr/>
              <w:t>Term</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pPr>
            <w:r>
              <w:rPr/>
              <w:t> </w:t>
            </w:r>
            <w:r>
              <w:rPr/>
              <w:t>n/a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right"/>
              <w:rPr/>
            </w:pPr>
            <w:r>
              <w:rPr/>
              <w:t>1.51</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279" w:type="dxa"/>
            <w:tcBorders/>
            <w:shd w:fill="FFFFFF" w:val="clear"/>
            <w:tcMar>
              <w:bottom w:w="0" w:type="dxa"/>
            </w:tcMar>
            <w:vAlign w:val="center"/>
          </w:tcPr>
          <w:p>
            <w:pPr>
              <w:pStyle w:val="TableContents"/>
              <w:bidi w:val="0"/>
              <w:spacing w:before="0" w:after="283"/>
              <w:jc w:val="right"/>
              <w:rPr/>
            </w:pPr>
            <w:r>
              <w:rPr/>
              <w:t>1.41</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pPr>
            <w:r>
              <w:rPr/>
              <w:t>Probability of successful business combination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pPr>
            <w:r>
              <w:rPr/>
              <w:t>50.0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right"/>
              <w:rPr/>
            </w:pPr>
            <w:r>
              <w:rPr/>
              <w:t>50.0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279" w:type="dxa"/>
            <w:tcBorders/>
            <w:shd w:fill="CCEEFF" w:val="clear"/>
            <w:tcMar>
              <w:bottom w:w="0" w:type="dxa"/>
            </w:tcMar>
            <w:vAlign w:val="center"/>
          </w:tcPr>
          <w:p>
            <w:pPr>
              <w:pStyle w:val="TableContents"/>
              <w:bidi w:val="0"/>
              <w:spacing w:before="0" w:after="283"/>
              <w:jc w:val="right"/>
              <w:rPr/>
            </w:pPr>
            <w:r>
              <w:rPr/>
              <w:t>50.0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430" w:type="dxa"/>
            <w:tcBorders/>
            <w:shd w:fill="FFFFFF" w:val="clear"/>
            <w:tcMar>
              <w:bottom w:w="0" w:type="dxa"/>
            </w:tcMar>
            <w:vAlign w:val="center"/>
          </w:tcPr>
          <w:p>
            <w:pPr>
              <w:pStyle w:val="TableContents"/>
              <w:bidi w:val="0"/>
              <w:spacing w:before="0" w:after="283"/>
              <w:jc w:val="left"/>
              <w:rPr/>
            </w:pPr>
            <w:r>
              <w:rPr/>
              <w:t>Discount for lack of marketability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pPr>
            <w:r>
              <w:rPr/>
              <w:t> </w:t>
            </w:r>
            <w:r>
              <w:rPr/>
              <w:t>n/a</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right"/>
              <w:rPr/>
            </w:pPr>
            <w:r>
              <w:rPr/>
              <w:t>9.0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279" w:type="dxa"/>
            <w:tcBorders/>
            <w:shd w:fill="FFFFFF" w:val="clear"/>
            <w:tcMar>
              <w:bottom w:w="0" w:type="dxa"/>
            </w:tcMar>
            <w:vAlign w:val="center"/>
          </w:tcPr>
          <w:p>
            <w:pPr>
              <w:pStyle w:val="TableContents"/>
              <w:bidi w:val="0"/>
              <w:spacing w:before="0" w:after="283"/>
              <w:jc w:val="right"/>
              <w:rPr/>
            </w:pPr>
            <w:r>
              <w:rPr/>
              <w:t>9.9</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430" w:type="dxa"/>
            <w:tcBorders/>
            <w:shd w:fill="CCEEFF" w:val="clear"/>
            <w:tcMar>
              <w:bottom w:w="0" w:type="dxa"/>
            </w:tcMar>
            <w:vAlign w:val="center"/>
          </w:tcPr>
          <w:p>
            <w:pPr>
              <w:pStyle w:val="TableContents"/>
              <w:bidi w:val="0"/>
              <w:spacing w:before="0" w:after="283"/>
              <w:jc w:val="left"/>
              <w:rPr/>
            </w:pPr>
            <w:r>
              <w:rPr/>
              <w:t>Threshold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w:t>
            </w:r>
          </w:p>
        </w:tc>
        <w:tc>
          <w:tcPr>
            <w:tcW w:w="1132" w:type="dxa"/>
            <w:tcBorders/>
            <w:shd w:fill="CCEEFF" w:val="clear"/>
            <w:tcMar>
              <w:bottom w:w="0" w:type="dxa"/>
            </w:tcMar>
            <w:vAlign w:val="center"/>
          </w:tcPr>
          <w:p>
            <w:pPr>
              <w:pStyle w:val="TableContents"/>
              <w:bidi w:val="0"/>
              <w:spacing w:before="0" w:after="283"/>
              <w:jc w:val="right"/>
              <w:rPr/>
            </w:pPr>
            <w:r>
              <w:rPr/>
              <w:t>n/a</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w:t>
            </w:r>
          </w:p>
        </w:tc>
        <w:tc>
          <w:tcPr>
            <w:tcW w:w="676" w:type="dxa"/>
            <w:tcBorders/>
            <w:shd w:fill="CCEEFF" w:val="clear"/>
            <w:tcMar>
              <w:bottom w:w="0" w:type="dxa"/>
            </w:tcMar>
            <w:vAlign w:val="center"/>
          </w:tcPr>
          <w:p>
            <w:pPr>
              <w:pStyle w:val="TableContents"/>
              <w:bidi w:val="0"/>
              <w:spacing w:before="0" w:after="283"/>
              <w:jc w:val="right"/>
              <w:rPr/>
            </w:pPr>
            <w:r>
              <w:rPr/>
              <w:t>12.00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279" w:type="dxa"/>
            <w:tcBorders/>
            <w:shd w:fill="CCEEFF" w:val="clear"/>
            <w:tcMar>
              <w:bottom w:w="0" w:type="dxa"/>
            </w:tcMar>
            <w:vAlign w:val="center"/>
          </w:tcPr>
          <w:p>
            <w:pPr>
              <w:pStyle w:val="TableContents"/>
              <w:bidi w:val="0"/>
              <w:spacing w:before="0" w:after="283"/>
              <w:jc w:val="right"/>
              <w:rPr/>
            </w:pPr>
            <w:r>
              <w:rPr/>
              <w:t>12.00</w:t>
            </w:r>
          </w:p>
        </w:tc>
        <w:tc>
          <w:tcPr>
            <w:tcW w:w="23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changes in the fair value of the Non-Redemption Agreements derivative liability:</w:t>
      </w:r>
    </w:p>
    <w:p>
      <w:pPr>
        <w:pStyle w:val="TextBody"/>
        <w:bidi w:val="0"/>
        <w:spacing w:before="0" w:after="0"/>
        <w:ind w:left="0" w:right="0" w:hanging="0"/>
        <w:jc w:val="both"/>
        <w:rPr>
          <w:caps w:val="false"/>
          <w:smallCaps w:val="false"/>
        </w:rPr>
      </w:pPr>
      <w:r>
        <w:rPr>
          <w:caps w:val="false"/>
          <w:smallCaps w:val="false"/>
        </w:rPr>
        <w:t> </w:t>
      </w:r>
    </w:p>
    <w:tbl>
      <w:tblPr>
        <w:tblW w:w="5835" w:type="dxa"/>
        <w:jc w:val="left"/>
        <w:tblInd w:w="0" w:type="dxa"/>
        <w:tblLayout w:type="fixed"/>
        <w:tblCellMar>
          <w:top w:w="0" w:type="dxa"/>
          <w:left w:w="0" w:type="dxa"/>
          <w:bottom w:w="0" w:type="dxa"/>
          <w:right w:w="0" w:type="dxa"/>
        </w:tblCellMar>
      </w:tblPr>
      <w:tblGrid>
        <w:gridCol w:w="4580"/>
        <w:gridCol w:w="60"/>
        <w:gridCol w:w="140"/>
        <w:gridCol w:w="980"/>
        <w:gridCol w:w="75"/>
      </w:tblGrid>
      <w:tr>
        <w:trPr/>
        <w:tc>
          <w:tcPr>
            <w:tcW w:w="4580" w:type="dxa"/>
            <w:tcBorders/>
            <w:shd w:fill="CCEEFF" w:val="clear"/>
            <w:vAlign w:val="center"/>
          </w:tcPr>
          <w:p>
            <w:pPr>
              <w:pStyle w:val="TableContents"/>
              <w:bidi w:val="0"/>
              <w:spacing w:before="0" w:after="283"/>
              <w:jc w:val="left"/>
              <w:rPr/>
            </w:pPr>
            <w:r>
              <w:rPr/>
              <w:t>Fair value as of December 31, 2022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Initial measurement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3,533,440</w:t>
            </w:r>
          </w:p>
        </w:tc>
        <w:tc>
          <w:tcPr>
            <w:tcW w:w="75"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Change in valuation inputs or other assumptions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3,112,640</w:t>
            </w:r>
          </w:p>
        </w:tc>
        <w:tc>
          <w:tcPr>
            <w:tcW w:w="75"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Fair value as of December 31, 2023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6,646,080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590" w:type="dxa"/>
        <w:jc w:val="left"/>
        <w:tblInd w:w="0" w:type="dxa"/>
        <w:tblLayout w:type="fixed"/>
        <w:tblCellMar>
          <w:top w:w="0" w:type="dxa"/>
          <w:left w:w="0" w:type="dxa"/>
          <w:bottom w:w="0" w:type="dxa"/>
          <w:right w:w="0" w:type="dxa"/>
        </w:tblCellMar>
      </w:tblPr>
      <w:tblGrid>
        <w:gridCol w:w="6335"/>
        <w:gridCol w:w="60"/>
        <w:gridCol w:w="140"/>
        <w:gridCol w:w="980"/>
        <w:gridCol w:w="75"/>
      </w:tblGrid>
      <w:tr>
        <w:trPr/>
        <w:tc>
          <w:tcPr>
            <w:tcW w:w="6335" w:type="dxa"/>
            <w:tcBorders/>
            <w:shd w:fill="CCEEFF" w:val="clear"/>
            <w:vAlign w:val="center"/>
          </w:tcPr>
          <w:p>
            <w:pPr>
              <w:pStyle w:val="TableContents"/>
              <w:bidi w:val="0"/>
              <w:spacing w:before="0" w:after="283"/>
              <w:jc w:val="left"/>
              <w:rPr/>
            </w:pPr>
            <w:r>
              <w:rPr/>
              <w:t>Change in valuation inputs or other assumptions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928,751</w:t>
            </w:r>
          </w:p>
        </w:tc>
        <w:tc>
          <w:tcPr>
            <w:tcW w:w="75"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283"/>
              <w:jc w:val="left"/>
              <w:rPr/>
            </w:pPr>
            <w:r>
              <w:rPr/>
              <w:t>Initial fair value of non-redemption agreement dated May 17, 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1,311,997</w:t>
            </w:r>
          </w:p>
        </w:tc>
        <w:tc>
          <w:tcPr>
            <w:tcW w:w="75"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left"/>
              <w:rPr/>
            </w:pPr>
            <w:r>
              <w:rPr/>
              <w:t>Fair value as of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8,886,828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to/from Levels 1, 2, and 3 are recognized at the beginning of the reporting period. There were no transfers to/from Levels 1, 2, and 3 during the year ended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taxable income primarily consists of interest income on the Trust Account. The Company’s general and administrative expenses are generally considered start-up costs and are not currently 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provision (benefit) consists of the following:</w:t>
      </w:r>
    </w:p>
    <w:p>
      <w:pPr>
        <w:pStyle w:val="TextBody"/>
        <w:bidi w:val="0"/>
        <w:spacing w:before="0" w:after="0"/>
        <w:ind w:left="0" w:right="0" w:hanging="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2030"/>
        <w:gridCol w:w="60"/>
        <w:gridCol w:w="162"/>
        <w:gridCol w:w="1013"/>
        <w:gridCol w:w="95"/>
        <w:gridCol w:w="60"/>
        <w:gridCol w:w="146"/>
        <w:gridCol w:w="1029"/>
        <w:gridCol w:w="110"/>
      </w:tblGrid>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2023</w:t>
            </w:r>
          </w:p>
        </w:tc>
        <w:tc>
          <w:tcPr>
            <w:tcW w:w="110" w:type="dxa"/>
            <w:tcBorders/>
            <w:vAlign w:val="center"/>
          </w:tcPr>
          <w:p>
            <w:pPr>
              <w:pStyle w:val="TableContents"/>
              <w:bidi w:val="0"/>
              <w:spacing w:before="0" w:after="283"/>
              <w:jc w:val="center"/>
              <w:rPr/>
            </w:pPr>
            <w:r>
              <w:rPr/>
              <w:t> </w:t>
            </w:r>
          </w:p>
        </w:tc>
      </w:tr>
      <w:tr>
        <w:trPr/>
        <w:tc>
          <w:tcPr>
            <w:tcW w:w="2030" w:type="dxa"/>
            <w:tcBorders/>
            <w:vAlign w:val="center"/>
          </w:tcPr>
          <w:p>
            <w:pPr>
              <w:pStyle w:val="TableContents"/>
              <w:bidi w:val="0"/>
              <w:spacing w:before="0" w:after="283"/>
              <w:jc w:val="left"/>
              <w:rPr/>
            </w:pPr>
            <w:r>
              <w:rPr/>
              <w:t>Current</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283"/>
              <w:jc w:val="left"/>
              <w:rPr/>
            </w:pPr>
            <w:r>
              <w:rPr/>
              <w:t>Federal</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133,575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029" w:type="dxa"/>
            <w:tcBorders/>
            <w:shd w:fill="CCEEFF" w:val="clear"/>
            <w:vAlign w:val="center"/>
          </w:tcPr>
          <w:p>
            <w:pPr>
              <w:pStyle w:val="TableContents"/>
              <w:bidi w:val="0"/>
              <w:spacing w:before="0" w:after="283"/>
              <w:jc w:val="right"/>
              <w:rPr/>
            </w:pPr>
            <w:r>
              <w:rPr/>
              <w:t>1,181,348</w:t>
            </w:r>
          </w:p>
        </w:tc>
        <w:tc>
          <w:tcPr>
            <w:tcW w:w="110"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283"/>
              <w:jc w:val="left"/>
              <w:rPr/>
            </w:pPr>
            <w:r>
              <w:rPr/>
              <w:t>State</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283"/>
              <w:jc w:val="left"/>
              <w:rPr/>
            </w:pPr>
            <w:r>
              <w:rPr/>
              <w:t>Deferred</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283"/>
              <w:jc w:val="left"/>
              <w:rPr/>
            </w:pPr>
            <w:r>
              <w:rPr/>
              <w:t>Federal</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(316,834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(209,820</w:t>
            </w:r>
          </w:p>
        </w:tc>
        <w:tc>
          <w:tcPr>
            <w:tcW w:w="110" w:type="dxa"/>
            <w:tcBorders/>
            <w:shd w:fill="FFFFFF" w:val="clear"/>
            <w:vAlign w:val="center"/>
          </w:tcPr>
          <w:p>
            <w:pPr>
              <w:pStyle w:val="TableContents"/>
              <w:bidi w:val="0"/>
              <w:spacing w:before="0" w:after="283"/>
              <w:jc w:val="left"/>
              <w:rPr/>
            </w:pPr>
            <w:r>
              <w:rPr/>
              <w:t>)</w:t>
            </w:r>
          </w:p>
        </w:tc>
      </w:tr>
      <w:tr>
        <w:trPr/>
        <w:tc>
          <w:tcPr>
            <w:tcW w:w="2030" w:type="dxa"/>
            <w:tcBorders/>
            <w:shd w:fill="CCEEFF" w:val="clear"/>
            <w:vAlign w:val="center"/>
          </w:tcPr>
          <w:p>
            <w:pPr>
              <w:pStyle w:val="TableContents"/>
              <w:bidi w:val="0"/>
              <w:spacing w:before="0" w:after="283"/>
              <w:jc w:val="left"/>
              <w:rPr/>
            </w:pPr>
            <w:r>
              <w:rPr/>
              <w:t>State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283"/>
              <w:jc w:val="left"/>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3" w:type="dxa"/>
            <w:tcBorders>
              <w:bottom w:val="single" w:sz="12" w:space="0" w:color="000000"/>
            </w:tcBorders>
            <w:shd w:fill="FFFFFF" w:val="clear"/>
            <w:tcMar>
              <w:bottom w:w="28" w:type="dxa"/>
            </w:tcMar>
            <w:vAlign w:val="center"/>
          </w:tcPr>
          <w:p>
            <w:pPr>
              <w:pStyle w:val="TableContents"/>
              <w:bidi w:val="0"/>
              <w:spacing w:before="0" w:after="283"/>
              <w:jc w:val="right"/>
              <w:rPr/>
            </w:pPr>
            <w:r>
              <w:rPr/>
              <w:t>316,834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9" w:type="dxa"/>
            <w:tcBorders>
              <w:bottom w:val="single" w:sz="12" w:space="0" w:color="000000"/>
            </w:tcBorders>
            <w:shd w:fill="FFFFFF" w:val="clear"/>
            <w:tcMar>
              <w:bottom w:w="28" w:type="dxa"/>
            </w:tcMar>
            <w:vAlign w:val="center"/>
          </w:tcPr>
          <w:p>
            <w:pPr>
              <w:pStyle w:val="TableContents"/>
              <w:bidi w:val="0"/>
              <w:spacing w:before="0" w:after="283"/>
              <w:jc w:val="right"/>
              <w:rPr/>
            </w:pPr>
            <w:r>
              <w:rPr/>
              <w:t>209,820</w:t>
            </w:r>
          </w:p>
        </w:tc>
        <w:tc>
          <w:tcPr>
            <w:tcW w:w="110" w:type="dxa"/>
            <w:tcBorders/>
            <w:shd w:fill="FFFFFF" w:val="cle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3" w:type="dxa"/>
            <w:tcBorders>
              <w:bottom w:val="double" w:sz="10" w:space="0" w:color="000000"/>
            </w:tcBorders>
            <w:shd w:fill="CCEEFF" w:val="clear"/>
            <w:tcMar>
              <w:bottom w:w="28" w:type="dxa"/>
            </w:tcMar>
            <w:vAlign w:val="center"/>
          </w:tcPr>
          <w:p>
            <w:pPr>
              <w:pStyle w:val="TableContents"/>
              <w:bidi w:val="0"/>
              <w:spacing w:before="0" w:after="283"/>
              <w:jc w:val="right"/>
              <w:rPr/>
            </w:pPr>
            <w:r>
              <w:rPr/>
              <w:t>133,575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9" w:type="dxa"/>
            <w:tcBorders>
              <w:bottom w:val="double" w:sz="10" w:space="0" w:color="000000"/>
            </w:tcBorders>
            <w:shd w:fill="CCEEFF" w:val="clear"/>
            <w:tcMar>
              <w:bottom w:w="28" w:type="dxa"/>
            </w:tcMar>
            <w:vAlign w:val="center"/>
          </w:tcPr>
          <w:p>
            <w:pPr>
              <w:pStyle w:val="TableContents"/>
              <w:bidi w:val="0"/>
              <w:spacing w:before="0" w:after="283"/>
              <w:jc w:val="right"/>
              <w:rPr/>
            </w:pPr>
            <w:r>
              <w:rPr/>
              <w:t>1,181,348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net deferred tax assets are as follows:</w:t>
      </w:r>
    </w:p>
    <w:p>
      <w:pPr>
        <w:pStyle w:val="TextBody"/>
        <w:bidi w:val="0"/>
        <w:spacing w:before="0" w:after="0"/>
        <w:ind w:left="0" w:right="0" w:hanging="0"/>
        <w:jc w:val="both"/>
        <w:rPr>
          <w:caps w:val="false"/>
          <w:smallCaps w:val="false"/>
        </w:rPr>
      </w:pPr>
      <w:r>
        <w:rPr>
          <w:caps w:val="false"/>
          <w:smallCaps w:val="false"/>
        </w:rPr>
        <w:t> </w:t>
      </w:r>
    </w:p>
    <w:tbl>
      <w:tblPr>
        <w:tblW w:w="5765" w:type="dxa"/>
        <w:jc w:val="left"/>
        <w:tblInd w:w="0" w:type="dxa"/>
        <w:tblLayout w:type="fixed"/>
        <w:tblCellMar>
          <w:top w:w="0" w:type="dxa"/>
          <w:left w:w="0" w:type="dxa"/>
          <w:bottom w:w="0" w:type="dxa"/>
          <w:right w:w="0" w:type="dxa"/>
        </w:tblCellMar>
      </w:tblPr>
      <w:tblGrid>
        <w:gridCol w:w="3410"/>
        <w:gridCol w:w="60"/>
        <w:gridCol w:w="140"/>
        <w:gridCol w:w="875"/>
        <w:gridCol w:w="95"/>
        <w:gridCol w:w="60"/>
        <w:gridCol w:w="140"/>
        <w:gridCol w:w="875"/>
        <w:gridCol w:w="110"/>
      </w:tblGrid>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center"/>
              <w:rPr/>
            </w:pPr>
            <w:r>
              <w:rPr/>
              <w:t> </w:t>
            </w:r>
          </w:p>
        </w:tc>
      </w:tr>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center"/>
              <w:rPr/>
            </w:pPr>
            <w:r>
              <w:rPr/>
              <w:t> </w:t>
            </w:r>
          </w:p>
        </w:tc>
      </w:tr>
      <w:tr>
        <w:trPr/>
        <w:tc>
          <w:tcPr>
            <w:tcW w:w="3410" w:type="dxa"/>
            <w:tcBorders/>
            <w:vAlign w:val="center"/>
          </w:tcPr>
          <w:p>
            <w:pPr>
              <w:pStyle w:val="TableContents"/>
              <w:bidi w:val="0"/>
              <w:spacing w:before="0" w:after="283"/>
              <w:jc w:val="left"/>
              <w:rPr/>
            </w:pPr>
            <w:r>
              <w:rPr/>
              <w:t>Deferred tax 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Start-up/Organization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316,834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209,896</w:t>
            </w:r>
          </w:p>
        </w:tc>
        <w:tc>
          <w:tcPr>
            <w:tcW w:w="11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Net operating loss carryforwards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Total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316,834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209,896</w:t>
            </w:r>
          </w:p>
        </w:tc>
        <w:tc>
          <w:tcPr>
            <w:tcW w:w="11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(316,834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(209,896</w:t>
            </w:r>
          </w:p>
        </w:tc>
        <w:tc>
          <w:tcPr>
            <w:tcW w:w="110" w:type="dxa"/>
            <w:tcBorders/>
            <w:shd w:fill="FFFFFF" w:val="clear"/>
            <w:vAlign w:val="center"/>
          </w:tcPr>
          <w:p>
            <w:pPr>
              <w:pStyle w:val="TableContents"/>
              <w:bidi w:val="0"/>
              <w:spacing w:before="0" w:after="283"/>
              <w:jc w:val="left"/>
              <w:rPr/>
            </w:pPr>
            <w:r>
              <w:rPr/>
              <w:t>)</w:t>
            </w:r>
          </w:p>
        </w:tc>
      </w:tr>
      <w:tr>
        <w:trPr/>
        <w:tc>
          <w:tcPr>
            <w:tcW w:w="3410" w:type="dxa"/>
            <w:tcBorders/>
            <w:shd w:fill="CCEEFF" w:val="clear"/>
            <w:vAlign w:val="center"/>
          </w:tcPr>
          <w:p>
            <w:pPr>
              <w:pStyle w:val="TableContents"/>
              <w:bidi w:val="0"/>
              <w:spacing w:before="0" w:after="283"/>
              <w:jc w:val="left"/>
              <w:rPr/>
            </w:pPr>
            <w:r>
              <w:rPr/>
              <w:t>Deferred tax asset, net of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assets,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unrecognized tax benefits as of December 31, 2024 and 2023. No amounts were accrued for the payment of interest and penalties at December 31, 2024 and 2023. The Company is currently not aware of any issues under review that could result in significant payments, accruals or material deviation from its position. The Company is subject to income tax examinations by major taxing authorities since inception.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statutory federal income tax rate (benefit) to the Company’s effective tax rate (benefit) is as follows for the years ended December 31, 2024 and 2023:</w:t>
      </w:r>
    </w:p>
    <w:p>
      <w:pPr>
        <w:pStyle w:val="TextBody"/>
        <w:bidi w:val="0"/>
        <w:spacing w:before="0" w:after="0"/>
        <w:ind w:left="0" w:right="0" w:hanging="0"/>
        <w:jc w:val="both"/>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4880"/>
        <w:gridCol w:w="60"/>
        <w:gridCol w:w="101"/>
        <w:gridCol w:w="1074"/>
        <w:gridCol w:w="290"/>
        <w:gridCol w:w="60"/>
        <w:gridCol w:w="113"/>
        <w:gridCol w:w="1062"/>
        <w:gridCol w:w="230"/>
      </w:tblGrid>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2024</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2023</w:t>
            </w:r>
          </w:p>
        </w:tc>
        <w:tc>
          <w:tcPr>
            <w:tcW w:w="230"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Statutory federal income tax rate</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21.0</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21.00</w:t>
            </w:r>
          </w:p>
        </w:tc>
        <w:tc>
          <w:tcPr>
            <w:tcW w:w="230" w:type="dxa"/>
            <w:tcBorders/>
            <w:shd w:fill="CCEEFF" w:val="clear"/>
            <w:vAlign w:val="center"/>
          </w:tcPr>
          <w:p>
            <w:pPr>
              <w:pStyle w:val="TableContents"/>
              <w:bidi w:val="0"/>
              <w:spacing w:before="0" w:after="283"/>
              <w:jc w:val="left"/>
              <w:rPr/>
            </w:pPr>
            <w:r>
              <w:rPr/>
              <w:t>%</w:t>
            </w:r>
          </w:p>
        </w:tc>
      </w:tr>
      <w:tr>
        <w:trPr/>
        <w:tc>
          <w:tcPr>
            <w:tcW w:w="4880" w:type="dxa"/>
            <w:tcBorders/>
            <w:shd w:fill="FFFFFF" w:val="clear"/>
            <w:vAlign w:val="center"/>
          </w:tcPr>
          <w:p>
            <w:pPr>
              <w:pStyle w:val="TableContents"/>
              <w:bidi w:val="0"/>
              <w:spacing w:before="0" w:after="283"/>
              <w:jc w:val="left"/>
              <w:rPr/>
            </w:pPr>
            <w:r>
              <w:rPr/>
              <w:t>Change in fair value of derivative warrant liabilities</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(10.25</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43.18</w:t>
            </w:r>
          </w:p>
        </w:tc>
        <w:tc>
          <w:tcPr>
            <w:tcW w:w="230" w:type="dxa"/>
            <w:tcBorders/>
            <w:shd w:fill="FFFFFF" w:val="clear"/>
            <w:vAlign w:val="center"/>
          </w:tcPr>
          <w:p>
            <w:pPr>
              <w:pStyle w:val="TableContents"/>
              <w:bidi w:val="0"/>
              <w:spacing w:before="0" w:after="283"/>
              <w:jc w:val="left"/>
              <w:rPr/>
            </w:pPr>
            <w:r>
              <w:rPr/>
              <w:t>%</w:t>
            </w:r>
          </w:p>
        </w:tc>
      </w:tr>
      <w:tr>
        <w:trPr/>
        <w:tc>
          <w:tcPr>
            <w:tcW w:w="4880" w:type="dxa"/>
            <w:tcBorders/>
            <w:shd w:fill="CCEEFF" w:val="clear"/>
            <w:vAlign w:val="center"/>
          </w:tcPr>
          <w:p>
            <w:pPr>
              <w:pStyle w:val="TableContents"/>
              <w:bidi w:val="0"/>
              <w:spacing w:before="0" w:after="283"/>
              <w:jc w:val="left"/>
              <w:rPr/>
            </w:pPr>
            <w:r>
              <w:rPr/>
              <w:t>Interest and penalties</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(3.65</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w:t>
            </w:r>
          </w:p>
        </w:tc>
      </w:tr>
      <w:tr>
        <w:trPr/>
        <w:tc>
          <w:tcPr>
            <w:tcW w:w="4880" w:type="dxa"/>
            <w:tcBorders/>
            <w:shd w:fill="FFFFFF" w:val="clear"/>
            <w:vAlign w:val="center"/>
          </w:tcPr>
          <w:p>
            <w:pPr>
              <w:pStyle w:val="TableContents"/>
              <w:bidi w:val="0"/>
              <w:spacing w:before="0" w:after="283"/>
              <w:jc w:val="left"/>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(14.12</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13.86</w:t>
            </w:r>
          </w:p>
        </w:tc>
        <w:tc>
          <w:tcPr>
            <w:tcW w:w="230" w:type="dxa"/>
            <w:tcBorders/>
            <w:shd w:fill="FFFFFF" w:val="clear"/>
            <w:vAlign w:val="center"/>
          </w:tcPr>
          <w:p>
            <w:pPr>
              <w:pStyle w:val="TableContents"/>
              <w:bidi w:val="0"/>
              <w:spacing w:before="0" w:after="283"/>
              <w:jc w:val="left"/>
              <w:rPr/>
            </w:pPr>
            <w:r>
              <w:rPr/>
              <w:t>%</w:t>
            </w:r>
          </w:p>
        </w:tc>
      </w:tr>
      <w:tr>
        <w:trPr/>
        <w:tc>
          <w:tcPr>
            <w:tcW w:w="4880" w:type="dxa"/>
            <w:tcBorders/>
            <w:shd w:fill="CCEEFF" w:val="clear"/>
            <w:vAlign w:val="center"/>
          </w:tcPr>
          <w:p>
            <w:pPr>
              <w:pStyle w:val="TableContents"/>
              <w:bidi w:val="0"/>
              <w:spacing w:before="0" w:after="283"/>
              <w:jc w:val="left"/>
              <w:rPr/>
            </w:pPr>
            <w:r>
              <w:rPr/>
              <w:t>Income tax expenses</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double" w:sz="10" w:space="0" w:color="000000"/>
            </w:tcBorders>
            <w:shd w:fill="CCEEFF" w:val="clear"/>
            <w:tcMar>
              <w:bottom w:w="28" w:type="dxa"/>
            </w:tcMar>
            <w:vAlign w:val="center"/>
          </w:tcPr>
          <w:p>
            <w:pPr>
              <w:pStyle w:val="TableContents"/>
              <w:bidi w:val="0"/>
              <w:spacing w:before="0" w:after="283"/>
              <w:jc w:val="right"/>
              <w:rPr/>
            </w:pPr>
            <w:r>
              <w:rPr/>
              <w:t>(7.02</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double" w:sz="10" w:space="0" w:color="000000"/>
            </w:tcBorders>
            <w:shd w:fill="CCEEFF" w:val="clear"/>
            <w:tcMar>
              <w:bottom w:w="28" w:type="dxa"/>
            </w:tcMar>
            <w:vAlign w:val="center"/>
          </w:tcPr>
          <w:p>
            <w:pPr>
              <w:pStyle w:val="TableContents"/>
              <w:bidi w:val="0"/>
              <w:spacing w:before="0" w:after="283"/>
              <w:jc w:val="right"/>
              <w:rPr/>
            </w:pPr>
            <w:r>
              <w:rPr/>
              <w:t>78.04</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or group, in deciding how to allocate resources and assess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 maker (“CODM”) has been identified as the Chief Financial Officer who reviews the assets, operating results, and financial metrics for the Company as a whole to make decisions about allocating resources and assessing financial performance. Accordingly, management has determined that there is only one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assesses performance for the single segment and decides how to allocate resources based on net (loss) income that also is reported on the consolidated statement of operations as net (loss) income . The measure of segment assets is reported on the balance sheets as total assets. When evaluating the Company’s performance and making key decisions regarding resource allocation, the CODM reviews several key metrics included in net (loss) income and total assets, which include the following:</w:t>
      </w:r>
    </w:p>
    <w:p>
      <w:pPr>
        <w:pStyle w:val="TextBody"/>
        <w:bidi w:val="0"/>
        <w:spacing w:before="0" w:after="0"/>
        <w:ind w:left="0" w:right="0" w:hanging="0"/>
        <w:jc w:val="both"/>
        <w:rPr>
          <w:caps w:val="false"/>
          <w:smallCaps w:val="false"/>
        </w:rPr>
      </w:pPr>
      <w:r>
        <w:rPr>
          <w:caps w:val="false"/>
          <w:smallCaps w:val="false"/>
        </w:rPr>
        <w:t> </w:t>
      </w:r>
    </w:p>
    <w:tbl>
      <w:tblPr>
        <w:tblW w:w="4483" w:type="dxa"/>
        <w:jc w:val="left"/>
        <w:tblInd w:w="0" w:type="dxa"/>
        <w:tblLayout w:type="fixed"/>
        <w:tblCellMar>
          <w:top w:w="0" w:type="dxa"/>
          <w:left w:w="0" w:type="dxa"/>
          <w:bottom w:w="0" w:type="dxa"/>
          <w:right w:w="0" w:type="dxa"/>
        </w:tblCellMar>
      </w:tblPr>
      <w:tblGrid>
        <w:gridCol w:w="1400"/>
        <w:gridCol w:w="60"/>
        <w:gridCol w:w="176"/>
        <w:gridCol w:w="1238"/>
        <w:gridCol w:w="60"/>
        <w:gridCol w:w="60"/>
        <w:gridCol w:w="158"/>
        <w:gridCol w:w="1256"/>
        <w:gridCol w:w="75"/>
      </w:tblGrid>
      <w:tr>
        <w:trPr/>
        <w:tc>
          <w:tcPr>
            <w:tcW w:w="1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center"/>
              <w:rPr/>
            </w:pPr>
            <w:r>
              <w:rPr/>
              <w:t> </w:t>
            </w:r>
          </w:p>
        </w:tc>
      </w:tr>
      <w:tr>
        <w:trPr/>
        <w:tc>
          <w:tcPr>
            <w:tcW w:w="1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center"/>
              <w:rPr/>
            </w:pPr>
            <w:r>
              <w:rPr/>
              <w:t> </w:t>
            </w:r>
          </w:p>
        </w:tc>
      </w:tr>
      <w:tr>
        <w:trPr/>
        <w:tc>
          <w:tcPr>
            <w:tcW w:w="1400" w:type="dxa"/>
            <w:tcBorders/>
            <w:shd w:fill="CCEEFF" w:val="clear"/>
            <w:vAlign w:val="center"/>
          </w:tcPr>
          <w:p>
            <w:pPr>
              <w:pStyle w:val="TableContents"/>
              <w:bidi w:val="0"/>
              <w:spacing w:before="0" w:after="283"/>
              <w:jc w:val="left"/>
              <w:rPr/>
            </w:pPr>
            <w:r>
              <w:rPr/>
              <w:t>Trust Account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5,585,436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21,099,267</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432,533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1256" w:type="dxa"/>
            <w:tcBorders/>
            <w:shd w:fill="FFFFFF" w:val="clear"/>
            <w:vAlign w:val="center"/>
          </w:tcPr>
          <w:p>
            <w:pPr>
              <w:pStyle w:val="TableContents"/>
              <w:bidi w:val="0"/>
              <w:spacing w:before="0" w:after="283"/>
              <w:jc w:val="right"/>
              <w:rPr/>
            </w:pPr>
            <w:r>
              <w:rPr/>
              <w:t>403,456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871"/>
        <w:gridCol w:w="60"/>
        <w:gridCol w:w="315"/>
        <w:gridCol w:w="2223"/>
        <w:gridCol w:w="60"/>
        <w:gridCol w:w="60"/>
        <w:gridCol w:w="315"/>
        <w:gridCol w:w="2223"/>
        <w:gridCol w:w="78"/>
      </w:tblGrid>
      <w:tr>
        <w:trPr/>
        <w:tc>
          <w:tcPr>
            <w:tcW w:w="48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Year Ended December 31,</w:t>
              <w:b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Year Ended December 31,</w:t>
              <w:br/>
              <w:t>2023</w:t>
            </w:r>
          </w:p>
        </w:tc>
        <w:tc>
          <w:tcPr>
            <w:tcW w:w="78" w:type="dxa"/>
            <w:tcBorders/>
            <w:vAlign w:val="center"/>
          </w:tcPr>
          <w:p>
            <w:pPr>
              <w:pStyle w:val="TableContents"/>
              <w:bidi w:val="0"/>
              <w:spacing w:before="0" w:after="283"/>
              <w:jc w:val="center"/>
              <w:rPr/>
            </w:pPr>
            <w:r>
              <w:rPr/>
              <w:t> </w:t>
            </w:r>
          </w:p>
        </w:tc>
      </w:tr>
      <w:tr>
        <w:trPr/>
        <w:tc>
          <w:tcPr>
            <w:tcW w:w="4871"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2223" w:type="dxa"/>
            <w:tcBorders/>
            <w:shd w:fill="CCEEFF" w:val="clear"/>
            <w:vAlign w:val="center"/>
          </w:tcPr>
          <w:p>
            <w:pPr>
              <w:pStyle w:val="TableContents"/>
              <w:bidi w:val="0"/>
              <w:spacing w:before="0" w:after="283"/>
              <w:jc w:val="right"/>
              <w:rPr/>
            </w:pPr>
            <w:r>
              <w:rPr/>
              <w:t>1,278,781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2223" w:type="dxa"/>
            <w:tcBorders/>
            <w:shd w:fill="CCEEFF" w:val="clear"/>
            <w:vAlign w:val="center"/>
          </w:tcPr>
          <w:p>
            <w:pPr>
              <w:pStyle w:val="TableContents"/>
              <w:bidi w:val="0"/>
              <w:spacing w:before="0" w:after="283"/>
              <w:jc w:val="right"/>
              <w:rPr/>
            </w:pPr>
            <w:r>
              <w:rPr/>
              <w:t>999,143</w:t>
            </w:r>
          </w:p>
        </w:tc>
        <w:tc>
          <w:tcPr>
            <w:tcW w:w="78" w:type="dxa"/>
            <w:tcBorders/>
            <w:shd w:fill="CCEEFF" w:val="clear"/>
            <w:vAlign w:val="center"/>
          </w:tcPr>
          <w:p>
            <w:pPr>
              <w:pStyle w:val="TableContents"/>
              <w:bidi w:val="0"/>
              <w:spacing w:before="0" w:after="283"/>
              <w:jc w:val="left"/>
              <w:rPr/>
            </w:pPr>
            <w:r>
              <w:rPr/>
              <w:t> </w:t>
            </w:r>
          </w:p>
        </w:tc>
      </w:tr>
      <w:tr>
        <w:trPr/>
        <w:tc>
          <w:tcPr>
            <w:tcW w:w="4871" w:type="dxa"/>
            <w:tcBorders/>
            <w:shd w:fill="FFFFFF" w:val="clear"/>
            <w:vAlign w:val="center"/>
          </w:tcPr>
          <w:p>
            <w:pPr>
              <w:pStyle w:val="TableContents"/>
              <w:bidi w:val="0"/>
              <w:spacing w:before="0" w:after="283"/>
              <w:jc w:val="left"/>
              <w:rPr/>
            </w:pPr>
            <w:r>
              <w:rPr/>
              <w:t>Income from cash and investments held in Trust Account</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w:t>
            </w:r>
          </w:p>
        </w:tc>
        <w:tc>
          <w:tcPr>
            <w:tcW w:w="2223" w:type="dxa"/>
            <w:tcBorders/>
            <w:shd w:fill="FFFFFF" w:val="clear"/>
            <w:vAlign w:val="center"/>
          </w:tcPr>
          <w:p>
            <w:pPr>
              <w:pStyle w:val="TableContents"/>
              <w:bidi w:val="0"/>
              <w:spacing w:before="0" w:after="283"/>
              <w:jc w:val="right"/>
              <w:rPr/>
            </w:pPr>
            <w:r>
              <w:rPr/>
              <w:t>690,591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w:t>
            </w:r>
          </w:p>
        </w:tc>
        <w:tc>
          <w:tcPr>
            <w:tcW w:w="2223" w:type="dxa"/>
            <w:tcBorders/>
            <w:shd w:fill="FFFFFF" w:val="clear"/>
            <w:vAlign w:val="center"/>
          </w:tcPr>
          <w:p>
            <w:pPr>
              <w:pStyle w:val="TableContents"/>
              <w:bidi w:val="0"/>
              <w:spacing w:before="0" w:after="283"/>
              <w:jc w:val="right"/>
              <w:rPr/>
            </w:pPr>
            <w:r>
              <w:rPr/>
              <w:t>5,823,923</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reviews interest earned on the Trust Account to measure and monitor stockholder value and determine the most effective strategy of investment with the Trust Account funds while maintaining compliance with the Trust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are reviewed and monitored by the CODM to manage and forecast cash to ensure enough capital is available to complete a business combination or similar transaction within the business combination period. The CODM also reviews general and administrative costs to manage, maintain and enforce all contractual agreements to ensure costs are aligned with all agreements and budget. General and administrative costs, as reported on the consolidated statement of operations, are the significant segment expenses provided to the CODM on a regular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segment items included in net (loss) income are reported on the consolidated statement of operations and described within their respective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Consolidated balance sheets and up to the date the Consolidated financial statements were issued. Based upon this review, the Company did not identify any subsequent events that would have required adjustment or disclosure in the Consolidated financial statements, except as hereinafter described.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17, 2025, Company issued a promissory note to the Sponsor in the amount of $300,000 for working capital needs, which was funded in equal installments of $150,000 on January 16, 2025, and January 22, 2025 for working capital requirements and payment of certain expenses in connection the Company’s Business Combination. The Note is due and payable on the consummation of the initial merger, stock exchange, asset acquisition, stock purchase, recapitalization, reorganization or similar business combination with one of more businesses or entities. Upon consummation of a Business Combination, the Company shall have obligation to convert up to $300,000 of the principal amount of the Note in whole or in part into common stock of the Company at a price of $10.00 per share. The company has determined the conversion feature include in the promissory note is not required to be bifurcated and all debt proceeds received under the promissory note were allocated to the debt host. As of the date of this report the promissory note to the Sponsor was fully drawn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2025, the Company called a special meeting of stockholders (the “Business Combination Meeting”) where, among other things, the stockholders voted and approved a proposal to adopt the Business Combination Agreement, dated as of March 18, 2024, entered into by and among SUAC, CID HoldCo, Inc., a Delaware corporation and wholly-owned subsidiary of SUAC (“Holdings”), ShoulderUp Merger Sub, Inc., a Delaware corporation and wholly-owned subsidiary of Holdings, SEI Merger Sub, Inc., a Delaware corporation and a wholly-owned subsidiary of Holdings, and SEE ID, Inc., a Nevada corporation and the transactions contemplated by the Business Combination Agreement (collectively, the “Business Combination”). In connection with the Business Combination Meeting, holders of 502,000 shares of common stock elected to redeem.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Company entered into a non-redemption agreement (the “Non-Redemption Agreement”) with a certain holder of the Company’s common stock (the “Investor”) pursuant to which the Investor agreed to rescind its redemptions of an aggregate of 500,000 shares of common stock redeemed in connection with the Business Combination Meeting (the “Investor Shares”). Pursuant to the Non-Redemption Agreement, the Company agreed that immediately upon the consummation of the Business Combination and the Share Forfeiture (as defined below), the Company and Holdings shall pay to the Investor a payment in respect of its Investor Shares in cash released from the Trust Account equal to (x) the number of Investor Shares multiplied by (y) the redemption price for the common stock redeemed in connection with the Business Combination (the “Non-Redemption Payment”). The Non-Redemption Agreement shall terminate on the earlier of (a) May 31, 2025; (b) the fulfillment of all obligations of the parties to the Non-Redemption Agreement; (c) the liquidation or dissolution of the Company; (d) the mutual written agreement of the parties to the Non-Redemption Agreement; or (e) if any the Investor Shares are actually redeemed in connection with a meeting of the Company prior to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17, 2025, in connection with the Non-Redemption Agreement, the Company and Investor entered into a forfeiture agreement (the “Forfeiture Agreement”), pursuant to which Investor agreed to forfeit its right, immediately upon consummation of the Business Combination and receipt of the Non-Redemption Payment, to an aggregate of 413,333 founder shares held the Sponsor, which the Sponsor agreed to transfer to Investor in connection with certain non-redemption agreements entered into on April 19, 2023, November 10, 2023, and May 16, 2024 (the “Share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2" w:name="ea024660701ex99-4_cidhold.htm"/>
      <w:bookmarkStart w:id="73" w:name="ksea024660701ex994_cidhold"/>
      <w:bookmarkEnd w:id="72"/>
      <w:bookmarkEnd w:id="73"/>
      <w:r>
        <w:rPr>
          <w:rFonts w:ascii="Times New Roman;Times;Serif" w:hAnsi="Times New Roman;Times;Serif"/>
          <w:b/>
          <w:i w:val="false"/>
          <w:caps w:val="false"/>
          <w:smallCaps w:val="false"/>
          <w:sz w:val="20"/>
        </w:rPr>
        <w:t>Exhibit 99.4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13"/>
        <w:gridCol w:w="60"/>
        <w:gridCol w:w="125"/>
        <w:gridCol w:w="1010"/>
        <w:gridCol w:w="80"/>
        <w:gridCol w:w="60"/>
        <w:gridCol w:w="129"/>
        <w:gridCol w:w="1046"/>
        <w:gridCol w:w="82"/>
      </w:tblGrid>
      <w:tr>
        <w:trPr/>
        <w:tc>
          <w:tcPr>
            <w:tcW w:w="76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December 31,</w:t>
              <w:br/>
              <w:t>2024</w:t>
            </w:r>
          </w:p>
        </w:tc>
        <w:tc>
          <w:tcPr>
            <w:tcW w:w="82" w:type="dxa"/>
            <w:tcBorders/>
            <w:vAlign w:val="center"/>
          </w:tcPr>
          <w:p>
            <w:pPr>
              <w:pStyle w:val="TableContents"/>
              <w:bidi w:val="0"/>
              <w:spacing w:before="0" w:after="283"/>
              <w:jc w:val="left"/>
              <w:rPr/>
            </w:pPr>
            <w:r>
              <w:rPr/>
              <w:t> </w:t>
            </w:r>
          </w:p>
        </w:tc>
      </w:tr>
      <w:tr>
        <w:trPr/>
        <w:tc>
          <w:tcPr>
            <w:tcW w:w="76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7613" w:type="dxa"/>
            <w:tcBorders/>
            <w:vAlign w:val="center"/>
          </w:tcPr>
          <w:p>
            <w:pPr>
              <w:pStyle w:val="TableContents"/>
              <w:bidi w:val="0"/>
              <w:spacing w:before="0" w:after="283"/>
              <w:jc w:val="left"/>
              <w:rPr>
                <w:b/>
                <w:sz w:val="20"/>
              </w:rPr>
            </w:pPr>
            <w:r>
              <w:rPr>
                <w:b/>
                <w:sz w:val="20"/>
              </w:rPr>
              <w:t>Assets:</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82" w:type="dxa"/>
            <w:tcBorders/>
            <w:vAlign w:val="center"/>
          </w:tcPr>
          <w:p>
            <w:pPr>
              <w:pStyle w:val="TableContents"/>
              <w:bidi w:val="0"/>
              <w:spacing w:before="0" w:after="283"/>
              <w:jc w:val="left"/>
              <w:rPr/>
            </w:pPr>
            <w:r>
              <w:rPr/>
              <w:t> </w:t>
            </w:r>
          </w:p>
        </w:tc>
      </w:tr>
      <w:tr>
        <w:trPr/>
        <w:tc>
          <w:tcPr>
            <w:tcW w:w="7613" w:type="dxa"/>
            <w:tcBorders/>
            <w:vAlign w:val="center"/>
          </w:tcPr>
          <w:p>
            <w:pPr>
              <w:pStyle w:val="TableContents"/>
              <w:bidi w:val="0"/>
              <w:spacing w:before="0" w:after="283"/>
              <w:jc w:val="left"/>
              <w:rPr>
                <w:sz w:val="20"/>
              </w:rPr>
            </w:pPr>
            <w:r>
              <w:rPr>
                <w:sz w:val="20"/>
              </w:rPr>
              <w:t>Current assets:</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82" w:type="dxa"/>
            <w:tcBorders/>
            <w:vAlign w:val="center"/>
          </w:tcPr>
          <w:p>
            <w:pPr>
              <w:pStyle w:val="TableContents"/>
              <w:bidi w:val="0"/>
              <w:spacing w:before="0" w:after="283"/>
              <w:ind w:left="0" w:right="0" w:hanging="180"/>
              <w:jc w:val="left"/>
              <w:rPr/>
            </w:pPr>
            <w:r>
              <w:rPr/>
              <w:t> </w:t>
            </w:r>
          </w:p>
        </w:tc>
      </w:tr>
      <w:tr>
        <w:trPr/>
        <w:tc>
          <w:tcPr>
            <w:tcW w:w="7613" w:type="dxa"/>
            <w:tcBorders/>
            <w:shd w:fill="CCEEFF" w:val="clear"/>
            <w:vAlign w:val="center"/>
          </w:tcPr>
          <w:p>
            <w:pPr>
              <w:pStyle w:val="TableContents"/>
              <w:bidi w:val="0"/>
              <w:spacing w:before="0" w:after="283"/>
              <w:jc w:val="left"/>
              <w:rPr>
                <w:sz w:val="20"/>
              </w:rPr>
            </w:pPr>
            <w:r>
              <w:rPr>
                <w:sz w:val="20"/>
              </w:rPr>
              <w:t>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010" w:type="dxa"/>
            <w:tcBorders/>
            <w:shd w:fill="CCEEFF" w:val="clear"/>
            <w:vAlign w:val="center"/>
          </w:tcPr>
          <w:p>
            <w:pPr>
              <w:pStyle w:val="TableContents"/>
              <w:bidi w:val="0"/>
              <w:spacing w:before="0" w:after="283"/>
              <w:jc w:val="right"/>
              <w:rPr>
                <w:sz w:val="20"/>
              </w:rPr>
            </w:pPr>
            <w:r>
              <w:rPr>
                <w:sz w:val="20"/>
              </w:rPr>
              <w:t>400,093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20"/>
              </w:rPr>
            </w:pPr>
            <w:r>
              <w:rPr>
                <w:sz w:val="20"/>
              </w:rPr>
              <w:t>$</w:t>
            </w:r>
          </w:p>
        </w:tc>
        <w:tc>
          <w:tcPr>
            <w:tcW w:w="1046" w:type="dxa"/>
            <w:tcBorders/>
            <w:shd w:fill="CCEEFF" w:val="clear"/>
            <w:vAlign w:val="center"/>
          </w:tcPr>
          <w:p>
            <w:pPr>
              <w:pStyle w:val="TableContents"/>
              <w:bidi w:val="0"/>
              <w:spacing w:before="0" w:after="283"/>
              <w:jc w:val="right"/>
              <w:rPr>
                <w:sz w:val="20"/>
              </w:rPr>
            </w:pPr>
            <w:r>
              <w:rPr>
                <w:sz w:val="20"/>
              </w:rPr>
              <w:t>432,533</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613" w:type="dxa"/>
            <w:tcBorders/>
            <w:shd w:fill="FFFFFF" w:val="clear"/>
            <w:vAlign w:val="center"/>
          </w:tcPr>
          <w:p>
            <w:pPr>
              <w:pStyle w:val="TableContents"/>
              <w:bidi w:val="0"/>
              <w:spacing w:before="0" w:after="283"/>
              <w:jc w:val="left"/>
              <w:rPr>
                <w:sz w:val="20"/>
              </w:rPr>
            </w:pPr>
            <w:r>
              <w:rPr>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50,000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613" w:type="dxa"/>
            <w:tcBorders/>
            <w:shd w:fill="CCEEFF" w:val="clear"/>
            <w:vAlign w:val="center"/>
          </w:tcPr>
          <w:p>
            <w:pPr>
              <w:pStyle w:val="TableContents"/>
              <w:bidi w:val="0"/>
              <w:spacing w:before="0" w:after="283"/>
              <w:jc w:val="left"/>
              <w:rPr>
                <w:b/>
                <w:sz w:val="20"/>
              </w:rPr>
            </w:pPr>
            <w:r>
              <w:rPr>
                <w:b/>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450,093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sz w:val="20"/>
              </w:rPr>
            </w:pPr>
            <w:r>
              <w:rPr>
                <w:sz w:val="20"/>
              </w:rPr>
              <w:t>432,533</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613" w:type="dxa"/>
            <w:tcBorders/>
            <w:shd w:fill="FFFFFF" w:val="clear"/>
            <w:vAlign w:val="center"/>
          </w:tcPr>
          <w:p>
            <w:pPr>
              <w:pStyle w:val="TableContents"/>
              <w:bidi w:val="0"/>
              <w:spacing w:before="0" w:after="283"/>
              <w:jc w:val="left"/>
              <w:rPr>
                <w:sz w:val="20"/>
              </w:rPr>
            </w:pPr>
            <w:r>
              <w:rPr>
                <w:sz w:val="20"/>
              </w:rPr>
              <w:t>Cash held in Trust Account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5,599,323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5,585,436</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613" w:type="dxa"/>
            <w:tcBorders/>
            <w:shd w:fill="CCEEFF" w:val="clear"/>
            <w:vAlign w:val="center"/>
          </w:tcPr>
          <w:p>
            <w:pPr>
              <w:pStyle w:val="TableContents"/>
              <w:bidi w:val="0"/>
              <w:spacing w:before="0" w:after="283"/>
              <w:jc w:val="left"/>
              <w:rPr>
                <w:b/>
                <w:sz w:val="20"/>
              </w:rPr>
            </w:pPr>
            <w:r>
              <w:rPr>
                <w:b/>
                <w:sz w:val="20"/>
              </w:rPr>
              <w:t>Total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6,049,416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double" w:sz="10"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46"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6,017,969</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6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613" w:type="dxa"/>
            <w:tcBorders/>
            <w:shd w:fill="CCEEFF" w:val="clear"/>
            <w:vAlign w:val="center"/>
          </w:tcPr>
          <w:p>
            <w:pPr>
              <w:pStyle w:val="TableContents"/>
              <w:bidi w:val="0"/>
              <w:spacing w:before="0" w:after="283"/>
              <w:jc w:val="left"/>
              <w:rPr>
                <w:b/>
                <w:sz w:val="20"/>
              </w:rPr>
            </w:pPr>
            <w:r>
              <w:rPr>
                <w:b/>
                <w:sz w:val="20"/>
              </w:rPr>
              <w:t>Liabilities, Class A Common Stock Subject to Possible Redemption, and Stockholders’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613" w:type="dxa"/>
            <w:tcBorders/>
            <w:shd w:fill="FFFFFF" w:val="clear"/>
            <w:vAlign w:val="center"/>
          </w:tcPr>
          <w:p>
            <w:pPr>
              <w:pStyle w:val="TableContents"/>
              <w:bidi w:val="0"/>
              <w:spacing w:before="0" w:after="283"/>
              <w:jc w:val="left"/>
              <w:rPr>
                <w:sz w:val="20"/>
              </w:rPr>
            </w:pPr>
            <w:r>
              <w:rPr>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613" w:type="dxa"/>
            <w:tcBorders/>
            <w:shd w:fill="CCEEFF" w:val="clear"/>
            <w:vAlign w:val="center"/>
          </w:tcPr>
          <w:p>
            <w:pPr>
              <w:pStyle w:val="TableContents"/>
              <w:bidi w:val="0"/>
              <w:spacing w:before="0" w:after="283"/>
              <w:jc w:val="left"/>
              <w:rPr>
                <w:sz w:val="20"/>
              </w:rPr>
            </w:pPr>
            <w:r>
              <w:rPr>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010" w:type="dxa"/>
            <w:tcBorders/>
            <w:shd w:fill="CCEEFF" w:val="clear"/>
            <w:vAlign w:val="center"/>
          </w:tcPr>
          <w:p>
            <w:pPr>
              <w:pStyle w:val="TableContents"/>
              <w:bidi w:val="0"/>
              <w:spacing w:before="0" w:after="283"/>
              <w:jc w:val="right"/>
              <w:rPr>
                <w:sz w:val="20"/>
              </w:rPr>
            </w:pPr>
            <w:r>
              <w:rPr>
                <w:sz w:val="20"/>
              </w:rPr>
              <w:t>1,413,027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20"/>
              </w:rPr>
            </w:pPr>
            <w:r>
              <w:rPr>
                <w:sz w:val="20"/>
              </w:rPr>
              <w:t>$</w:t>
            </w:r>
          </w:p>
        </w:tc>
        <w:tc>
          <w:tcPr>
            <w:tcW w:w="1046" w:type="dxa"/>
            <w:tcBorders/>
            <w:shd w:fill="CCEEFF" w:val="clear"/>
            <w:vAlign w:val="center"/>
          </w:tcPr>
          <w:p>
            <w:pPr>
              <w:pStyle w:val="TableContents"/>
              <w:bidi w:val="0"/>
              <w:spacing w:before="0" w:after="283"/>
              <w:jc w:val="right"/>
              <w:rPr>
                <w:sz w:val="20"/>
              </w:rPr>
            </w:pPr>
            <w:r>
              <w:rPr>
                <w:sz w:val="20"/>
              </w:rPr>
              <w:t>1,426,710</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613" w:type="dxa"/>
            <w:tcBorders/>
            <w:shd w:fill="FFFFFF" w:val="clear"/>
            <w:vAlign w:val="center"/>
          </w:tcPr>
          <w:p>
            <w:pPr>
              <w:pStyle w:val="TableContents"/>
              <w:bidi w:val="0"/>
              <w:spacing w:before="0" w:after="283"/>
              <w:jc w:val="left"/>
              <w:rPr>
                <w:sz w:val="20"/>
              </w:rPr>
            </w:pPr>
            <w:r>
              <w:rPr>
                <w:sz w:val="20"/>
              </w:rPr>
              <w:t>Redemptions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22,019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sz w:val="20"/>
              </w:rPr>
            </w:pPr>
            <w:r>
              <w:rPr>
                <w:sz w:val="20"/>
              </w:rPr>
              <w:t>11,827</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613" w:type="dxa"/>
            <w:tcBorders/>
            <w:shd w:fill="CCEEFF" w:val="clear"/>
            <w:vAlign w:val="center"/>
          </w:tcPr>
          <w:p>
            <w:pPr>
              <w:pStyle w:val="TableContents"/>
              <w:bidi w:val="0"/>
              <w:spacing w:before="0" w:after="283"/>
              <w:jc w:val="left"/>
              <w:rPr>
                <w:sz w:val="20"/>
              </w:rPr>
            </w:pPr>
            <w:r>
              <w:rPr>
                <w:sz w:val="20"/>
              </w:rPr>
              <w:t>Franchise tax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79,400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sz w:val="20"/>
              </w:rPr>
            </w:pPr>
            <w:r>
              <w:rPr>
                <w:sz w:val="20"/>
              </w:rPr>
              <w:t>63,600</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613" w:type="dxa"/>
            <w:tcBorders/>
            <w:shd w:fill="FFFFFF" w:val="clear"/>
            <w:vAlign w:val="center"/>
          </w:tcPr>
          <w:p>
            <w:pPr>
              <w:pStyle w:val="TableContents"/>
              <w:bidi w:val="0"/>
              <w:spacing w:before="0" w:after="283"/>
              <w:jc w:val="left"/>
              <w:rPr>
                <w:sz w:val="20"/>
              </w:rPr>
            </w:pPr>
            <w:r>
              <w:rPr>
                <w:sz w:val="20"/>
              </w:rPr>
              <w:t>Income tax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176,789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sz w:val="20"/>
              </w:rPr>
            </w:pPr>
            <w:r>
              <w:rPr>
                <w:sz w:val="20"/>
              </w:rPr>
              <w:t>173,575</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613" w:type="dxa"/>
            <w:tcBorders/>
            <w:shd w:fill="CCEEFF" w:val="clear"/>
            <w:vAlign w:val="center"/>
          </w:tcPr>
          <w:p>
            <w:pPr>
              <w:pStyle w:val="TableContents"/>
              <w:bidi w:val="0"/>
              <w:spacing w:before="0" w:after="283"/>
              <w:jc w:val="left"/>
              <w:rPr>
                <w:sz w:val="20"/>
              </w:rPr>
            </w:pPr>
            <w:r>
              <w:rPr>
                <w:sz w:val="20"/>
              </w:rPr>
              <w:t>Excise tax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3,905,240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sz w:val="20"/>
              </w:rPr>
            </w:pPr>
            <w:r>
              <w:rPr>
                <w:sz w:val="20"/>
              </w:rPr>
              <w:t>3,415,525</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613" w:type="dxa"/>
            <w:tcBorders/>
            <w:shd w:fill="FFFFFF" w:val="clear"/>
            <w:vAlign w:val="center"/>
          </w:tcPr>
          <w:p>
            <w:pPr>
              <w:pStyle w:val="TableContents"/>
              <w:bidi w:val="0"/>
              <w:spacing w:before="0" w:after="283"/>
              <w:jc w:val="left"/>
              <w:rPr>
                <w:sz w:val="20"/>
              </w:rPr>
            </w:pPr>
            <w:r>
              <w:rPr>
                <w:sz w:val="20"/>
              </w:rPr>
              <w:t>Promissory note - related party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900,000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sz w:val="20"/>
              </w:rPr>
            </w:pPr>
            <w:r>
              <w:rPr>
                <w:sz w:val="20"/>
              </w:rPr>
              <w:t>600,000</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613" w:type="dxa"/>
            <w:tcBorders/>
            <w:shd w:fill="CCEEFF" w:val="clear"/>
            <w:vAlign w:val="center"/>
          </w:tcPr>
          <w:p>
            <w:pPr>
              <w:pStyle w:val="TableContents"/>
              <w:bidi w:val="0"/>
              <w:spacing w:before="0" w:after="283"/>
              <w:jc w:val="left"/>
              <w:rPr>
                <w:sz w:val="20"/>
              </w:rPr>
            </w:pPr>
            <w:r>
              <w:rPr>
                <w:sz w:val="20"/>
              </w:rPr>
              <w:t>Due to related party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268,272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238,272</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613" w:type="dxa"/>
            <w:tcBorders/>
            <w:shd w:fill="FFFFFF" w:val="clear"/>
            <w:vAlign w:val="center"/>
          </w:tcPr>
          <w:p>
            <w:pPr>
              <w:pStyle w:val="TableContents"/>
              <w:bidi w:val="0"/>
              <w:spacing w:before="0" w:after="283"/>
              <w:jc w:val="left"/>
              <w:rPr>
                <w:b/>
                <w:sz w:val="20"/>
              </w:rPr>
            </w:pPr>
            <w:r>
              <w:rPr>
                <w:b/>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b/>
                <w:sz w:val="20"/>
              </w:rPr>
            </w:pPr>
            <w:r>
              <w:rPr>
                <w:b/>
                <w:sz w:val="20"/>
              </w:rPr>
              <w:t>6,764,747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b/>
                <w:sz w:val="20"/>
              </w:rPr>
            </w:pPr>
            <w:r>
              <w:rPr>
                <w:b/>
                <w:sz w:val="20"/>
              </w:rPr>
              <w:t>5,929,509</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613" w:type="dxa"/>
            <w:tcBorders/>
            <w:shd w:fill="CCEEFF" w:val="clear"/>
            <w:vAlign w:val="center"/>
          </w:tcPr>
          <w:p>
            <w:pPr>
              <w:pStyle w:val="TableContents"/>
              <w:bidi w:val="0"/>
              <w:spacing w:before="0" w:after="283"/>
              <w:jc w:val="left"/>
              <w:rPr>
                <w:sz w:val="20"/>
              </w:rPr>
            </w:pPr>
            <w:r>
              <w:rPr>
                <w:sz w:val="20"/>
              </w:rPr>
              <w:t>Non-redemption agreements derivative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12,599,255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8,886,828</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613" w:type="dxa"/>
            <w:tcBorders/>
            <w:shd w:fill="FFFFFF" w:val="clear"/>
            <w:vAlign w:val="center"/>
          </w:tcPr>
          <w:p>
            <w:pPr>
              <w:pStyle w:val="TableContents"/>
              <w:bidi w:val="0"/>
              <w:spacing w:before="0" w:after="283"/>
              <w:jc w:val="left"/>
              <w:rPr>
                <w:b/>
                <w:sz w:val="20"/>
              </w:rPr>
            </w:pPr>
            <w:r>
              <w:rPr>
                <w:b/>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b/>
                <w:sz w:val="20"/>
              </w:rPr>
            </w:pPr>
            <w:r>
              <w:rPr>
                <w:b/>
                <w:sz w:val="20"/>
              </w:rPr>
              <w:t>19,364,002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FFFFFF" w:val="clear"/>
            <w:tcMar>
              <w:bottom w:w="28" w:type="dxa"/>
            </w:tcMar>
            <w:vAlign w:val="center"/>
          </w:tcPr>
          <w:p>
            <w:pPr>
              <w:pStyle w:val="TableContents"/>
              <w:bidi w:val="0"/>
              <w:spacing w:before="0" w:after="283"/>
              <w:jc w:val="right"/>
              <w:rPr>
                <w:b/>
                <w:sz w:val="20"/>
              </w:rPr>
            </w:pPr>
            <w:r>
              <w:rPr>
                <w:b/>
                <w:sz w:val="20"/>
              </w:rPr>
              <w:t>14,816,337</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6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613" w:type="dxa"/>
            <w:tcBorders/>
            <w:shd w:fill="FFFFFF" w:val="clear"/>
            <w:vAlign w:val="center"/>
          </w:tcPr>
          <w:p>
            <w:pPr>
              <w:pStyle w:val="TableContents"/>
              <w:bidi w:val="0"/>
              <w:spacing w:before="0" w:after="283"/>
              <w:jc w:val="left"/>
              <w:rPr>
                <w:b/>
                <w:sz w:val="20"/>
              </w:rPr>
            </w:pPr>
            <w:r>
              <w:rPr>
                <w:b/>
                <w:sz w:val="20"/>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6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613" w:type="dxa"/>
            <w:tcBorders/>
            <w:shd w:fill="FFFFFF" w:val="clear"/>
            <w:vAlign w:val="center"/>
          </w:tcPr>
          <w:p>
            <w:pPr>
              <w:pStyle w:val="TableContents"/>
              <w:bidi w:val="0"/>
              <w:spacing w:before="0" w:after="283"/>
              <w:jc w:val="left"/>
              <w:rPr>
                <w:sz w:val="20"/>
              </w:rPr>
            </w:pPr>
            <w:r>
              <w:rPr>
                <w:sz w:val="20"/>
              </w:rPr>
              <w:t>Class A common stock subject to possible redemption, $0.0001 par value; 506,589 and 508,829 shares issued and outstanding at redemption value of approximately $11.01 and $10.98 per share as of March 31,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5,577,304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sz w:val="20"/>
              </w:rPr>
            </w:pPr>
            <w:r>
              <w:rPr>
                <w:sz w:val="20"/>
              </w:rPr>
              <w:t>5,595,937</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6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613" w:type="dxa"/>
            <w:tcBorders/>
            <w:shd w:fill="FFFFFF" w:val="clear"/>
            <w:vAlign w:val="center"/>
          </w:tcPr>
          <w:p>
            <w:pPr>
              <w:pStyle w:val="TableContents"/>
              <w:bidi w:val="0"/>
              <w:spacing w:before="0" w:after="283"/>
              <w:jc w:val="left"/>
              <w:rPr>
                <w:b/>
                <w:sz w:val="20"/>
              </w:rPr>
            </w:pPr>
            <w:r>
              <w:rPr>
                <w:b/>
                <w:sz w:val="20"/>
              </w:rPr>
              <w:t>Stockholders’ Deficit: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613" w:type="dxa"/>
            <w:tcBorders/>
            <w:shd w:fill="CCEEFF" w:val="clear"/>
            <w:vAlign w:val="center"/>
          </w:tcPr>
          <w:p>
            <w:pPr>
              <w:pStyle w:val="TableContents"/>
              <w:bidi w:val="0"/>
              <w:spacing w:before="0" w:after="283"/>
              <w:jc w:val="left"/>
              <w:rPr>
                <w:sz w:val="20"/>
              </w:rPr>
            </w:pPr>
            <w:r>
              <w:rPr>
                <w:sz w:val="20"/>
              </w:rPr>
              <w:t>Preferred stock, $0.0001 par value; 1,000,000 shares authorized; none issued or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613" w:type="dxa"/>
            <w:tcBorders/>
            <w:shd w:fill="FFFFFF" w:val="clear"/>
            <w:vAlign w:val="center"/>
          </w:tcPr>
          <w:p>
            <w:pPr>
              <w:pStyle w:val="TableContents"/>
              <w:bidi w:val="0"/>
              <w:spacing w:before="0" w:after="283"/>
              <w:jc w:val="left"/>
              <w:rPr>
                <w:sz w:val="20"/>
              </w:rPr>
            </w:pPr>
            <w:r>
              <w:rPr>
                <w:sz w:val="20"/>
              </w:rPr>
              <w:t>Class A common stock, $0.0001 par value; 300,000,000 shares authorized; 11,800,000 shares issued and outstanding (excluding 506,589 and 508,829 shares subject to possible redemption) as of March 31, 2025 and December 31, 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1,180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sz w:val="20"/>
              </w:rPr>
            </w:pPr>
            <w:r>
              <w:rPr>
                <w:sz w:val="20"/>
              </w:rPr>
              <w:t>1,180</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613" w:type="dxa"/>
            <w:tcBorders/>
            <w:shd w:fill="CCEEFF" w:val="clear"/>
            <w:vAlign w:val="center"/>
          </w:tcPr>
          <w:p>
            <w:pPr>
              <w:pStyle w:val="TableContents"/>
              <w:bidi w:val="0"/>
              <w:spacing w:before="0" w:after="283"/>
              <w:jc w:val="left"/>
              <w:rPr>
                <w:sz w:val="20"/>
              </w:rPr>
            </w:pPr>
            <w:r>
              <w:rPr>
                <w:sz w:val="20"/>
              </w:rPr>
              <w:t>Convertible Class B common stock, $0.0001 par value; 20,000,000 shares authorized; none shares issued and outstanding as of March 31, 2025 and December 31,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613" w:type="dxa"/>
            <w:tcBorders/>
            <w:shd w:fill="FFFFFF" w:val="clear"/>
            <w:vAlign w:val="center"/>
          </w:tcPr>
          <w:p>
            <w:pPr>
              <w:pStyle w:val="TableContents"/>
              <w:bidi w:val="0"/>
              <w:spacing w:before="0" w:after="283"/>
              <w:jc w:val="left"/>
              <w:rPr>
                <w:sz w:val="20"/>
              </w:rPr>
            </w:pPr>
            <w:r>
              <w:rPr>
                <w:sz w:val="20"/>
              </w:rPr>
              <w:t>Subscription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(600,000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sz w:val="20"/>
              </w:rPr>
            </w:pPr>
            <w:r>
              <w:rPr>
                <w:sz w:val="20"/>
              </w:rPr>
              <w:t>(600,000</w:t>
            </w:r>
          </w:p>
        </w:tc>
        <w:tc>
          <w:tcPr>
            <w:tcW w:w="82"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7613" w:type="dxa"/>
            <w:tcBorders/>
            <w:shd w:fill="CCEEFF" w:val="clear"/>
            <w:vAlign w:val="center"/>
          </w:tcPr>
          <w:p>
            <w:pPr>
              <w:pStyle w:val="TableContents"/>
              <w:bidi w:val="0"/>
              <w:spacing w:before="0" w:after="283"/>
              <w:jc w:val="left"/>
              <w:rPr>
                <w:sz w:val="20"/>
              </w:rPr>
            </w:pPr>
            <w:r>
              <w:rPr>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(18,293,070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(13,795,485</w:t>
            </w:r>
          </w:p>
        </w:tc>
        <w:tc>
          <w:tcPr>
            <w:tcW w:w="82"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7613" w:type="dxa"/>
            <w:tcBorders/>
            <w:shd w:fill="FFFFFF" w:val="clear"/>
            <w:vAlign w:val="center"/>
          </w:tcPr>
          <w:p>
            <w:pPr>
              <w:pStyle w:val="TableContents"/>
              <w:bidi w:val="0"/>
              <w:spacing w:before="0" w:after="283"/>
              <w:jc w:val="left"/>
              <w:rPr>
                <w:b/>
                <w:sz w:val="20"/>
              </w:rPr>
            </w:pPr>
            <w:r>
              <w:rPr>
                <w:b/>
                <w:sz w:val="20"/>
              </w:rPr>
              <w:t>Total stockholders’ deficit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b/>
                <w:sz w:val="20"/>
              </w:rPr>
            </w:pPr>
            <w:r>
              <w:rPr>
                <w:b/>
                <w:sz w:val="20"/>
              </w:rPr>
              <w:t>(18,891,890</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FFFFFF" w:val="clear"/>
            <w:tcMar>
              <w:bottom w:w="28" w:type="dxa"/>
            </w:tcMar>
            <w:vAlign w:val="center"/>
          </w:tcPr>
          <w:p>
            <w:pPr>
              <w:pStyle w:val="TableContents"/>
              <w:bidi w:val="0"/>
              <w:spacing w:before="0" w:after="283"/>
              <w:jc w:val="right"/>
              <w:rPr>
                <w:b/>
                <w:sz w:val="20"/>
              </w:rPr>
            </w:pPr>
            <w:r>
              <w:rPr>
                <w:b/>
                <w:sz w:val="20"/>
              </w:rPr>
              <w:t>(14,394,305</w:t>
            </w:r>
          </w:p>
        </w:tc>
        <w:tc>
          <w:tcPr>
            <w:tcW w:w="82" w:type="dxa"/>
            <w:tcBorders/>
            <w:shd w:fill="FFFFFF" w:val="clear"/>
            <w:vAlign w:val="center"/>
          </w:tcPr>
          <w:p>
            <w:pPr>
              <w:pStyle w:val="TableContents"/>
              <w:bidi w:val="0"/>
              <w:spacing w:before="0" w:after="283"/>
              <w:ind w:left="0" w:right="0" w:hanging="180"/>
              <w:jc w:val="left"/>
              <w:rPr>
                <w:b/>
                <w:sz w:val="20"/>
              </w:rPr>
            </w:pPr>
            <w:r>
              <w:rPr>
                <w:b/>
                <w:sz w:val="20"/>
              </w:rPr>
              <w:t>)</w:t>
            </w:r>
          </w:p>
        </w:tc>
      </w:tr>
      <w:tr>
        <w:trPr/>
        <w:tc>
          <w:tcPr>
            <w:tcW w:w="7613" w:type="dxa"/>
            <w:tcBorders/>
            <w:shd w:fill="CCEEFF" w:val="clear"/>
            <w:vAlign w:val="center"/>
          </w:tcPr>
          <w:p>
            <w:pPr>
              <w:pStyle w:val="TableContents"/>
              <w:bidi w:val="0"/>
              <w:spacing w:before="0" w:after="283"/>
              <w:jc w:val="left"/>
              <w:rPr>
                <w:b/>
                <w:sz w:val="20"/>
              </w:rPr>
            </w:pPr>
            <w:r>
              <w:rPr>
                <w:b/>
                <w:sz w:val="20"/>
              </w:rPr>
              <w:t>Total Liabilities, Class A Common Stock Subject to Possible Redemption, and Stockholders’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6,049,416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double" w:sz="10"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46"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6,017,969</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60"/>
        <w:gridCol w:w="60"/>
        <w:gridCol w:w="125"/>
        <w:gridCol w:w="950"/>
        <w:gridCol w:w="80"/>
        <w:gridCol w:w="60"/>
        <w:gridCol w:w="125"/>
        <w:gridCol w:w="950"/>
        <w:gridCol w:w="95"/>
      </w:tblGrid>
      <w:tr>
        <w:trPr/>
        <w:tc>
          <w:tcPr>
            <w:tcW w:w="7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For the </w:t>
              <w:br/>
              <w:t xml:space="preserve">Three Months Ended </w:t>
              <w:br/>
              <w:t>March 31,</w:t>
            </w:r>
          </w:p>
        </w:tc>
        <w:tc>
          <w:tcPr>
            <w:tcW w:w="95" w:type="dxa"/>
            <w:tcBorders/>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2024</w:t>
            </w:r>
          </w:p>
        </w:tc>
        <w:tc>
          <w:tcPr>
            <w:tcW w:w="95" w:type="dxa"/>
            <w:tcBorders/>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ind w:left="0" w:right="0" w:hanging="180"/>
              <w:jc w:val="left"/>
              <w:rPr/>
            </w:pPr>
            <w:r>
              <w:rPr/>
              <w:t> </w:t>
            </w:r>
          </w:p>
        </w:tc>
      </w:tr>
      <w:tr>
        <w:trPr/>
        <w:tc>
          <w:tcPr>
            <w:tcW w:w="7760" w:type="dxa"/>
            <w:tcBorders/>
            <w:shd w:fill="CCEEFF" w:val="clear"/>
            <w:vAlign w:val="center"/>
          </w:tcPr>
          <w:p>
            <w:pPr>
              <w:pStyle w:val="TableContents"/>
              <w:bidi w:val="0"/>
              <w:spacing w:before="0" w:after="283"/>
              <w:jc w:val="left"/>
              <w:rPr>
                <w:sz w:val="20"/>
              </w:rPr>
            </w:pPr>
            <w:r>
              <w:rPr>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301,511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357,763</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760" w:type="dxa"/>
            <w:tcBorders/>
            <w:shd w:fill="FFFFFF" w:val="clear"/>
            <w:vAlign w:val="center"/>
          </w:tcPr>
          <w:p>
            <w:pPr>
              <w:pStyle w:val="TableContents"/>
              <w:bidi w:val="0"/>
              <w:spacing w:before="0" w:after="283"/>
              <w:jc w:val="left"/>
              <w:rPr>
                <w:sz w:val="20"/>
              </w:rPr>
            </w:pPr>
            <w:r>
              <w:rPr>
                <w:sz w:val="20"/>
              </w:rPr>
              <w:t>Franchise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15,800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52,706</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760" w:type="dxa"/>
            <w:tcBorders/>
            <w:shd w:fill="CCEEFF" w:val="clear"/>
            <w:vAlign w:val="center"/>
          </w:tcPr>
          <w:p>
            <w:pPr>
              <w:pStyle w:val="TableContents"/>
              <w:bidi w:val="0"/>
              <w:spacing w:before="0" w:after="283"/>
              <w:jc w:val="left"/>
              <w:rPr>
                <w:b/>
                <w:sz w:val="20"/>
              </w:rPr>
            </w:pPr>
            <w:r>
              <w:rPr>
                <w:b/>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(317,311</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(410,469</w:t>
            </w:r>
          </w:p>
        </w:tc>
        <w:tc>
          <w:tcPr>
            <w:tcW w:w="95" w:type="dxa"/>
            <w:tcBorders/>
            <w:shd w:fill="CCEEFF" w:val="clear"/>
            <w:vAlign w:val="center"/>
          </w:tcPr>
          <w:p>
            <w:pPr>
              <w:pStyle w:val="TableContents"/>
              <w:bidi w:val="0"/>
              <w:spacing w:before="0" w:after="283"/>
              <w:ind w:left="0" w:right="0" w:hanging="180"/>
              <w:jc w:val="left"/>
              <w:rPr>
                <w:b/>
                <w:sz w:val="20"/>
              </w:rPr>
            </w:pPr>
            <w:r>
              <w:rPr>
                <w:b/>
                <w:sz w:val="20"/>
              </w:rPr>
              <w:t>)</w:t>
            </w:r>
          </w:p>
        </w:tc>
      </w:tr>
      <w:tr>
        <w:trPr/>
        <w:tc>
          <w:tcPr>
            <w:tcW w:w="7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760" w:type="dxa"/>
            <w:tcBorders/>
            <w:shd w:fill="CCEEFF" w:val="clear"/>
            <w:vAlign w:val="center"/>
          </w:tcPr>
          <w:p>
            <w:pPr>
              <w:pStyle w:val="TableContents"/>
              <w:bidi w:val="0"/>
              <w:spacing w:before="0" w:after="283"/>
              <w:jc w:val="left"/>
              <w:rPr>
                <w:sz w:val="20"/>
              </w:rPr>
            </w:pPr>
            <w:r>
              <w:rPr>
                <w:sz w:val="20"/>
              </w:rPr>
              <w:t>Other (expense)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760" w:type="dxa"/>
            <w:tcBorders/>
            <w:shd w:fill="FFFFFF" w:val="clear"/>
            <w:vAlign w:val="center"/>
          </w:tcPr>
          <w:p>
            <w:pPr>
              <w:pStyle w:val="TableContents"/>
              <w:bidi w:val="0"/>
              <w:spacing w:before="0" w:after="283"/>
              <w:jc w:val="left"/>
              <w:rPr>
                <w:sz w:val="20"/>
              </w:rPr>
            </w:pPr>
            <w:r>
              <w:rPr>
                <w:sz w:val="20"/>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(3,712,427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(247,680</w:t>
            </w:r>
          </w:p>
        </w:tc>
        <w:tc>
          <w:tcPr>
            <w:tcW w:w="95"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7760" w:type="dxa"/>
            <w:tcBorders/>
            <w:shd w:fill="CCEEFF" w:val="clear"/>
            <w:vAlign w:val="center"/>
          </w:tcPr>
          <w:p>
            <w:pPr>
              <w:pStyle w:val="TableContents"/>
              <w:bidi w:val="0"/>
              <w:spacing w:before="0" w:after="283"/>
              <w:jc w:val="left"/>
              <w:rPr>
                <w:sz w:val="20"/>
              </w:rPr>
            </w:pPr>
            <w:r>
              <w:rPr>
                <w:sz w:val="20"/>
              </w:rPr>
              <w:t>Interest and penalties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(489,351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760" w:type="dxa"/>
            <w:tcBorders/>
            <w:shd w:fill="FFFFFF" w:val="clear"/>
            <w:vAlign w:val="center"/>
          </w:tcPr>
          <w:p>
            <w:pPr>
              <w:pStyle w:val="TableContents"/>
              <w:bidi w:val="0"/>
              <w:spacing w:before="0" w:after="283"/>
              <w:jc w:val="left"/>
              <w:rPr>
                <w:sz w:val="20"/>
              </w:rPr>
            </w:pPr>
            <w:r>
              <w:rPr>
                <w:sz w:val="20"/>
              </w:rPr>
              <w:t>Interest income - bank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2,758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4,635</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760" w:type="dxa"/>
            <w:tcBorders/>
            <w:shd w:fill="CCEEFF" w:val="clear"/>
            <w:vAlign w:val="center"/>
          </w:tcPr>
          <w:p>
            <w:pPr>
              <w:pStyle w:val="TableContents"/>
              <w:bidi w:val="0"/>
              <w:spacing w:before="0" w:after="283"/>
              <w:jc w:val="left"/>
              <w:rPr>
                <w:sz w:val="20"/>
              </w:rPr>
            </w:pPr>
            <w:r>
              <w:rPr>
                <w:sz w:val="20"/>
              </w:rPr>
              <w:t>Income from cash and investments held in Trust Account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28,349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257,512</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760" w:type="dxa"/>
            <w:tcBorders/>
            <w:shd w:fill="FFFFFF" w:val="clear"/>
            <w:vAlign w:val="center"/>
          </w:tcPr>
          <w:p>
            <w:pPr>
              <w:pStyle w:val="TableContents"/>
              <w:bidi w:val="0"/>
              <w:spacing w:before="0" w:after="283"/>
              <w:jc w:val="left"/>
              <w:rPr>
                <w:sz w:val="20"/>
              </w:rPr>
            </w:pPr>
            <w:r>
              <w:rPr>
                <w:sz w:val="20"/>
              </w:rPr>
              <w:t>Total other (expense) income,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(4,170,671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14,467</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760" w:type="dxa"/>
            <w:tcBorders/>
            <w:shd w:fill="FFFFFF" w:val="clear"/>
            <w:vAlign w:val="center"/>
          </w:tcPr>
          <w:p>
            <w:pPr>
              <w:pStyle w:val="TableContents"/>
              <w:bidi w:val="0"/>
              <w:spacing w:before="0" w:after="283"/>
              <w:jc w:val="left"/>
              <w:rPr>
                <w:sz w:val="20"/>
              </w:rPr>
            </w:pPr>
            <w:r>
              <w:rPr>
                <w:sz w:val="20"/>
              </w:rPr>
              <w:t>Net loss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(4,487,982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(396,002</w:t>
            </w:r>
          </w:p>
        </w:tc>
        <w:tc>
          <w:tcPr>
            <w:tcW w:w="95"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7760" w:type="dxa"/>
            <w:tcBorders/>
            <w:shd w:fill="CCEEFF" w:val="clear"/>
            <w:vAlign w:val="center"/>
          </w:tcPr>
          <w:p>
            <w:pPr>
              <w:pStyle w:val="TableContents"/>
              <w:bidi w:val="0"/>
              <w:spacing w:before="0" w:after="283"/>
              <w:jc w:val="left"/>
              <w:rPr>
                <w:sz w:val="20"/>
              </w:rPr>
            </w:pPr>
            <w:r>
              <w:rPr>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(3,214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(43,983</w:t>
            </w:r>
          </w:p>
        </w:tc>
        <w:tc>
          <w:tcPr>
            <w:tcW w:w="95"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7760" w:type="dxa"/>
            <w:tcBorders/>
            <w:shd w:fill="FFFFFF" w:val="clear"/>
            <w:vAlign w:val="center"/>
          </w:tcPr>
          <w:p>
            <w:pPr>
              <w:pStyle w:val="TableContents"/>
              <w:bidi w:val="0"/>
              <w:spacing w:before="0" w:after="283"/>
              <w:jc w:val="left"/>
              <w:rPr>
                <w:b/>
                <w:sz w:val="20"/>
              </w:rPr>
            </w:pPr>
            <w:r>
              <w:rPr>
                <w:b/>
                <w:sz w:val="20"/>
              </w:rPr>
              <w:t>Net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b/>
                <w:sz w:val="20"/>
              </w:rPr>
            </w:pPr>
            <w:r>
              <w:rPr>
                <w:b/>
                <w:sz w:val="20"/>
              </w:rPr>
              <w:t>(4,491,196</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b/>
                <w:sz w:val="20"/>
              </w:rPr>
            </w:pPr>
            <w:r>
              <w:rPr>
                <w:b/>
                <w:sz w:val="20"/>
              </w:rPr>
              <w:t>(439,985</w:t>
            </w:r>
          </w:p>
        </w:tc>
        <w:tc>
          <w:tcPr>
            <w:tcW w:w="95" w:type="dxa"/>
            <w:tcBorders/>
            <w:shd w:fill="FFFFFF" w:val="clear"/>
            <w:vAlign w:val="center"/>
          </w:tcPr>
          <w:p>
            <w:pPr>
              <w:pStyle w:val="TableContents"/>
              <w:bidi w:val="0"/>
              <w:spacing w:before="0" w:after="283"/>
              <w:ind w:left="0" w:right="0" w:hanging="180"/>
              <w:jc w:val="left"/>
              <w:rPr>
                <w:b/>
                <w:sz w:val="20"/>
              </w:rPr>
            </w:pPr>
            <w:r>
              <w:rPr>
                <w:b/>
                <w:sz w:val="20"/>
              </w:rPr>
              <w:t>)</w:t>
            </w:r>
          </w:p>
        </w:tc>
      </w:tr>
      <w:tr>
        <w:trPr/>
        <w:tc>
          <w:tcPr>
            <w:tcW w:w="7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760" w:type="dxa"/>
            <w:tcBorders/>
            <w:shd w:fill="FFFFFF" w:val="clear"/>
            <w:vAlign w:val="center"/>
          </w:tcPr>
          <w:p>
            <w:pPr>
              <w:pStyle w:val="TableContents"/>
              <w:bidi w:val="0"/>
              <w:spacing w:before="0" w:after="283"/>
              <w:jc w:val="left"/>
              <w:rPr>
                <w:sz w:val="20"/>
              </w:rPr>
            </w:pPr>
            <w:r>
              <w:rPr>
                <w:sz w:val="20"/>
              </w:rPr>
              <w:t>Weighted average shares outstanding of redeemable Class A common stock,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507,475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1,984,568</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760" w:type="dxa"/>
            <w:tcBorders/>
            <w:shd w:fill="CCEEFF" w:val="clear"/>
            <w:vAlign w:val="center"/>
          </w:tcPr>
          <w:p>
            <w:pPr>
              <w:pStyle w:val="TableContents"/>
              <w:bidi w:val="0"/>
              <w:spacing w:before="0" w:after="283"/>
              <w:jc w:val="left"/>
              <w:rPr>
                <w:b/>
                <w:sz w:val="20"/>
              </w:rPr>
            </w:pPr>
            <w:r>
              <w:rPr>
                <w:b/>
                <w:sz w:val="20"/>
              </w:rPr>
              <w:t>Basic and diluted net loss per share, redeemable Class A common stock</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(0.36</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(0.03</w:t>
            </w:r>
          </w:p>
        </w:tc>
        <w:tc>
          <w:tcPr>
            <w:tcW w:w="95" w:type="dxa"/>
            <w:tcBorders/>
            <w:shd w:fill="CCEEFF" w:val="clear"/>
            <w:vAlign w:val="center"/>
          </w:tcPr>
          <w:p>
            <w:pPr>
              <w:pStyle w:val="TableContents"/>
              <w:bidi w:val="0"/>
              <w:spacing w:before="0" w:after="283"/>
              <w:ind w:left="0" w:right="0" w:hanging="180"/>
              <w:jc w:val="left"/>
              <w:rPr>
                <w:b/>
                <w:sz w:val="20"/>
              </w:rPr>
            </w:pPr>
            <w:r>
              <w:rPr>
                <w:b/>
                <w:sz w:val="20"/>
              </w:rPr>
              <w:t>)</w:t>
            </w:r>
          </w:p>
        </w:tc>
      </w:tr>
      <w:tr>
        <w:trPr/>
        <w:tc>
          <w:tcPr>
            <w:tcW w:w="7760" w:type="dxa"/>
            <w:tcBorders/>
            <w:shd w:fill="FFFFFF" w:val="clear"/>
            <w:vAlign w:val="center"/>
          </w:tcPr>
          <w:p>
            <w:pPr>
              <w:pStyle w:val="TableContents"/>
              <w:bidi w:val="0"/>
              <w:spacing w:before="0" w:after="283"/>
              <w:jc w:val="left"/>
              <w:rPr>
                <w:sz w:val="20"/>
              </w:rPr>
            </w:pPr>
            <w:r>
              <w:rPr>
                <w:sz w:val="20"/>
              </w:rPr>
              <w:t>Weighted average shares outstanding of non-redeemable Class A and Class B common stock,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11,800,000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11,800,000</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760" w:type="dxa"/>
            <w:tcBorders/>
            <w:shd w:fill="CCEEFF" w:val="clear"/>
            <w:vAlign w:val="center"/>
          </w:tcPr>
          <w:p>
            <w:pPr>
              <w:pStyle w:val="TableContents"/>
              <w:bidi w:val="0"/>
              <w:spacing w:before="0" w:after="283"/>
              <w:jc w:val="left"/>
              <w:rPr>
                <w:b/>
                <w:sz w:val="20"/>
              </w:rPr>
            </w:pPr>
            <w:r>
              <w:rPr>
                <w:b/>
                <w:sz w:val="20"/>
              </w:rPr>
              <w:t>Basic and diluted net loss per share, non-redeemable Class A and Class B common stock</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(0.36</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(0.03</w:t>
            </w:r>
          </w:p>
        </w:tc>
        <w:tc>
          <w:tcPr>
            <w:tcW w:w="95" w:type="dxa"/>
            <w:tcBorders/>
            <w:shd w:fill="CCEE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2025</w:t>
      </w:r>
    </w:p>
    <w:p>
      <w:pPr>
        <w:pStyle w:val="TextBody"/>
        <w:bidi w:val="0"/>
        <w:spacing w:before="0" w:after="0"/>
        <w:ind w:left="0" w:right="0" w:hanging="0"/>
        <w:jc w:val="center"/>
        <w:rPr>
          <w:caps w:val="false"/>
          <w:smallCaps w:val="false"/>
        </w:rPr>
      </w:pPr>
      <w:r>
        <w:rPr>
          <w:caps w:val="false"/>
          <w:smallCaps w:val="false"/>
        </w:rPr>
        <w:t> </w:t>
      </w:r>
    </w:p>
    <w:tbl>
      <w:tblPr>
        <w:tblW w:w="10951" w:type="dxa"/>
        <w:jc w:val="left"/>
        <w:tblInd w:w="0" w:type="dxa"/>
        <w:tblLayout w:type="fixed"/>
        <w:tblCellMar>
          <w:top w:w="0" w:type="dxa"/>
          <w:left w:w="0" w:type="dxa"/>
          <w:bottom w:w="0" w:type="dxa"/>
          <w:right w:w="0" w:type="dxa"/>
        </w:tblCellMar>
      </w:tblPr>
      <w:tblGrid>
        <w:gridCol w:w="1565"/>
        <w:gridCol w:w="60"/>
        <w:gridCol w:w="60"/>
        <w:gridCol w:w="1100"/>
        <w:gridCol w:w="60"/>
        <w:gridCol w:w="60"/>
        <w:gridCol w:w="158"/>
        <w:gridCol w:w="633"/>
        <w:gridCol w:w="69"/>
        <w:gridCol w:w="60"/>
        <w:gridCol w:w="119"/>
        <w:gridCol w:w="519"/>
        <w:gridCol w:w="72"/>
        <w:gridCol w:w="71"/>
        <w:gridCol w:w="279"/>
        <w:gridCol w:w="505"/>
        <w:gridCol w:w="76"/>
        <w:gridCol w:w="60"/>
        <w:gridCol w:w="220"/>
        <w:gridCol w:w="785"/>
        <w:gridCol w:w="95"/>
        <w:gridCol w:w="60"/>
        <w:gridCol w:w="165"/>
        <w:gridCol w:w="1032"/>
        <w:gridCol w:w="113"/>
        <w:gridCol w:w="60"/>
        <w:gridCol w:w="140"/>
        <w:gridCol w:w="1175"/>
        <w:gridCol w:w="95"/>
        <w:gridCol w:w="60"/>
        <w:gridCol w:w="140"/>
        <w:gridCol w:w="1175"/>
        <w:gridCol w:w="110"/>
      </w:tblGrid>
      <w:tr>
        <w:trPr/>
        <w:tc>
          <w:tcPr>
            <w:tcW w:w="1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41" w:type="dxa"/>
            <w:gridSpan w:val="15"/>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131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5" w:type="dxa"/>
            <w:gridSpan w:val="3"/>
            <w:tcBorders/>
            <w:vAlign w:val="center"/>
          </w:tcPr>
          <w:p>
            <w:pPr>
              <w:pStyle w:val="TableContents"/>
              <w:bidi w:val="0"/>
              <w:spacing w:before="0" w:after="283"/>
              <w:jc w:val="center"/>
              <w:rPr>
                <w:b/>
              </w:rPr>
            </w:pPr>
            <w:r>
              <w:rPr>
                <w:b/>
              </w:rPr>
              <w:t>Total</w:t>
            </w:r>
          </w:p>
        </w:tc>
      </w:tr>
      <w:tr>
        <w:trPr/>
        <w:tc>
          <w:tcPr>
            <w:tcW w:w="1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7"/>
            <w:tcBorders>
              <w:bottom w:val="single" w:sz="12" w:space="0" w:color="000000"/>
            </w:tcBorders>
            <w:tcMar>
              <w:bottom w:w="28" w:type="dxa"/>
            </w:tcMar>
            <w:vAlign w:val="center"/>
          </w:tcPr>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left"/>
              <w:rPr/>
            </w:pPr>
            <w:r>
              <w:rPr/>
              <w:t> </w:t>
            </w:r>
          </w:p>
        </w:tc>
        <w:tc>
          <w:tcPr>
            <w:tcW w:w="1641" w:type="dxa"/>
            <w:gridSpan w:val="7"/>
            <w:tcBorders>
              <w:bottom w:val="single" w:sz="12" w:space="0" w:color="000000"/>
            </w:tcBorders>
            <w:tcMar>
              <w:bottom w:w="28" w:type="dxa"/>
            </w:tcMar>
            <w:vAlign w:val="center"/>
          </w:tcPr>
          <w:p>
            <w:pPr>
              <w:pStyle w:val="TableContents"/>
              <w:bidi w:val="0"/>
              <w:spacing w:before="0" w:after="283"/>
              <w:jc w:val="center"/>
              <w:rPr>
                <w:b/>
              </w:rPr>
            </w:pPr>
            <w:r>
              <w:rPr>
                <w:b/>
              </w:rPr>
              <w:t>Convertible Class B</w:t>
            </w:r>
          </w:p>
        </w:tc>
        <w:tc>
          <w:tcPr>
            <w:tcW w:w="6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1310" w:type="dxa"/>
            <w:gridSpan w:val="3"/>
            <w:tcBorders/>
            <w:vAlign w:val="center"/>
          </w:tcPr>
          <w:p>
            <w:pPr>
              <w:pStyle w:val="TableContents"/>
              <w:bidi w:val="0"/>
              <w:spacing w:before="0" w:after="283"/>
              <w:jc w:val="center"/>
              <w:rPr>
                <w:b/>
              </w:rPr>
            </w:pPr>
            <w:r>
              <w:rPr>
                <w:b/>
              </w:rPr>
              <w:t>Subscription</w:t>
            </w:r>
          </w:p>
        </w:tc>
        <w:tc>
          <w:tcPr>
            <w:tcW w:w="60" w:type="dxa"/>
            <w:tcBorders/>
            <w:vAlign w:val="center"/>
          </w:tcPr>
          <w:p>
            <w:pPr>
              <w:pStyle w:val="TableContents"/>
              <w:bidi w:val="0"/>
              <w:spacing w:before="0" w:after="283"/>
              <w:jc w:val="left"/>
              <w:rPr/>
            </w:pPr>
            <w:r>
              <w:rPr/>
              <w:t> </w:t>
            </w:r>
          </w:p>
        </w:tc>
        <w:tc>
          <w:tcPr>
            <w:tcW w:w="1410" w:type="dxa"/>
            <w:gridSpan w:val="3"/>
            <w:tcBorders/>
            <w:vAlign w:val="center"/>
          </w:tcPr>
          <w:p>
            <w:pPr>
              <w:pStyle w:val="TableContents"/>
              <w:bidi w:val="0"/>
              <w:spacing w:before="0" w:after="283"/>
              <w:jc w:val="center"/>
              <w:rPr>
                <w:b/>
              </w:rPr>
            </w:pPr>
            <w:r>
              <w:rPr>
                <w:b/>
              </w:rPr>
              <w:t>Accumulated</w:t>
            </w:r>
          </w:p>
        </w:tc>
        <w:tc>
          <w:tcPr>
            <w:tcW w:w="60" w:type="dxa"/>
            <w:tcBorders/>
            <w:vAlign w:val="center"/>
          </w:tcPr>
          <w:p>
            <w:pPr>
              <w:pStyle w:val="TableContents"/>
              <w:bidi w:val="0"/>
              <w:spacing w:before="0" w:after="283"/>
              <w:jc w:val="left"/>
              <w:rPr/>
            </w:pPr>
            <w:r>
              <w:rPr/>
              <w:t> </w:t>
            </w:r>
          </w:p>
        </w:tc>
        <w:tc>
          <w:tcPr>
            <w:tcW w:w="1425" w:type="dxa"/>
            <w:gridSpan w:val="3"/>
            <w:tcBorders/>
            <w:vAlign w:val="center"/>
          </w:tcPr>
          <w:p>
            <w:pPr>
              <w:pStyle w:val="TableContents"/>
              <w:bidi w:val="0"/>
              <w:spacing w:before="0" w:after="283"/>
              <w:jc w:val="center"/>
              <w:rPr>
                <w:b/>
              </w:rPr>
            </w:pPr>
            <w:r>
              <w:rPr>
                <w:b/>
              </w:rPr>
              <w:t>Stockholders’</w:t>
            </w:r>
          </w:p>
        </w:tc>
      </w:tr>
      <w:tr>
        <w:trPr/>
        <w:tc>
          <w:tcPr>
            <w:tcW w:w="1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0"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860"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710"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71" w:type="dxa"/>
            <w:tcBorders/>
            <w:vAlign w:val="center"/>
          </w:tcPr>
          <w:p>
            <w:pPr>
              <w:pStyle w:val="TableContents"/>
              <w:bidi w:val="0"/>
              <w:spacing w:before="0" w:after="283"/>
              <w:jc w:val="left"/>
              <w:rPr/>
            </w:pPr>
            <w:r>
              <w:rPr/>
              <w:t> </w:t>
            </w:r>
          </w:p>
        </w:tc>
        <w:tc>
          <w:tcPr>
            <w:tcW w:w="860"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1100"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1310"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Receivable</w:t>
            </w:r>
          </w:p>
        </w:tc>
        <w:tc>
          <w:tcPr>
            <w:tcW w:w="60" w:type="dxa"/>
            <w:tcBorders/>
            <w:vAlign w:val="center"/>
          </w:tcPr>
          <w:p>
            <w:pPr>
              <w:pStyle w:val="TableContents"/>
              <w:bidi w:val="0"/>
              <w:spacing w:before="0" w:after="283"/>
              <w:jc w:val="left"/>
              <w:rPr/>
            </w:pPr>
            <w:r>
              <w:rPr/>
              <w:t> </w:t>
            </w:r>
          </w:p>
        </w:tc>
        <w:tc>
          <w:tcPr>
            <w:tcW w:w="1410"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60" w:type="dxa"/>
            <w:tcBorders/>
            <w:vAlign w:val="center"/>
          </w:tcPr>
          <w:p>
            <w:pPr>
              <w:pStyle w:val="TableContents"/>
              <w:bidi w:val="0"/>
              <w:spacing w:before="0" w:after="283"/>
              <w:jc w:val="left"/>
              <w:rPr/>
            </w:pPr>
            <w:r>
              <w:rPr/>
              <w:t> </w:t>
            </w:r>
          </w:p>
        </w:tc>
        <w:tc>
          <w:tcPr>
            <w:tcW w:w="1425" w:type="dxa"/>
            <w:gridSpan w:val="3"/>
            <w:tcBorders>
              <w:bottom w:val="single" w:sz="12" w:space="0" w:color="000000"/>
            </w:tcBorders>
            <w:tcMar>
              <w:bottom w:w="28" w:type="dxa"/>
            </w:tcMar>
            <w:vAlign w:val="center"/>
          </w:tcPr>
          <w:p>
            <w:pPr>
              <w:pStyle w:val="TableContents"/>
              <w:bidi w:val="0"/>
              <w:spacing w:before="0" w:after="283"/>
              <w:ind w:left="0" w:right="0" w:hanging="180"/>
              <w:jc w:val="center"/>
              <w:rPr>
                <w:b/>
              </w:rPr>
            </w:pPr>
            <w:r>
              <w:rPr>
                <w:b/>
              </w:rPr>
              <w:t>Deficit</w:t>
            </w:r>
          </w:p>
        </w:tc>
      </w:tr>
      <w:tr>
        <w:trPr/>
        <w:tc>
          <w:tcPr>
            <w:tcW w:w="1565" w:type="dxa"/>
            <w:tcBorders/>
            <w:shd w:fill="CCEEFF" w:val="clear"/>
            <w:vAlign w:val="center"/>
          </w:tcPr>
          <w:p>
            <w:pPr>
              <w:pStyle w:val="TableContents"/>
              <w:bidi w:val="0"/>
              <w:spacing w:before="0" w:after="283"/>
              <w:jc w:val="left"/>
              <w:rPr>
                <w:b/>
              </w:rPr>
            </w:pPr>
            <w:r>
              <w:rPr>
                <w:b/>
              </w:rPr>
              <w:t>Balance -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11,800,000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b/>
              </w:rPr>
            </w:pPr>
            <w:r>
              <w:rPr>
                <w:b/>
              </w:rPr>
              <w:t>$</w:t>
            </w:r>
          </w:p>
        </w:tc>
        <w:tc>
          <w:tcPr>
            <w:tcW w:w="633" w:type="dxa"/>
            <w:tcBorders/>
            <w:shd w:fill="CCEEFF" w:val="clear"/>
            <w:vAlign w:val="center"/>
          </w:tcPr>
          <w:p>
            <w:pPr>
              <w:pStyle w:val="TableContents"/>
              <w:bidi w:val="0"/>
              <w:spacing w:before="0" w:after="283"/>
              <w:jc w:val="right"/>
              <w:rPr>
                <w:b/>
              </w:rPr>
            </w:pPr>
            <w:r>
              <w:rPr>
                <w:b/>
              </w:rPr>
              <w:t>1,180</w:t>
            </w:r>
          </w:p>
        </w:tc>
        <w:tc>
          <w:tcPr>
            <w:tcW w:w="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b/>
              </w:rPr>
            </w:pPr>
            <w:r>
              <w:rPr>
                <w:b/>
              </w:rPr>
              <w:t>$</w:t>
            </w:r>
          </w:p>
        </w:tc>
        <w:tc>
          <w:tcPr>
            <w:tcW w:w="505"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b/>
              </w:rPr>
            </w:pPr>
            <w:r>
              <w:rPr>
                <w:b/>
              </w:rPr>
              <w:t>$</w:t>
            </w:r>
          </w:p>
        </w:tc>
        <w:tc>
          <w:tcPr>
            <w:tcW w:w="1032" w:type="dxa"/>
            <w:tcBorders/>
            <w:shd w:fill="CCEEFF" w:val="clear"/>
            <w:vAlign w:val="center"/>
          </w:tcPr>
          <w:p>
            <w:pPr>
              <w:pStyle w:val="TableContents"/>
              <w:bidi w:val="0"/>
              <w:spacing w:before="0" w:after="283"/>
              <w:jc w:val="right"/>
              <w:rPr>
                <w:b/>
              </w:rPr>
            </w:pPr>
            <w:r>
              <w:rPr>
                <w:b/>
              </w:rPr>
              <w:t>(600,000</w:t>
            </w:r>
          </w:p>
        </w:tc>
        <w:tc>
          <w:tcPr>
            <w:tcW w:w="113"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(13,795,485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(14,394,305</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1565" w:type="dxa"/>
            <w:tcBorders/>
            <w:shd w:fill="FFFFFF" w:val="clear"/>
            <w:vAlign w:val="center"/>
          </w:tcPr>
          <w:p>
            <w:pPr>
              <w:pStyle w:val="TableContents"/>
              <w:bidi w:val="0"/>
              <w:spacing w:before="0" w:after="283"/>
              <w:jc w:val="left"/>
              <w:rPr/>
            </w:pPr>
            <w:r>
              <w:rPr/>
              <w:t>Increase in redemption value of Class A common stock subject to possible redemption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(6,024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565" w:type="dxa"/>
            <w:tcBorders/>
            <w:shd w:fill="CCEEFF" w:val="clear"/>
            <w:vAlign w:val="center"/>
          </w:tcPr>
          <w:p>
            <w:pPr>
              <w:pStyle w:val="TableContents"/>
              <w:bidi w:val="0"/>
              <w:spacing w:before="0" w:after="283"/>
              <w:jc w:val="left"/>
              <w:rPr/>
            </w:pPr>
            <w:r>
              <w:rPr/>
              <w:t>Excise tax liability on share redemptions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56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(4,491,196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(4,491,196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565" w:type="dxa"/>
            <w:tcBorders/>
            <w:shd w:fill="CCEEFF" w:val="clear"/>
            <w:vAlign w:val="center"/>
          </w:tcPr>
          <w:p>
            <w:pPr>
              <w:pStyle w:val="TableContents"/>
              <w:bidi w:val="0"/>
              <w:spacing w:before="0" w:after="283"/>
              <w:jc w:val="left"/>
              <w:rPr>
                <w:b/>
              </w:rPr>
            </w:pPr>
            <w:r>
              <w:rPr>
                <w:b/>
              </w:rPr>
              <w:t>Balance - March 31, 2025 (unaudited)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11,800,000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3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1,180</w:t>
            </w:r>
          </w:p>
        </w:tc>
        <w:tc>
          <w:tcPr>
            <w:tcW w:w="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1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7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505"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3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(600,000</w:t>
            </w:r>
          </w:p>
        </w:tc>
        <w:tc>
          <w:tcPr>
            <w:tcW w:w="113"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(18,293,070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(18,891,890</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2024</w:t>
      </w:r>
    </w:p>
    <w:p>
      <w:pPr>
        <w:pStyle w:val="TextBody"/>
        <w:bidi w:val="0"/>
        <w:spacing w:before="0" w:after="0"/>
        <w:ind w:left="0" w:right="0" w:hanging="0"/>
        <w:jc w:val="center"/>
        <w:rPr>
          <w:caps w:val="false"/>
          <w:smallCaps w:val="false"/>
        </w:rPr>
      </w:pPr>
      <w:r>
        <w:rPr>
          <w:caps w:val="false"/>
          <w:smallCaps w:val="false"/>
        </w:rPr>
        <w:t> </w:t>
      </w:r>
    </w:p>
    <w:tbl>
      <w:tblPr>
        <w:tblW w:w="11735" w:type="dxa"/>
        <w:jc w:val="left"/>
        <w:tblInd w:w="0" w:type="dxa"/>
        <w:tblLayout w:type="fixed"/>
        <w:tblCellMar>
          <w:top w:w="0" w:type="dxa"/>
          <w:left w:w="0" w:type="dxa"/>
          <w:bottom w:w="0" w:type="dxa"/>
          <w:right w:w="0" w:type="dxa"/>
        </w:tblCellMar>
      </w:tblPr>
      <w:tblGrid>
        <w:gridCol w:w="1565"/>
        <w:gridCol w:w="60"/>
        <w:gridCol w:w="60"/>
        <w:gridCol w:w="980"/>
        <w:gridCol w:w="60"/>
        <w:gridCol w:w="60"/>
        <w:gridCol w:w="140"/>
        <w:gridCol w:w="695"/>
        <w:gridCol w:w="60"/>
        <w:gridCol w:w="60"/>
        <w:gridCol w:w="60"/>
        <w:gridCol w:w="1100"/>
        <w:gridCol w:w="60"/>
        <w:gridCol w:w="60"/>
        <w:gridCol w:w="140"/>
        <w:gridCol w:w="695"/>
        <w:gridCol w:w="60"/>
        <w:gridCol w:w="60"/>
        <w:gridCol w:w="140"/>
        <w:gridCol w:w="1235"/>
        <w:gridCol w:w="60"/>
        <w:gridCol w:w="60"/>
        <w:gridCol w:w="165"/>
        <w:gridCol w:w="1032"/>
        <w:gridCol w:w="113"/>
        <w:gridCol w:w="60"/>
        <w:gridCol w:w="140"/>
        <w:gridCol w:w="1175"/>
        <w:gridCol w:w="95"/>
        <w:gridCol w:w="60"/>
        <w:gridCol w:w="140"/>
        <w:gridCol w:w="1175"/>
        <w:gridCol w:w="110"/>
      </w:tblGrid>
      <w:tr>
        <w:trPr/>
        <w:tc>
          <w:tcPr>
            <w:tcW w:w="1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290" w:type="dxa"/>
            <w:gridSpan w:val="15"/>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1435" w:type="dxa"/>
            <w:gridSpan w:val="3"/>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131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5" w:type="dxa"/>
            <w:gridSpan w:val="3"/>
            <w:tcBorders/>
            <w:vAlign w:val="center"/>
          </w:tcPr>
          <w:p>
            <w:pPr>
              <w:pStyle w:val="TableContents"/>
              <w:bidi w:val="0"/>
              <w:spacing w:before="0" w:after="283"/>
              <w:jc w:val="center"/>
              <w:rPr>
                <w:b/>
              </w:rPr>
            </w:pPr>
            <w:r>
              <w:rPr>
                <w:b/>
              </w:rPr>
              <w:t>Total</w:t>
            </w:r>
          </w:p>
        </w:tc>
      </w:tr>
      <w:tr>
        <w:trPr/>
        <w:tc>
          <w:tcPr>
            <w:tcW w:w="1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55" w:type="dxa"/>
            <w:gridSpan w:val="7"/>
            <w:tcBorders>
              <w:bottom w:val="single" w:sz="12" w:space="0" w:color="000000"/>
            </w:tcBorders>
            <w:tcMar>
              <w:bottom w:w="28" w:type="dxa"/>
            </w:tcMar>
            <w:vAlign w:val="center"/>
          </w:tcPr>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left"/>
              <w:rPr/>
            </w:pPr>
            <w:r>
              <w:rPr/>
              <w:t> </w:t>
            </w:r>
          </w:p>
        </w:tc>
        <w:tc>
          <w:tcPr>
            <w:tcW w:w="2175" w:type="dxa"/>
            <w:gridSpan w:val="7"/>
            <w:tcBorders>
              <w:bottom w:val="single" w:sz="12" w:space="0" w:color="000000"/>
            </w:tcBorders>
            <w:tcMar>
              <w:bottom w:w="28" w:type="dxa"/>
            </w:tcMar>
            <w:vAlign w:val="center"/>
          </w:tcPr>
          <w:p>
            <w:pPr>
              <w:pStyle w:val="TableContents"/>
              <w:bidi w:val="0"/>
              <w:spacing w:before="0" w:after="283"/>
              <w:jc w:val="center"/>
              <w:rPr>
                <w:b/>
              </w:rPr>
            </w:pPr>
            <w:r>
              <w:rPr>
                <w:b/>
              </w:rPr>
              <w:t>Convertible Class B</w:t>
            </w:r>
          </w:p>
        </w:tc>
        <w:tc>
          <w:tcPr>
            <w:tcW w:w="60" w:type="dxa"/>
            <w:tcBorders/>
            <w:vAlign w:val="center"/>
          </w:tcPr>
          <w:p>
            <w:pPr>
              <w:pStyle w:val="TableContents"/>
              <w:bidi w:val="0"/>
              <w:spacing w:before="0" w:after="283"/>
              <w:jc w:val="left"/>
              <w:rPr/>
            </w:pPr>
            <w:r>
              <w:rPr/>
              <w:t> </w:t>
            </w:r>
          </w:p>
        </w:tc>
        <w:tc>
          <w:tcPr>
            <w:tcW w:w="1435" w:type="dxa"/>
            <w:gridSpan w:val="3"/>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1310" w:type="dxa"/>
            <w:gridSpan w:val="3"/>
            <w:tcBorders/>
            <w:vAlign w:val="center"/>
          </w:tcPr>
          <w:p>
            <w:pPr>
              <w:pStyle w:val="TableContents"/>
              <w:bidi w:val="0"/>
              <w:spacing w:before="0" w:after="283"/>
              <w:jc w:val="center"/>
              <w:rPr>
                <w:b/>
              </w:rPr>
            </w:pPr>
            <w:r>
              <w:rPr>
                <w:b/>
              </w:rPr>
              <w:t>Subscription</w:t>
            </w:r>
          </w:p>
        </w:tc>
        <w:tc>
          <w:tcPr>
            <w:tcW w:w="60" w:type="dxa"/>
            <w:tcBorders/>
            <w:vAlign w:val="center"/>
          </w:tcPr>
          <w:p>
            <w:pPr>
              <w:pStyle w:val="TableContents"/>
              <w:bidi w:val="0"/>
              <w:spacing w:before="0" w:after="283"/>
              <w:jc w:val="left"/>
              <w:rPr/>
            </w:pPr>
            <w:r>
              <w:rPr/>
              <w:t> </w:t>
            </w:r>
          </w:p>
        </w:tc>
        <w:tc>
          <w:tcPr>
            <w:tcW w:w="1410" w:type="dxa"/>
            <w:gridSpan w:val="3"/>
            <w:tcBorders/>
            <w:vAlign w:val="center"/>
          </w:tcPr>
          <w:p>
            <w:pPr>
              <w:pStyle w:val="TableContents"/>
              <w:bidi w:val="0"/>
              <w:spacing w:before="0" w:after="283"/>
              <w:jc w:val="center"/>
              <w:rPr>
                <w:b/>
              </w:rPr>
            </w:pPr>
            <w:r>
              <w:rPr>
                <w:b/>
              </w:rPr>
              <w:t>Accumulated</w:t>
            </w:r>
          </w:p>
        </w:tc>
        <w:tc>
          <w:tcPr>
            <w:tcW w:w="60" w:type="dxa"/>
            <w:tcBorders/>
            <w:vAlign w:val="center"/>
          </w:tcPr>
          <w:p>
            <w:pPr>
              <w:pStyle w:val="TableContents"/>
              <w:bidi w:val="0"/>
              <w:spacing w:before="0" w:after="283"/>
              <w:jc w:val="left"/>
              <w:rPr/>
            </w:pPr>
            <w:r>
              <w:rPr/>
              <w:t> </w:t>
            </w:r>
          </w:p>
        </w:tc>
        <w:tc>
          <w:tcPr>
            <w:tcW w:w="1425" w:type="dxa"/>
            <w:gridSpan w:val="3"/>
            <w:tcBorders/>
            <w:vAlign w:val="center"/>
          </w:tcPr>
          <w:p>
            <w:pPr>
              <w:pStyle w:val="TableContents"/>
              <w:bidi w:val="0"/>
              <w:spacing w:before="0" w:after="283"/>
              <w:jc w:val="center"/>
              <w:rPr>
                <w:b/>
              </w:rPr>
            </w:pPr>
            <w:r>
              <w:rPr>
                <w:b/>
              </w:rPr>
              <w:t>Stockholders’</w:t>
            </w:r>
          </w:p>
        </w:tc>
      </w:tr>
      <w:tr>
        <w:trPr/>
        <w:tc>
          <w:tcPr>
            <w:tcW w:w="1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895"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1220"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895"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1435"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1310"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Receivable</w:t>
            </w:r>
          </w:p>
        </w:tc>
        <w:tc>
          <w:tcPr>
            <w:tcW w:w="60" w:type="dxa"/>
            <w:tcBorders/>
            <w:vAlign w:val="center"/>
          </w:tcPr>
          <w:p>
            <w:pPr>
              <w:pStyle w:val="TableContents"/>
              <w:bidi w:val="0"/>
              <w:spacing w:before="0" w:after="283"/>
              <w:jc w:val="left"/>
              <w:rPr/>
            </w:pPr>
            <w:r>
              <w:rPr/>
              <w:t> </w:t>
            </w:r>
          </w:p>
        </w:tc>
        <w:tc>
          <w:tcPr>
            <w:tcW w:w="1410"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60" w:type="dxa"/>
            <w:tcBorders/>
            <w:vAlign w:val="center"/>
          </w:tcPr>
          <w:p>
            <w:pPr>
              <w:pStyle w:val="TableContents"/>
              <w:bidi w:val="0"/>
              <w:spacing w:before="0" w:after="283"/>
              <w:jc w:val="left"/>
              <w:rPr/>
            </w:pPr>
            <w:r>
              <w:rPr/>
              <w:t> </w:t>
            </w:r>
          </w:p>
        </w:tc>
        <w:tc>
          <w:tcPr>
            <w:tcW w:w="1425" w:type="dxa"/>
            <w:gridSpan w:val="3"/>
            <w:tcBorders>
              <w:bottom w:val="single" w:sz="12" w:space="0" w:color="000000"/>
            </w:tcBorders>
            <w:tcMar>
              <w:bottom w:w="28" w:type="dxa"/>
            </w:tcMar>
            <w:vAlign w:val="center"/>
          </w:tcPr>
          <w:p>
            <w:pPr>
              <w:pStyle w:val="TableContents"/>
              <w:bidi w:val="0"/>
              <w:spacing w:before="0" w:after="283"/>
              <w:ind w:left="0" w:right="0" w:hanging="180"/>
              <w:jc w:val="center"/>
              <w:rPr>
                <w:b/>
              </w:rPr>
            </w:pPr>
            <w:r>
              <w:rPr>
                <w:b/>
              </w:rPr>
              <w:t>Deficit</w:t>
            </w:r>
          </w:p>
        </w:tc>
      </w:tr>
      <w:tr>
        <w:trPr/>
        <w:tc>
          <w:tcPr>
            <w:tcW w:w="1565" w:type="dxa"/>
            <w:tcBorders/>
            <w:shd w:fill="CCEEFF" w:val="clear"/>
            <w:vAlign w:val="center"/>
          </w:tcPr>
          <w:p>
            <w:pPr>
              <w:pStyle w:val="TableContents"/>
              <w:bidi w:val="0"/>
              <w:spacing w:before="0" w:after="283"/>
              <w:jc w:val="left"/>
              <w:rPr>
                <w:b/>
              </w:rPr>
            </w:pPr>
            <w:r>
              <w:rPr>
                <w:b/>
              </w:rPr>
              <w:t>Balance -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1,350,000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95" w:type="dxa"/>
            <w:tcBorders/>
            <w:shd w:fill="CCEEFF" w:val="clear"/>
            <w:vAlign w:val="center"/>
          </w:tcPr>
          <w:p>
            <w:pPr>
              <w:pStyle w:val="TableContents"/>
              <w:bidi w:val="0"/>
              <w:spacing w:before="0" w:after="283"/>
              <w:jc w:val="right"/>
              <w:rPr>
                <w:b/>
              </w:rPr>
            </w:pPr>
            <w:r>
              <w:rPr>
                <w:b/>
              </w:rPr>
              <w:t>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10,450,000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95" w:type="dxa"/>
            <w:tcBorders/>
            <w:shd w:fill="CCEEFF" w:val="clear"/>
            <w:vAlign w:val="center"/>
          </w:tcPr>
          <w:p>
            <w:pPr>
              <w:pStyle w:val="TableContents"/>
              <w:bidi w:val="0"/>
              <w:spacing w:before="0" w:after="283"/>
              <w:jc w:val="right"/>
              <w:rPr>
                <w:b/>
              </w:rPr>
            </w:pPr>
            <w:r>
              <w:rPr>
                <w:b/>
              </w:rPr>
              <w:t>1,045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3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&amp;horbar;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b/>
              </w:rPr>
            </w:pPr>
            <w:r>
              <w:rPr>
                <w:b/>
              </w:rPr>
              <w:t>$</w:t>
            </w:r>
          </w:p>
        </w:tc>
        <w:tc>
          <w:tcPr>
            <w:tcW w:w="1032" w:type="dxa"/>
            <w:tcBorders/>
            <w:shd w:fill="CCEEFF" w:val="clear"/>
            <w:vAlign w:val="center"/>
          </w:tcPr>
          <w:p>
            <w:pPr>
              <w:pStyle w:val="TableContents"/>
              <w:bidi w:val="0"/>
              <w:spacing w:before="0" w:after="283"/>
              <w:jc w:val="right"/>
              <w:rPr>
                <w:b/>
              </w:rPr>
            </w:pPr>
            <w:r>
              <w:rPr>
                <w:b/>
              </w:rPr>
              <w:t>(600,000</w:t>
            </w:r>
          </w:p>
        </w:tc>
        <w:tc>
          <w:tcPr>
            <w:tcW w:w="113"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(21,033,991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(21,632,811</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1565" w:type="dxa"/>
            <w:tcBorders/>
            <w:shd w:fill="FFFFFF" w:val="clear"/>
            <w:vAlign w:val="center"/>
          </w:tcPr>
          <w:p>
            <w:pPr>
              <w:pStyle w:val="TableContents"/>
              <w:bidi w:val="0"/>
              <w:spacing w:before="0" w:after="283"/>
              <w:jc w:val="left"/>
              <w:rPr/>
            </w:pPr>
            <w:r>
              <w:rPr/>
              <w:t>Increase in redemption value of Class A common stock subject to possible redemption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&amp;horbar;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&amp;horbar;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&amp;horbar;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&amp;horbar;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&amp;horbar;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&amp;horbar;</w:t>
            </w:r>
          </w:p>
        </w:tc>
        <w:tc>
          <w:tcPr>
            <w:tcW w:w="1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(123,849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(123,849</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56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&amp;horbar;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&amp;horbar;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&amp;horbar;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&amp;horbar;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&amp;horbar;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&amp;horbar;</w:t>
            </w:r>
          </w:p>
        </w:tc>
        <w:tc>
          <w:tcPr>
            <w:tcW w:w="1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(439,985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(439,985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565" w:type="dxa"/>
            <w:tcBorders/>
            <w:shd w:fill="FFFFFF" w:val="clear"/>
            <w:vAlign w:val="center"/>
          </w:tcPr>
          <w:p>
            <w:pPr>
              <w:pStyle w:val="TableContents"/>
              <w:bidi w:val="0"/>
              <w:spacing w:before="0" w:after="283"/>
              <w:jc w:val="left"/>
              <w:rPr>
                <w:b/>
              </w:rPr>
            </w:pPr>
            <w:r>
              <w:rPr>
                <w:b/>
              </w:rPr>
              <w:t>Balance - March 31, 2024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10,450,000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35"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r>
              <w:rPr>
                <w:b/>
              </w:rPr>
              <w:t>&amp;horbar;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3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(600,000</w:t>
            </w:r>
          </w:p>
        </w:tc>
        <w:tc>
          <w:tcPr>
            <w:tcW w:w="113"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(21,597,825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(22,196,645</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4" w:name="a_006"/>
      <w:bookmarkEnd w:id="74"/>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365" w:type="dxa"/>
        <w:jc w:val="left"/>
        <w:tblInd w:w="0" w:type="dxa"/>
        <w:tblLayout w:type="fixed"/>
        <w:tblCellMar>
          <w:top w:w="0" w:type="dxa"/>
          <w:left w:w="0" w:type="dxa"/>
          <w:bottom w:w="0" w:type="dxa"/>
          <w:right w:w="0" w:type="dxa"/>
        </w:tblCellMar>
      </w:tblPr>
      <w:tblGrid>
        <w:gridCol w:w="6830"/>
        <w:gridCol w:w="60"/>
        <w:gridCol w:w="140"/>
        <w:gridCol w:w="1055"/>
        <w:gridCol w:w="95"/>
        <w:gridCol w:w="60"/>
        <w:gridCol w:w="140"/>
        <w:gridCol w:w="875"/>
        <w:gridCol w:w="110"/>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w:t>
              <w:br/>
              <w:t>Three Months Ended</w:t>
              <w:br/>
              <w:t>March 31,</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(4,491,196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(439,985</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Interest and penalties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489,351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&amp;horbar;</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Interest earned on marketable securities held in Trust Account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(28,349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(257,512</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3,712,427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247,680</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&amp;horbar;</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(13,687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254,976</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Franchise tax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52,706</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Income tax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43,983</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30,000</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(332,440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(68,152</w:t>
            </w:r>
          </w:p>
        </w:tc>
        <w:tc>
          <w:tcPr>
            <w:tcW w:w="110" w:type="dxa"/>
            <w:tcBorders/>
            <w:shd w:fill="FFFFFF" w:val="clear"/>
            <w:vAlign w:val="center"/>
          </w:tcPr>
          <w:p>
            <w:pPr>
              <w:pStyle w:val="TableContents"/>
              <w:bidi w:val="0"/>
              <w:spacing w:before="0" w:after="283"/>
              <w:jc w:val="left"/>
              <w:rPr>
                <w:b/>
              </w:rPr>
            </w:pPr>
            <w:r>
              <w:rPr>
                <w:b/>
              </w:rPr>
              <w:t>)</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Cash withdrawn from Trust Account in connection with redemption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14,462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&amp;horbar;</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14,462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&amp;horbar;</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Proceeds from convertible promissory note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&amp;horbar;</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Redemptions of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(14,462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&amp;horbar;</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285,538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&amp;horbar;</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b/>
              </w:rPr>
            </w:pPr>
            <w:r>
              <w:rPr>
                <w:b/>
              </w:rPr>
              <w:t>Net change in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(32,440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(68,152</w:t>
            </w:r>
          </w:p>
        </w:tc>
        <w:tc>
          <w:tcPr>
            <w:tcW w:w="110" w:type="dxa"/>
            <w:tcBorders/>
            <w:shd w:fill="CCEEFF" w:val="clear"/>
            <w:vAlign w:val="center"/>
          </w:tcPr>
          <w:p>
            <w:pPr>
              <w:pStyle w:val="TableContents"/>
              <w:bidi w:val="0"/>
              <w:spacing w:before="0" w:after="283"/>
              <w:jc w:val="left"/>
              <w:rPr>
                <w:b/>
              </w:rPr>
            </w:pPr>
            <w:r>
              <w:rPr>
                <w:b/>
              </w:rPr>
              <w:t>)</w:t>
            </w:r>
          </w:p>
        </w:tc>
      </w:tr>
      <w:tr>
        <w:trPr/>
        <w:tc>
          <w:tcPr>
            <w:tcW w:w="6830" w:type="dxa"/>
            <w:tcBorders/>
            <w:shd w:fill="FFFFFF" w:val="clear"/>
            <w:vAlign w:val="center"/>
          </w:tcPr>
          <w:p>
            <w:pPr>
              <w:pStyle w:val="TableContents"/>
              <w:bidi w:val="0"/>
              <w:spacing w:before="0" w:after="283"/>
              <w:jc w:val="left"/>
              <w:rPr>
                <w:b/>
              </w:rPr>
            </w:pPr>
            <w:r>
              <w:rPr>
                <w:b/>
              </w:rPr>
              <w:t>Cash - beginning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432,533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403,456</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b/>
              </w:rPr>
            </w:pPr>
            <w:r>
              <w:rPr>
                <w:b/>
              </w:rPr>
              <w:t>Cash - end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400,093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335,304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5" w:name="a_007"/>
      <w:bookmarkEnd w:id="75"/>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Organization and Business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ShoulderUp Technology Acquisition Corp. (the “Company”) is a blank check company formed as a Delaware corporation on May 20, 2021 for the purpose of effecting a merger, capital stock exchange, asset acquisition, stock purchase, reorganization or similar business combination with one or more businesses (the “Business Combination”). As further described below on February 6, 2025, the Company’s stockholders voted and approved a proposal to adopt the Business Combination Agreement, dated as of March 18, 2024, entered into by and among SUAC, CID HoldCo, Inc., a Delaware corporation and wholly-owned subsidiary of SUAC (“Holdings”), ShoulderUp Merger Sub, Inc., a Delaware corporation and wholly-owned subsidiary of Holdings, SEI Merger Sub, Inc., a Delaware corporation and a wholly-owned subsidiary of Holdings, and SEE ID, Inc., a Nevada corporation and the transactions contemplated by the Business Combination Agreement (collectively, the “Business Combination”).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Company has neither engaged in any operations nor generated any revenues. All activity for the period from May 20, 2021 (inception) through March 31, 2025 relates to the Company’s formation and its initial public offering (the “Initial Public Offering” or “IPO”) described below, and, subsequent to the Initial Public Offering, identifying a target company for a Business Combination. The Company will not generate any operating revenues until after the completion of its initial Business Combination, at the earliest. The Company generates non-operating income in the form of interest income on the proceeds derived from the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Sponsor is ShoulderUp Technology Sponsor LLC, a Delaware limited liability company (the “Sponsor”).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statements for the Company’s IPO were declared effective on November 17, 2021. On November 19, 2021, the Company consummated the IPO of 30,000,000 units, including 3,500,000 units pursuant to the exercise of the underwriters’ over-allotment option in full, at $10.00 per unit (the “Units”), which is discussed in Note 3, generating gross proceeds to the Company of $300,000,000. Each Unit consists of one share (the “Public Shares”) of Class A common stock, par value $0.0001 per share (“Class A common stock”), and one-half of one warrant (the “Public Warrants”). Each whole Public Warrant is exercisable to purchase one whole share of Class A common stock at $11.50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consummation of the IPO, the Company consummated the private placement of 1,350,000 private units (the “Private Units”) at a price of $10.00 per Private Unit in a private placement, generating gross proceeds to the Company of $13,500,000, of which $600,000 has not been funded and was recorded as subscription receivable, which is described in Note 4. Each Private Unit consists of one share of Class A common stock (the “Private Placement Shares”) and one-half of one warrant (the “Private Placement Warrants”). Each whole Private Placement Warrant is exercisable to purchase one whole share of Class A common stock at $11.50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amounted to $17,820,368 consisting of $5,300,000 of underwriting commissions, $11,200,000 of deferred underwriting commissions, and $1,320,368 of other offering costs (including $795,000 of offering costs reimbursed by the underwriters) and was allocated between Class A common stock subject to possible redemption, Public Warrants, Private Placement Shares, and 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must complete one or more initial Business Combinations having an aggregate fair market value of at least 80% of the value of the assets held in the Trust Account (as defined below) (excluding the deferred underwriting commissions and taxes payable on the income earned on the Trust Account) at the time of the signing a definitive agreement in connection with the initial Business Combination. However, the Company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IPO on November 19, 2021, $306,000,000 ($10.20 per Unit) from the net proceeds of the sale of the Units in the IPO and the sale of the Private Units was deposited into a trust account (the “Trust Account”), located in the United States with Continental Stock Transfer &amp; Trust Company acting as trustee, which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December 28,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its discretion. The public stockholders are entitled to redeem all or a portion of their Public Shares upon the completion of the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(which interest shall be net of taxes payable), divided by the number of then outstanding Public Shares, subject to the limitations and on the conditions described herein. The amount in the Trust Account initially deposited into the Trust following the closing of the IPO was $10.20 per Public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Public Shares contain a redemption feature which allows for the redemption of such Public Shares in connection with the Company’s liquidation, if there is a stockholder vote or tender offer in connection with the initial Business Combination and in connection with certain amendments to the Company’s amended and restated certificate of incorporation.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 and its guidance on redeemable equity instruments, which has been codified in Financial Accounting Standards Board (“FASB”) Accounting Standards Codification (“ASC”) Topic 480-10-S99, redemption provisions not solely within the control of a company require common stock subject to redemption to be classified outside of permanent deficit. Given that the Public Shares were issued with Public Warrants, the initial carrying value of common stock classified as temporary equity was then allocated proceeds determined in accordance with FASB ASC 470-20. The Public Shares are subject to FASB ASC 480-10-S99. If it is probable that the equity instrument will become redeemable, the Company has the option to either (i) accrete changes in the redemption value over the period from the date of issuance (or from the date that it becomes probable that the instrument will become redeemable, if later) to the earliest redemption date of the instrument or (ii) recognize changes in the redemption value immediately as they occur and adjust the carrying amount of the instrument to equal the redemption value at the end of each reporting period. The Company has elected to recognize the changes immediately as they occur, measured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stockholders, sponsor, officers and directors have entered into a letter agreement with the Company, pursuant to which they have agreed to (i) waive their redemption rights with respect to any shares of Class B common stock, par value $0.0001 (the “Founder Shares”), Private Placement Shares and Public Shares they hold in connection with the completion of the initial Business Combination, (ii) waive their redemption rights with respect to any Founder Shares and Public Shares they hold in connection with a stockholder vote to approve an amendment to the Company’s amended and restated certificate of incorporation, and (iii) waive their rights to liquidating distributions from the Trust Account with respect to any Founder Shares they hold if the Company fails to complete the initial Business Combination within the Combination Period or during any Extension Period (although they will be entitled to liquidating distributions from the Trust Account with respect to any Public Shares they hold if the Company fails to complete the initial Business Combination within the prescribed time frame).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$10.20 per Public Share and (ii) the actual amount per Public Share held in the Trust Account as of the date of the liquidation of the Trust Account, if less than $10.20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IPO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the Company believes that the Sponsor’s only assets are securities of the Company. Therefore, the Company cannot assure that the Sponsor would be able to satisfy those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2023, the Company held a special meeting of its stockholders (the “Special Meeting”). At the Special Meeting, the Company’s stockholders approved an amendment to the Company’s Amended and Restated Certificate of Incorporation that extends the date by which the Company must consummate a business combination transaction from May 19, 2023, to November 19, 2023 (the date which is 24 months from the closing date of the Company’s initial public offering of units). The certificate of amendment was filed with the Delaware Secretary of State and has an effective date of April 21, 2023. In connection with Special Meeting, holders of 25,845,428 shares of the Company’s Class A common stock exercised their right to redeem their shares for a cash redemption price of approximately $10.43 per share, or an aggregate redemption amount of $269,597,445. Following such redemptions, approximately 4,154,572 shares of Class A common stock remain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2023, the Company announced that it has entered into a non-binding letter of intent for a potential business combination with Airspace Experience Technologies, Inc., a pioneer in the urban mobility market. The non-binding letter of intent was terminated on December 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17, 2023, the Company, held a special meeting of its stockholders (the “Special Meeting”). At the Special Meeting, the Company’s stockholders approved an amendment to the Company’s Amended and Restated Certificate of Incorporation that extends the date (the “Termination Date”) by which the Company must consummate a business combination (the “Charter Extension”) from November 19, 2023 (the “Original Termination Date”) to May 19, 2024 or such earlier date as may be determined by the Company’s board of directors in its sole discretion (the “Charter Extension Date”). The certificate of amendment was filed with the Delaware Secretary of State and has an effective date of November 15, 2023. In connection with the Extension Amendment Proposal, holders of 2,170,004 shares of the Company’s common stock properly exercised their right to redeem their shares. $22,904,010 or $10.55 per share was withdrawn from the Trust Account, leaving $20,946,765 in the Trust Account after the redemptions.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2023, the Company held an annual meeting of its stockholders (the “Annual Meeting”). At the Annual Meeting, the Company’s stockholders approved an amendment to the Company’s Amended and Restated Certificate of Incorporation to allow for the right of a holder of Class B common stock of the Company to convert its shares of Class B common stock into shares of Class A common stock on a one-to-one basis at any time and from time to time at the election of the holder. The newly issued Class A common stock would not have any redemption rights and would continue to be subject to a lock-up period upon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2023, the NYSE filed a Form 25 to delist the Company securities. The delisting was effective on December 29, 2023. On March 6, 2024, pursuant to Rule 15c-211 of the U.S. Securities Exchange Act, as amended (the “Exchange Act”), as amended, a market maker filed a Form 211 with the Financial Industry Regulatory Authority, Inc. (“FINRA”) to initiate proprietary trading of the Class A common stock, the units, and the warrants of the Company. Pursuant to Rule 15c2-11 (the “Exchange Act”), the submission of Form 211 to the FINRA OTC Compliance Unit enables broker-dealers to initiate or resume trading quotes on the “pink sheets” by OTC Markets Group Inc. for securities not listed on the New York Stock Exchange or The Nasdaq Stock Market LLC. The securities are expected to be quoted on the Pink Sheets, but there can be no assurance if or when this will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17, 2024, the Company held a special meeting of its stockholders (the “Special Meeting”). At the Special Meeting, the Company’s stockholders approved an amendment to the Company’s Amended and Restated Certificate of Incorporation that extends the date by which the Company must consummate a business combination from May 19, 2024 to November 19, 2024 or such earlier date as may be determined by the Company’s board of directors in its sole discretion. The certificate of amendment was filed with the Delaware Secretary of State and has an effective date of May 17, 2024. In connection with the Extension Amendment Proposal, holders of 1,125,154 shares of the Company’s common stock properly exercised their right to redeem their shares. $12,136,736 or $10.78 per share was withdrawn from the Trust Account, leaving $9,270,270 in the Trust Account after the redemptions.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2024, the Company issued a press release announcing that on June 26, 2024, the Company was assigned the trading symbols SUAC, SUACU and SUACW for its common stock, units and warrants, respectively, by FINRA. As a result, the Company’s common stock, units and warrants begin to be quoted and traded in the over-the-counter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2024, the Company has filed a definite proxy announcing a special meeting of stockholders to be held on November 18, 2024, seeking shareholders’ approval of the proposal to extend the date by which it has to consummate a business combination from November 19, 2024 to December 31, 2024, or such earlier date as may be determined by the Company’s board of directors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2024, the Sponsor elected to convert all of the 10,450,000 shares of Class B common stock held by the Sponsor into 10,450,000 shares of Class A common stock pursuant to Section 4.3(b)(i) of Article IV of the Company’s existing Amended and Restated Certificate of Incorporation. The conversion is effective as of November 19,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2024, the Company held a special meeting of its stockholders (the “Special Meeting”). At the Special Meeting, the Company’s stockholders approved an amendment to the Company’s Amended and Restated Certificate of Incorporation that extends the date by which the Company must consummate a business combination from November 19, 2024 to December 31, 2024 or such earlier date as may be determined by the Company’s board of directors in its sole discretion. The certificate of amendment was filed with the Delaware Secretary of State and has an effective date of November 19, 2024. In connection with the Extension Amendment Proposal, holders of 349,505 shares of the Company’s common stock properly exercised their right to redeem their shares. $3,817,676 or $10.92 per share was withdrawn from the Trust Account, leaving $5,616,776 in the Trust Account after the redemptions.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2024, the Company held a special meeting of its stockholders (the “Special Meeting”). At the Special Meeting, the Company’s stockholders approved an amendment to the Company’s Amended and Restated Certificate of Incorporation that extends the date by which the Company must consummate a business combination from December 31, 2024 to January 25, 2025 or such earlier date as may be determined by the Company’s board of directors in its sole discretion. The certificate of amendment was filed with the Delaware Secretary of State and has an effective date of November 30, 2024. In connection with the Extension Amendment Proposal, holders of 1,080 shares of the Company’s common stock properly exercised their right to redeem their shares. $11,827 or $10.92 per share was withdrawn from the Trust Account, leaving $5,573,609 in the Trust Account after the redemptions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2025, the Company held a special meeting of its stockholders (the “January 24 Special Meeting”). At the January 24 Special Meeting, the Company’s stockholders approved an amendment to the Company’s Amended and Restated Certificate of Incorporation that extends the Termination Date by which the Company must consummate a business combination from January 24, 2025, to February 24, 2025, or such earlier date as may be determined by the Company’s board of directors in its sole discretion. The certificate of amendment was filed with the Delaware Secretary of State and has an effective date of January 24, 2025. In connection with the extension amendment proposal at the January 24 Special Meeting, holders of 240 shares of the Company’s common stock properly exercised their right to redeem their shares (and did not withdraw their redemption) for a cash redemption price of approximately $10.98 per share, or an aggregate redemption amount of approximately $2,634.91. Following such redemptions, approximately $5,583,697 will remain in the trust account and 508,589 shares of common stock will remain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2025, the Company called a special meeting of stockholders (the “Business Combination Meeting”) where, among other things, the stockholders voted and approved a proposal to adopt the Business Combination Agreement, dated as of March 18, 2024, entered into by and among SUAC, CID HoldCo, Inc., a Delaware corporation and wholly-owned subsidiary of SUAC (“Holdings”), ShoulderUp Merger Sub, Inc., a Delaware corporation and wholly-owned subsidiary of Holdings, SEI Merger Sub, Inc., a Delaware corporation and a wholly-owned subsidiary of Holdings, and SEE ID, Inc., a Nevada corporation and the transactions contemplated by the Business Combination Agreement (collectively, the “Business Combination”). In connection with the Business Combination Meeting, holders of 502,000 shares of common stock elected to redeem. Holders of 500,000 shares that initially elected to redeem withdrew their redemption request subject to the non-redemption agreement entered into on April 17,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Business Combination meeting, the Company and certain holders of the Company’s common stock who elected to redeem in connection with the Business Combination Meeting entered into discussions to reverse their redemptions. The discussions continued after February 24, 2025, the Company’s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Company entered into a non-redemption agreement (the “Non-Redemption Agreement”) with a certain holder of the Company’s common stock (the “Investor”) pursuant to which the Investor agreed to rescind its redemptions of an aggregate of 500,000 shares of common stock redeemed in connection with the Business Combination Meeting (the “Investor Shares”). Pursuant to the Non-Redemption Agreement, the Company agreed that immediately upon the consummation of the Business Combination and the Share Forfeiture (as defined below), the Company and Holdings shall pay to the Investor a payment in respect of its Investor Shares in cash released from the Trust Account equal to (x) the number of Investor Shares multiplied by (y) the redemption price for the common stock redeemed in connection with the Business Combination (the “Non-Redemption Payment”). The Non-Redemption Agreement shall terminate on the earlier of (a) May 31, 2025, unless the parties mutually agree to extend such date; (b) the fulfillment of all obligations of the parties to the Non-Redemption Agreement; (c) the liquidation or dissolution of the Company; (d) the mutual written agreement of the parties to the Non-Redemption Agreement; or (e) if any the Investor Shares are actually redeemed in connection with a meeting of the Company prior to consummation of the Business Combination. The Company processed the redemptions of the remaining holders of the 2,000 shares of common stock who elected to redeem. On May 30, 2025, the Company and its holder party to the Non-Redemption Agreement agreed to extend the termination date of the Non-Redemption Agreement to June 15,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17, 2025, in connection with the Non-Redemption Agreement, the Company and Investor entered into a forfeiture agreement (the “Forfeiture Agreement”), pursuant to which Investor agreed to forfeit its right, immediately upon consummation of the Business Combination and receipt of the Non-Redemption Payment, to an aggregate of 413,333 founder shares held the Sponsor, which the Sponsor agreed to transfer to Investor in connection with certain non-redemption agreements entered into on April 19, 2023, November 10, 2023, and May 16, 2024 (the “Share Forfeiture”), with the total value of such shares of $3,170,264 as of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Franchise and Income Tax Withdrawals from Trust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completion of its IPO on November 19, 2021, and through March 31, 2025, the Company withdrew $2,886,354 from the Trust Account to pay its liabilities related to the income and Delaware franchise taxes. Through March 31, 2025, the Company remitted $2,526,664 to the respective tax authorities, which resulted in remaining excess of funds withdrawn from the Trust Account, but not remitted to the government authorities of $359,690. Additionally, as of March 31, 2025, the Company had accrued but unpaid income tax liability of $176,789 and unpaid liability for the Delaware franchise tax of $79,400. In 2024 the Company has established a dedicated bank account which is solely used for keeping amounts withdrawn from the Trust Account for taxes until such taxes are due and payable. As of March 31, 2025, the amount maintained in this account was $365,175.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Company had $400,093 in its operating bank account and working capital deficit of approximately $6.3 million. $365,175 of the amount of cash on hand as of March 31, 2025 relate to the amounts that were withdrawn from the Trust for payment of income and Delaware Franchise Taxes and can not be used for any other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$600,000 in a subscription receivable, which will be used to satisfy the Company’s liquidity needs. The Company’s liquidity needs prior to the consummation of the Initial Public Offering were satisfied through the cash contribution of $25,000 from the Sponsor to purchase Founder Shares (as defined in Note 5), and an advance from the Sponsor of approximately $29,000 (see Note 5). The Company repaid $24,000 on November 19, 2021 and the remaining $5,000 remains outstanding and is due on demand. Subsequent to the consummation of the Initial Public Offering, the Company’s liquidity has been satisfied through the net proceeds from the consummation of the Initial Public Offering, over-allotment and the Private Placement held outside of the Trust Account. Over this time period, the Company will be using the funds outside of the Trust Account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order to finance transaction costs in connection with a Business Combination, the Sponsor or an affiliate of the Sponsor, or certain of the Company’s officers and directors may, but are not obligated to, provide the Company Working Capital Loans, as defined below (see Note 5). As of March 31, 2025, the Sponsor and its affiliates advanced $900,000 under the terms of four promissory notes which were fully drawn.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assessment of going concern considerations in accordance with FASB Accounting Standards Update (“ASU”) 2014-15, “Disclosures of Uncertainties about an Entity’s Ability to Continue as a Going Concern,” management has determined that the liquidity condition and the fact that the mandatory liquidation date has passed, raises substantial doubt about the Company’s ability to continue as a going concern. No adjustments have been made to the carrying amounts of assets or liabilities should the Company be required to liquidate. The financial statements do not include any adjustment that might be necessary if the Company is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Inflation Reduction Act of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stockholders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 Any share redemption or other share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will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2023, the Company’s stockholders redeemed 25,845,428 shares of the Company’s Class A common stock for a total of $269,597,445. On November 17, 2023, the Company’s stockholders redeemed 2,170,004 shares of the Company’s Class A common stock for a total of $22,904,010. On May 17, 2024, the Company’s stockholders redeemed 1,125,154 shares of the Company’s Class A common stock for a total of $12,136,736. On November 19, 2024, the Company’s stockholders redeemed 349,505 shares of the Company’s Class A common stock for a total of $3,817,676. On December 30, 2024, the Company’s stockholders redeemed 1,080 shares of the Company’s Class A common stock for a total of $11,827. On January 26, 2025, the Company’s stockholders redeemed 240 shares of the Company’s Class A common stock for a total of $2,638. On February 6, 2025, the Company’s stockholders redeemed 2,000 shares of the Company’s Class A common stock for a total of $22,019.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classification and accounting of the share/ stock redemption under ASC 450, “Contingencies”. ASC 450 states that when a loss contingency exists the likelihood that the future event(s) will confirm the loss or impairment of an asset or the incurrence of a liability can range from probable to remote. A contingent liability must be reviewed at each reporting period to determine appropriate treatment. Management has evaluated the requirements of the IR Act and the Company’s operations at the end of the reporting period and has determined that a liability of $3,905,240 (including penalties and interest) should be recorded for the excise tax in connection with the above-mentioned redemptions as of March 31, 2025. This liability will be reviewed and remeasured at each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Significant Accounting Policies and Basis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are presented in U.S. dollars in conformity with accounting principles generally accepted in the United States of America (“GAAP”) for interim financial information and pursuant to the rules and regulations of the U.S. Securities and Exchange Commission (“SEC”). Accordingly, they do not include all of the information and footnotes required by GAAP. In the opinion of management, the unaudited Condensed Consolidated financial statements reflect all adjustments, which include only normal recurring adjustments, necessary for the fair statement of the balances and results for the periods presented. Operating results for the three months ended March 31, 2025 are not necessarily indicative of the results that may be expected through December 31, 2025, or any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include the accounts of the Company and its wholly owned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year-end condensed consolidated balance sheet data was derived from audited financial statements but does not include all disclosures required by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should be read in conjunction with the audited financial statements and notes thereto included in the Annual Report on Form 10-K filed by the Company with the SEC on May 7,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Making estimates requires management to exercise significant judgement. It is at least reasonably possible that the estimate of the effect of a condition, situation or set of circumstances that existed at the date of the condensed consolidated financial statements, which management considered in formulating its estimate, could change in the near term due to one or more future confirming events. Actual results could differ from those estimates. Management has identified assumptions involved in the valuation of Class B shares transferred under the terms of non-redemption agreements as a critical accounting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short-term investments with an original maturity of three months or less when purchased to be cash equivalents. As of March 31, 2025 and December 31, 2024, the Company had no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Held in the Trust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portfolio of investments was comprised of cash held in demand deposit account of March 31, 2025, and December 31,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significant cash balances at financial institutions which throughout the year regularly exceed the federally insured limit of $250,000 by the Federal Deposit Insurance Corporation. Any loss incurred or a lack of access to such funds could have a significant adverse impact on the Company’s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assets and liabilities, excluding the non-redemption agreements derivative liability, which qualify as financial instruments under the FASB ASC Topic 820, “Fair Value Measurements” equal or approximate the carrying amounts represented in the condensed consolidated balance sheets, primarily due to their short-term nature (see Note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hierarchy gives the highest priority to unadjusted quoted prices in active markets for identical assets or liabilities (Level 1 measurements) and the lowest priority to unobservable inputs (Level 3 measurements). These tiers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defined as observable inputs such as quoted prices for identical instruments in active markets;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equity-linked financial instruments to determine if such instruments are derivatives or contain features that qualify as embedded derivatives in accordance with ASC Topic 815, “Derivatives and Hedging” (“ASC 815”). For derivative financial instruments that are classified as liabilities, the derivative instrument is initially recognized at fair value with subsequent changes in fair value recognized in the Consolidated statements of operations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15,000,000 warrants included in the Units sold in the Initial Public Offering and the 675,000 Private Placement Warrants in accordance with the guidance contained in ASC 815. Such guidance provides that the warrants described above are not precluded from equity classification. Equity-classified contracts are initially measured at fair value (or allocated value). Subsequent changes in fair value are not recognized as long as the contracts continue to be classified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Non-Redemption Agreements (as defined in Note 6) in accordance with the guidance contained in ASC 815. Such guidance provides that the Non-Redemption Agreements are classified as liabilities. As such, the non-redemption agreements derivative liability was recorded at its initial fair value on the date of issuance, and is adjusted at each balance sheet date thereafter. Changes in the estimated fair value of the non-redemption agreements derivative liability are recognized as a non-cash gain or loss on the Consolidated statements of operations. The fair value of the derivative liability is discussed in Note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 Subject to Possible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Class A common stock subject to possible redemption in accordance with the guidance in ASC 480. Class A common stock subject to mandatory redemption (if any) is classified as liability instruments and is measured at fair value. Conditionally redeemable Class A common stock (including Class A common stock that features redemption rights that are either within the control of the holder or subject to redemption upon the occurrence of uncertain events not solely within the Company’s control) is classified as temporary equity. At all other times, Class A common stock is classified as stockholders’ deficit. The Public Shares feature certain redemption rights that are considered to be outside of the Company’s control and subject to the occurrence of uncertain future events. Accordingly, as of March 31, 2025 and December 31, 2024, 506,589 and 508,829 shares of Class A common stock subject to possible redemption are presented at redemption value, respectively, as temporary equity outside of the stockholders’ deficit section of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recognize changes in redemption value immediately as they occur and adjust the carrying value of redeemable common stock to equal the redemption value at the end of each reporting period. Increases or decreases in the carrying amount of redeemable common stock are affected by charges against additional paid-in capital (if available) and accumulated deficit.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Costs Associated with the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the requirements of Financial Accounting Standards Board (FASB) Accounting Standard Codification (ASC) 340-10-S99-1. 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were allocated between the Public Shares, Public Warrants, Private Placement Shares, and Private Placement Warrants, based on a relative fair value basis, compared to total proceeds received. Additionally, at the Initial Public Offering, offering costs allocated to the Public Shares were charged against temporary equity and offering costs allocated to the Public Warrants, Private Placement Shares, and Private Placement Warrants were charged against stockholders’ deficit. Deferred underwriting commissions are classified as non-current liabilities as their liquidation is not reasonably expected to require the use of current assets or require the creation of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accounting and disclosure requirements of FASB ASC Topic 260, “Earnings Per Share.” The Company has two classes of shares, which are referred to as Class A common stock and Convertible Class B common stock. Income and losses are shared pro rata between the two classes of shares. Net (loss) income per common share is calculated by dividing the net (loss) income by the weighted average shares of common stock outstanding for the respective period.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diluted net (loss) income does not consider the effect of the warrants underlying the Units sold in the Initial Public Offering (including the consummation of the Over-allotment) and the private placement warrants to purchase an aggregate of 15,675,000 shares of Class A common stock in the calculation of diluted (loss) income per share, because their exercise is contingent upon future events. As a result, diluted net (loss) income per share is the same as basic net (loss) income per share for the three months ended March 31, 2025 and 2024. Accretion associated with the redeemable Class A common stock is excluded from earnings per share as the redemption value approximates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present a reconciliation of the numerator and denominator used to compute basic and diluted net (loss) income per share of common stock: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15"/>
        <w:gridCol w:w="60"/>
        <w:gridCol w:w="150"/>
        <w:gridCol w:w="938"/>
        <w:gridCol w:w="102"/>
        <w:gridCol w:w="60"/>
        <w:gridCol w:w="179"/>
        <w:gridCol w:w="1413"/>
        <w:gridCol w:w="123"/>
        <w:gridCol w:w="60"/>
        <w:gridCol w:w="140"/>
        <w:gridCol w:w="980"/>
        <w:gridCol w:w="95"/>
        <w:gridCol w:w="60"/>
        <w:gridCol w:w="179"/>
        <w:gridCol w:w="1409"/>
        <w:gridCol w:w="142"/>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30" w:type="dxa"/>
            <w:gridSpan w:val="15"/>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March 31,</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5" w:type="dxa"/>
            <w:gridSpan w:val="7"/>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3005" w:type="dxa"/>
            <w:gridSpan w:val="7"/>
            <w:tcBorders>
              <w:bottom w:val="single" w:sz="12" w:space="0" w:color="000000"/>
            </w:tcBorders>
            <w:tcMar>
              <w:bottom w:w="28" w:type="dxa"/>
            </w:tcMar>
            <w:vAlign w:val="center"/>
          </w:tcPr>
          <w:p>
            <w:pPr>
              <w:pStyle w:val="TableContents"/>
              <w:bidi w:val="0"/>
              <w:spacing w:before="0" w:after="283"/>
              <w:jc w:val="center"/>
              <w:rPr>
                <w:b/>
              </w:rPr>
            </w:pPr>
            <w:r>
              <w:rPr>
                <w:b/>
              </w:rPr>
              <w:t>2024</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Class A</w:t>
              <w:br/>
              <w:t>redeemable</w:t>
            </w:r>
          </w:p>
        </w:tc>
        <w:tc>
          <w:tcPr>
            <w:tcW w:w="60" w:type="dxa"/>
            <w:tcBorders/>
            <w:vAlign w:val="center"/>
          </w:tcPr>
          <w:p>
            <w:pPr>
              <w:pStyle w:val="TableContents"/>
              <w:bidi w:val="0"/>
              <w:spacing w:before="0" w:after="283"/>
              <w:jc w:val="left"/>
              <w:rPr/>
            </w:pPr>
            <w:r>
              <w:rPr/>
              <w:t> </w:t>
            </w:r>
          </w:p>
        </w:tc>
        <w:tc>
          <w:tcPr>
            <w:tcW w:w="1715"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Class A</w:t>
              <w:br/>
              <w:t>and</w:t>
              <w:br/>
              <w:t>Class B</w:t>
              <w:br/>
              <w:t>non- redeemable</w:t>
            </w:r>
          </w:p>
        </w:tc>
        <w:tc>
          <w:tcPr>
            <w:tcW w:w="60" w:type="dxa"/>
            <w:tcBorders/>
            <w:vAlign w:val="center"/>
          </w:tcPr>
          <w:p>
            <w:pPr>
              <w:pStyle w:val="TableContents"/>
              <w:bidi w:val="0"/>
              <w:spacing w:before="0" w:after="283"/>
              <w:jc w:val="left"/>
              <w:rPr/>
            </w:pPr>
            <w:r>
              <w:rPr/>
              <w:t> </w:t>
            </w:r>
          </w:p>
        </w:tc>
        <w:tc>
          <w:tcPr>
            <w:tcW w:w="1215"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Class A</w:t>
              <w:br/>
              <w:t>redeemable</w:t>
            </w:r>
          </w:p>
        </w:tc>
        <w:tc>
          <w:tcPr>
            <w:tcW w:w="60" w:type="dxa"/>
            <w:tcBorders/>
            <w:vAlign w:val="center"/>
          </w:tcPr>
          <w:p>
            <w:pPr>
              <w:pStyle w:val="TableContents"/>
              <w:bidi w:val="0"/>
              <w:spacing w:before="0" w:after="283"/>
              <w:jc w:val="left"/>
              <w:rPr/>
            </w:pPr>
            <w:r>
              <w:rPr/>
              <w:t> </w:t>
            </w:r>
          </w:p>
        </w:tc>
        <w:tc>
          <w:tcPr>
            <w:tcW w:w="1730"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Class A</w:t>
              <w:br/>
              <w:t>and</w:t>
              <w:br/>
              <w:t>Class B</w:t>
              <w:br/>
              <w:t>non- redeemable</w:t>
            </w:r>
          </w:p>
        </w:tc>
      </w:tr>
      <w:tr>
        <w:trPr/>
        <w:tc>
          <w:tcPr>
            <w:tcW w:w="4115" w:type="dxa"/>
            <w:tcBorders/>
            <w:vAlign w:val="center"/>
          </w:tcPr>
          <w:p>
            <w:pPr>
              <w:pStyle w:val="TableContents"/>
              <w:bidi w:val="0"/>
              <w:spacing w:before="0" w:after="283"/>
              <w:jc w:val="left"/>
              <w:rPr/>
            </w:pPr>
            <w:r>
              <w:rPr/>
              <w:t>Basic and diluted net loss per common stock:</w:t>
            </w:r>
          </w:p>
        </w:tc>
        <w:tc>
          <w:tcPr>
            <w:tcW w:w="60" w:type="dxa"/>
            <w:tcBorders/>
            <w:vAlign w:val="center"/>
          </w:tcPr>
          <w:p>
            <w:pPr>
              <w:pStyle w:val="TableContents"/>
              <w:bidi w:val="0"/>
              <w:spacing w:before="0" w:after="283"/>
              <w:jc w:val="left"/>
              <w:rPr/>
            </w:pPr>
            <w:r>
              <w:rPr/>
              <w:t> </w:t>
            </w:r>
          </w:p>
        </w:tc>
        <w:tc>
          <w:tcPr>
            <w:tcW w:w="119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gridSpan w:val="3"/>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i/>
              </w:rPr>
            </w:pPr>
            <w:r>
              <w:rPr>
                <w:i/>
              </w:rPr>
              <w:t>Numerator:</w:t>
            </w:r>
          </w:p>
        </w:tc>
        <w:tc>
          <w:tcPr>
            <w:tcW w:w="60" w:type="dxa"/>
            <w:tcBorders/>
            <w:vAlign w:val="center"/>
          </w:tcPr>
          <w:p>
            <w:pPr>
              <w:pStyle w:val="TableContents"/>
              <w:bidi w:val="0"/>
              <w:spacing w:before="0" w:after="283"/>
              <w:jc w:val="left"/>
              <w:rPr/>
            </w:pPr>
            <w:r>
              <w:rPr/>
              <w:t> </w:t>
            </w:r>
          </w:p>
        </w:tc>
        <w:tc>
          <w:tcPr>
            <w:tcW w:w="119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gridSpan w:val="3"/>
            <w:tcBorders/>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pPr>
            <w:r>
              <w:rPr/>
              <w:t>Allocation of net loss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(185,186</w:t>
            </w:r>
          </w:p>
        </w:tc>
        <w:tc>
          <w:tcPr>
            <w:tcW w:w="102"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413" w:type="dxa"/>
            <w:tcBorders/>
            <w:shd w:fill="CCEEFF" w:val="clear"/>
            <w:vAlign w:val="center"/>
          </w:tcPr>
          <w:p>
            <w:pPr>
              <w:pStyle w:val="TableContents"/>
              <w:bidi w:val="0"/>
              <w:spacing w:before="0" w:after="283"/>
              <w:jc w:val="right"/>
              <w:rPr/>
            </w:pPr>
            <w:r>
              <w:rPr/>
              <w:t>(4,306,010</w:t>
            </w:r>
          </w:p>
        </w:tc>
        <w:tc>
          <w:tcPr>
            <w:tcW w:w="12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(63,345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409" w:type="dxa"/>
            <w:tcBorders/>
            <w:shd w:fill="CCEEFF" w:val="clear"/>
            <w:vAlign w:val="center"/>
          </w:tcPr>
          <w:p>
            <w:pPr>
              <w:pStyle w:val="TableContents"/>
              <w:bidi w:val="0"/>
              <w:spacing w:before="0" w:after="283"/>
              <w:jc w:val="right"/>
              <w:rPr/>
            </w:pPr>
            <w:r>
              <w:rPr/>
              <w:t>(376,640</w:t>
            </w:r>
          </w:p>
        </w:tc>
        <w:tc>
          <w:tcPr>
            <w:tcW w:w="142" w:type="dxa"/>
            <w:tcBorders/>
            <w:shd w:fill="CCEEFF" w:val="clear"/>
            <w:vAlign w:val="center"/>
          </w:tcPr>
          <w:p>
            <w:pPr>
              <w:pStyle w:val="TableContents"/>
              <w:bidi w:val="0"/>
              <w:spacing w:before="0" w:after="283"/>
              <w:ind w:left="0" w:right="0" w:hanging="180"/>
              <w:jc w:val="left"/>
              <w:rPr/>
            </w:pPr>
            <w:r>
              <w:rPr/>
              <w:t>)</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413"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i/>
              </w:rPr>
            </w:pPr>
            <w:r>
              <w:rPr>
                <w:i/>
              </w:rPr>
              <w:t>Denominator:</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FFFFFF" w:val="clear"/>
            <w:vAlign w:val="center"/>
          </w:tcPr>
          <w:p>
            <w:pPr>
              <w:pStyle w:val="TableContents"/>
              <w:bidi w:val="0"/>
              <w:spacing w:before="0" w:after="283"/>
              <w:jc w:val="left"/>
              <w:rPr/>
            </w:pPr>
            <w:r>
              <w:rPr/>
              <w:t>Basic and diluted weighted average common stock outstanding</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FFFFFF" w:val="clear"/>
            <w:tcMar>
              <w:bottom w:w="28" w:type="dxa"/>
            </w:tcMar>
            <w:vAlign w:val="center"/>
          </w:tcPr>
          <w:p>
            <w:pPr>
              <w:pStyle w:val="TableContents"/>
              <w:bidi w:val="0"/>
              <w:spacing w:before="0" w:after="283"/>
              <w:jc w:val="right"/>
              <w:rPr/>
            </w:pPr>
            <w:r>
              <w:rPr/>
              <w:t>507,475</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shd w:fill="FFFFFF" w:val="clear"/>
            <w:tcMar>
              <w:bottom w:w="28" w:type="dxa"/>
            </w:tcMar>
            <w:vAlign w:val="center"/>
          </w:tcPr>
          <w:p>
            <w:pPr>
              <w:pStyle w:val="TableContents"/>
              <w:bidi w:val="0"/>
              <w:spacing w:before="0" w:after="283"/>
              <w:jc w:val="right"/>
              <w:rPr/>
            </w:pPr>
            <w:r>
              <w:rPr/>
              <w:t>11,800,000</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1,984,568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9" w:type="dxa"/>
            <w:tcBorders>
              <w:bottom w:val="single" w:sz="12" w:space="0" w:color="000000"/>
            </w:tcBorders>
            <w:shd w:fill="FFFFFF" w:val="clear"/>
            <w:tcMar>
              <w:bottom w:w="28" w:type="dxa"/>
            </w:tcMar>
            <w:vAlign w:val="center"/>
          </w:tcPr>
          <w:p>
            <w:pPr>
              <w:pStyle w:val="TableContents"/>
              <w:bidi w:val="0"/>
              <w:spacing w:before="0" w:after="283"/>
              <w:jc w:val="right"/>
              <w:rPr/>
            </w:pPr>
            <w:r>
              <w:rPr/>
              <w:t>11,800,000</w:t>
            </w:r>
          </w:p>
        </w:tc>
        <w:tc>
          <w:tcPr>
            <w:tcW w:w="142" w:type="dxa"/>
            <w:tcBorders/>
            <w:shd w:fill="FFFF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FFFFFF" w:val="clear"/>
            <w:vAlign w:val="center"/>
          </w:tcPr>
          <w:p>
            <w:pPr>
              <w:pStyle w:val="TableContents"/>
              <w:bidi w:val="0"/>
              <w:spacing w:before="0" w:after="283"/>
              <w:jc w:val="left"/>
              <w:rPr/>
            </w:pPr>
            <w:r>
              <w:rPr/>
              <w:t>Basic and diluted net loss per common stock</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38" w:type="dxa"/>
            <w:tcBorders>
              <w:bottom w:val="double" w:sz="10" w:space="0" w:color="000000"/>
            </w:tcBorders>
            <w:shd w:fill="FFFFFF" w:val="clear"/>
            <w:tcMar>
              <w:bottom w:w="28" w:type="dxa"/>
            </w:tcMar>
            <w:vAlign w:val="center"/>
          </w:tcPr>
          <w:p>
            <w:pPr>
              <w:pStyle w:val="TableContents"/>
              <w:bidi w:val="0"/>
              <w:spacing w:before="0" w:after="283"/>
              <w:jc w:val="right"/>
              <w:rPr/>
            </w:pPr>
            <w:r>
              <w:rPr/>
              <w:t>(0.36</w:t>
            </w:r>
          </w:p>
        </w:tc>
        <w:tc>
          <w:tcPr>
            <w:tcW w:w="102"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13" w:type="dxa"/>
            <w:tcBorders>
              <w:bottom w:val="double" w:sz="10" w:space="0" w:color="000000"/>
            </w:tcBorders>
            <w:shd w:fill="FFFFFF" w:val="clear"/>
            <w:tcMar>
              <w:bottom w:w="28" w:type="dxa"/>
            </w:tcMar>
            <w:vAlign w:val="center"/>
          </w:tcPr>
          <w:p>
            <w:pPr>
              <w:pStyle w:val="TableContents"/>
              <w:bidi w:val="0"/>
              <w:spacing w:before="0" w:after="283"/>
              <w:jc w:val="right"/>
              <w:rPr/>
            </w:pPr>
            <w:r>
              <w:rPr/>
              <w:t>(0.36</w:t>
            </w:r>
          </w:p>
        </w:tc>
        <w:tc>
          <w:tcPr>
            <w:tcW w:w="12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09" w:type="dxa"/>
            <w:tcBorders>
              <w:bottom w:val="double" w:sz="10" w:space="0" w:color="000000"/>
            </w:tcBorders>
            <w:shd w:fill="FFFFFF" w:val="clear"/>
            <w:tcMar>
              <w:bottom w:w="28" w:type="dxa"/>
            </w:tcMar>
            <w:vAlign w:val="center"/>
          </w:tcPr>
          <w:p>
            <w:pPr>
              <w:pStyle w:val="TableContents"/>
              <w:bidi w:val="0"/>
              <w:spacing w:before="0" w:after="283"/>
              <w:jc w:val="right"/>
              <w:rPr/>
            </w:pPr>
            <w:r>
              <w:rPr/>
              <w:t>(0.03</w:t>
            </w:r>
          </w:p>
        </w:tc>
        <w:tc>
          <w:tcPr>
            <w:tcW w:w="14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March 31, 2025 and December 31, 2024, the Company had a full valuation allowance against the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740 also clarifies the accounting for uncertainty in income taxes recognized in a company’s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accrued interest and penalties related to unrecognized tax benefits as income tax expense. There were no unrecognized tax benefits and no amounts accrued for interest and penalties as of March 31, 2025 and December 31, 2024. The Company is currently not aware of any issues under review that could result in significant payments, accruals or material deviation from its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tax rate was (0.07)% and (11.11)% for the three months ended March 31, 2025, and 2024, respectively. The effective tax rate differs from the statutory tax rate of 21% due to the valuation allowance on the deferred tax assets and changes in the fair value of derivative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the United States as its only “major” tax jurisdiction. The Company may be subject to potential examination by federal and state taxing authorities in the areas of income taxes. These potential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recently issued, but not yet effective, accounting pronouncements, if currently adopted, would have a material effect on the Company’s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2021, the Company sold 30,000,000 Units, including 3,500,000 Units pursuant to the exercise of the underwriters’ over-allotment option in full, at a purchase price of $10.00 per Unit. Each Unit consists of one share of Class A common stock and one-half redeemable warrant. Each whole warrant is exercisable to purchase one whole share of Class A common stock at $11.50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IPO on November 19, 2021, $306,000,000 ($10.20 per Unit) from the net proceeds of the sale of the Units in the IPO and the sale of the Private Units was deposited into the Trust Account. The net proceeds deposited into the Trust Account will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IPO, the Sponsor purchased an aggregate of 1,350,000 Private Units at a price of $10.00 per Private Unit, or $13,500,000, of which $600,000 has not been funded as of March 31, 2025 and December 31, 2024 and was recorded as subscription receivable. Each Private Unit consists of one share of Class A common stock and one-half of one warrant. Each whole warrant is exercisable to purchase one whole share of Class A common stock at $11.50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Founder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2021, the Sponsor paid $25,000 in consideration for 9,833,333 Founder Shares. Up to 1,250,000 Founder Shares were subject to forfeiture by the Sponsor depending on the extent to which the underwriters’ over-allotment option is exercised. In November 2021, the Company effected a 1.0627119 for 1 stock split of the Class B common stock, so that the Sponsor owns an aggregate of 10,450,000 Founder Shares. Up to 1,190,000 of the Founder Shares would have been forfeited depending on the extent to which the underwriters’ over-allotment option is not exercised. Because of the underwriters’ full exercise of the over-allotment option on November 19, 2021, 1,190,000 shares were no longer subject to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has agreed not to transfer, assign or sell any of its Founder Shares until the earlier to occur of: (i) one year after the completion of the initial Business Combination; (ii) subsequent to the initial Business Combination, if the last reported sale price of the Class A common stock equals or exceeds $12.00 per share (as adjusted for stock splits, stock dividends, reorganizations, recapitalizations and the like) for any 20 trading days within any 30-trading day period commencing at least 150 days after the initial Business Combination; and (iii) the date following the completion of the initial Business Combination on which the Company complete a liquidation, merger, capital stock exchange, reorganization or other similar transaction that results in all of its stockholders having the right to exchange their shares of common stock for cash, securities or other property (the “Lock-up”).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Promissory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2021, the Sponsor agreed to loan the Company up to $300,000 to be used for a portion of the expenses of the IPO. Any drawdown under the loan were non-interest bearing, unsecured and were due at the earlier of March 31, 2022, or the closing of the IPO. As of March 31, 2025 and December 31, 2024, there was no borrowing under the note. The facility is no longer available to the Company subsequent to the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2024, Company issued a promissory note to the Sponsor in the amount of $275,000 for working capital needs. and payment of certain expenses in connection the Company’s Business Combination, of which $175,000 was drawn on April 2, 2024, and remaining $100,000 was drawn on April 9, 2024. The Note is due and payable on the consummation of the initial merger, stock exchange, asset acquisition, stock purchase, recapitalization, reorganization or similar business combination with one of more businesses or entities. Upon consummation of a Business Combination, the Company shall have obligation to convert up to $270,000 of the principal amount of the Note in whole or in part into common stock of the Company at a price of $10.00 per share. The company has determined the conversion feature include in the promissory note is not required to be bifurcated and all debt proceeds received under the promissory note were allocated to the debt host. As of March 31, 2025 and December 31, 2024 the promissory note to the Sponsor was fully drawn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Company issued a promissory note to the Sponsor in the amount of $100,000 for working capital needs, which was funded on same date for working capital requirements and payment of certain expenses in connection the Company’s Business Combination. The Note is due and payable on the consummation of the initial merger, stock exchange, asset acquisition, stock purchase, recapitalization, reorganization or similar business combination with one of more businesses or entities. Upon consummation of a Business Combination, the Company shall have obligation to convert up to $100,000 of the principal amount of the Note in whole or in part into common stock of the Company at a price of $10.00 per share. The company has determined the conversion feature include in the promissory note is not required to be bifurcated and all debt proceeds received under the promissory note were allocated to the debt host. As of March 31, 2025 and December 31, 2024, the promissory note to the Sponsor was fully drawn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Company issued a promissory note to the Sponsor in the amount of $50,000 for working capital needs, which was funded on October 1, 2024, for working capital requirements and payment of certain expenses in connection the Company’s Business Combination. The Note is due and payable on the consummation of the initial merger, stock exchange, asset acquisition, stock purchase, recapitalization, reorganization or similar business combination with one of more businesses or entities. Upon consummation of a Business Combination, the Company shall have the option to convert up to $50,000 of the principal amount of the Note in whole or in part into common stock of the Company at a price of $10.00 per share. The company has determined the conversion feature include in the promissory note is not required to be bifurcated and all debt proceeds received under the promissory note were allocated to the debt host. As of March 31, 2025 and December 31, 2024, the promissory note to the Sponsor was fully drawn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27, 2024, Company issued a promissory note to the Sponsor in the amount of $175,000 for working capital needs, which was funded on same date for working capital requirements and payment of certain expenses in connection the Company’s Business Combination. The Note is due and payable on the consummation of the initial merger, stock exchange, asset acquisition, stock purchase, recapitalization, reorganization or similar business combination with one of more businesses or entities. Upon consummation of a Business Combination, the Company shall have the option to convert up to $175,000 of the principal amount of the Note in whole or in part into common stock of the Company at a price of $10.00 per share. The company has determined the conversion feature include in the promissory note is not required to be bifurcated and all debt proceeds received under the promissory note were allocated to the debt host. As of March 31, 2025 and December 31, 2024 the promissory note to the Sponsor was fully drawn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17, 2025, Company issued a promissory note to the Sponsor in the amount of $300,000 for working capital needs, which was funded in equal installments of $150,000 on January 16, 2025, and January 22, 2025 for working capital requirements and payment of certain expenses in connection the Company’s Business Combination. The Note is due and payable on the consummation of the initial merger, stock exchange, asset acquisition, stock purchase, recapitalization, reorganization or similar business combination with one of more businesses or entities. Upon consummation of a Business Combination, the Company shall have the option to convert up to $300,000 of the principal amount of the Note in whole or in part into common stock of the Company at a price of $10.00 per share. The company has determined the conversion feature include in the promissory note is not required to be bifurcated and all debt proceeds received under the promissory note were allocated to the debt host. As of the date of this report the promissory note to the Sponsor was fully drawn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Working Capital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finance transaction costs in connection with an intended Business Combination, the Sponsor or an affiliate of the Sponsor, or certain of the Company’s officers and directors may, but are not obligated to, loan the Company funds as may be required (the “Working Capital Loans”). If the Company completes the initial Business Combination, the Company may repay the Working Capital Loans out of the proceeds of the Trust Account released to the Company. Otherwise, the Working Capital Loans may be repaid only out of funds held outside the Trust Account. In the event that the initial Business Combination does not close, the Company may use a portion of the working capital held outside the Trust Account to repay the Working Capital Loans but no proceeds from the Trust Account would be used to repay the Working Capital Loans. Up to $1,500,000 of such Working Capital Loans may be convertible into units of the post-Business Combination entity at a price of $10.00 per unit at the option of the lender. The units would be identical to the Private Units. As of March 31, 2025 and December 31, 2024, the Company had no borrowings under the Working Capital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Due to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IPO, the Sponsor had advanced to the Company an aggregate of approximately $29,000, of which approximately $24,000 was repaid to the Sponsor upon the closing of the IPO. As of March 31, 2025 and December 31, 2024, approximately $5,000, remained outstanding and is due on demand, and is included in the due to related party on the accompanying condensed Consolidated balance sheets. The due to related party balances as of March 31, 2025 and December 31, 2024, also includes approximately $268,000 and $250,000 respectively, of administrative fees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Administrative Service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16, 2021, the Company entered into an agreement with the Sponsor, pursuant to which the Company agreed to pay the Sponsor a total of $10,000 per month for office space, secretarial and administrative services through the earlier of consummation of the initial Business Combination and the Company’s liquidation. For the three months ended March 31, 2025 and 2024, the Company incurred expenses of $30,000 of services under this agreement and is included in the general and administrative expenses on the accompanying Condensed Consolidated statements of operations As of March 31, 2025 and December 31, 2024, the Company had $268,272 and $238,272 outstanding for services in connection with such agreement, respectively, and is included in the due to related party on the accompanying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and Stockholder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(i) Founder Shares, which were issued in a private placement prior to the closing of the IPO, (ii) Private Units (including securities contained therein), which were issued in a private placement simultaneously with the closing of the IPO and (iii) private placement-equivalent units (including securities contained therein) that may be issued upon conversion of Working Capital Loans will have registration rights to require the Company to register a sale of any of the Company’s securities held by them pursuant to a registration rights agreement signed on November 16, 2021.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Company’s completion of the initial Business Combination. The Company will bear the expenses incurred in connection with the filing of any such registration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the underwriters a 45-day option from the date of the IPO to purchase up to an additional 3,500,000 Units to cover over-allotments, which was exercised in full on November 19,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2021, the Company paid cash underwriting commissions of $5,300,000 to the underwriters.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were entitled to a deferred underwriting commission of $11,200,000, which will be paid from the funds held in the Trust Account upon completion of the Company’s initial Business Combination subject to the terms of the underwriting agreement.  On September 19, 2024, the underwriter executed a waiver letter confirming their resignation and waiver of its entitlement to the payment of deferred fee under the terms of the underwriting agreement in the full amount of $11,200,000. The Company applied recovery of the previously recorded deferred underwriting commission proportionately to Class A common stock subject to possible redemption ($10,701,600) and public warrants ($498,400).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Non-Redemption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April 2023, the Company and the Sponsor entered into agreements (the “April Non-Redemption Agreements”) with third parties in exchange for them agreeing not to redeem shares of Class A common stock at the Special Meeting at which a proposal to amend to the Company’s Certificate of Incorporation to effect an extension of time for the Company to consummate an initial business combination (the “April Charter Amendment Proposal”) from May 19, 2023 to November 19, 2023 (the “April Extension”). The Non-Redemption Agreements provide for the allocation of 1,000,000 Founder Shares held by the Sponsor in exchange for such investors agreeing to hold and not redeem certain public shares at the Special Meeting. Certain of the parties to the Non-Redemption Agreements are also members of the Sponsor.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November 2023, the Company and the Sponsor entered into agreements (the “November Non-Redemption Agreements”, and together with the April Non-Redemption Agreements, collectively, the “Non-Redemption Agreements”) with third parties in exchange for them agreeing not to redeem shares of Class A common stock at the Special Meeting at which a proposal to amend to the Company’s Certificate of Incorporation to effect an extension of time for the Company to consummate an initial business combination (the “November Charter Amendment Proposal”) from November 19, 2023 to May 19, 2024 (the “November Extension”). The November Non-Redemption Agreements provide for the allocation of 376,000 Founder Shares held by the Sponsor in exchange for such investors agreeing to hold and not redeem certain public shares at the Special Meeting. Certain of the parties to the Non-Redemption Agreements are also members of the Sponsor.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17, 2024, the Company and the Sponsor entered into Non-Redemption Agreements on substantially the same terms with certain stockholders of the Company, pursuant to which such stockholders agreed not to redeem (or to validly rescind any redemption requests on) an aggregate of 800,000 non-Redeemed shares in connection with the Special Meeting. In exchange for the foregoing commitments not to redeem such shares of Class A Common Stock, the Sponsor agreed to transfer an aggregate of 266,666 shares of Class B Common Stock held by the Sponsor to such stockholders immediately following consummation of the initial business combination if they continued to hold such Non-Redeemed shares through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Non-Redemption Agreements shall terminate on the earlier of (a) the failure of the Company’s stockholders to approve the Extensions at the Meeting, or the determination of the Company not to proceed to effect the Extensions, (b) the fulfillment of all obligations of parties to the Non-Redemption Agreements, (c) the liquidation or dissolution of the Company, or (d) the mutual written agreement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pursuant to the Non-Redemption Agreements, the Company has agreed that until the earlier of (a) the consummation of the Company’s initial business combination; (b) the liquidation of the trust account; and (c) 24 months from consummation of the Company’s initial public offering, the Company will maintain the investment of funds held in the trust account in interest-bearing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which invest only in direct U.S. government treasury obligations. The Company has also agreed that it will not use any amounts in the trust account, or the interest earned thereon, to pay any excise tax that may be imposed on the Company pursuant to the Inflation Reduction Act (IRA) of 2022 (H.R. 5376) due to any redemptions of public shares at the Special Meeting, in connection with a liquidation of the Company if it does not effect a business combination prior to its termination date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non-redemption agreements on a derivative liability basis and records any changes in their fair value in the condensed consolidated statements of operations. The amount of such liability was $12,599,255 and $8,886,828 as of March 31, 2025 and December 31,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 Provider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has entered into and may enter into agreements with various service providers and advisors, including investment banks, that helped us identify targets, negotiate terms of potential Business Combinations, and that will help us consummate a Business Combination and/or provide other services. In connection with these agreements, the Company may be required to pay such service providers and advisors fees in connection with their services to the extent that certain conditions, including the closing of a potential Business Combination, are met. If a Business Combination does not occur, the Company would not expect to be required to pay these contingent fees. There can be no assurance that the Company will complete a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recorded an accrual of $751,376 of fees for legal services by outside counsel related to on-going matters and compliance with reporting obligations. In addition, the Company incurred $2,157,260 of fees for legal services by outside counsel related to the acquisition activities which will be payable solely on completion of the Business Combination and won’t be paid if the Business Combination does not close. This portion of the legal fees will be recorded and recognized by the Company only in the event of successful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ID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the Company entered into a Business Combination Agreement (such agreement, the “Business Combination Agreement” and such business combination, the “Business Combination”) by and among CID HoldCo, Inc., a Delaware corporation and a direct, wholly-owned subsidiary of ShoulderUp (“Holdings”), ShoulderUp Merger Sub, Inc., a Delaware corporation and wholly-owned subsidiary of Holdings (“ShoulderUp Merger Sub”), SEI Merger Sub, Inc., a Delaware corporation and a direct, wholly owned subsidiary of Holdings (“SEI Merger Sub” and together with ShoulderUp Merger Sub, the “Merger Subs”) and SEE ID, Inc., a Nevada corporation (“SEE ID”).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Business Combination Agreement and subject to the terms and conditions set forth therein, (i) ShoulderUp Merger Sub will merge with and into ShoulderUp (the “ShoulderUp Merger”), whereby the separate existence of ShoulderUp Merger Sub will cease and ShoulderUp will be the surviving entity of the ShoulderUp Merger and become a wholly owned subsidiary of Holdings, and (ii) following confirmation of the effective filing of the documents required to implement the ShoulderUp Merger, SEI Merger Sub will merge with and into the Company (the “SEE ID Merger” and together with the ShoulderUp Merger, the “Mergers”), the separate existence of SEI Merger Sub will cease and SEE ID will be the surviving entity of the SEE ID Merger and a direct wholly owned subsidiary of Holdings (the “Surviving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transactions, it is expected that Holdings will be listed on the Nasdaq Stock Market,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assurances that the Business Combination will close, the consummation of which remains subject to the satisfaction or waiver of certain customary closing conditions of the respective parties, including, among others, a registration statement of Holdings becoming effective and approval of the Business Combination by the stockholders of ShoulderUp and SEE 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Class A Common Stock Subject to Possible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Public Shares feature certain redemption rights that are considered to be outside of the Company’s control and subject to the occurrence of future events. The Company is authorized to issue 300,000,000 shares of Class A common stock with a par value of $0.0001 per share. Holders of the Company’s Class A common stock are entitled to one vote for each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Special Meeting held on April 20, 2023, holders of 25,845,428 shares of the Company’s Class A common stock exercised their right to redeem their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Special Meeting held on November 17, 2023, holders of 2,170,004 shares of the Company’s Class A common stock exercised their right to redeem their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Special Meeting held on May 17, 2024, holders of 1,125,154 shares of the Company’s Class A common stock exercised their right to redeem their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Special Meeting held on November 19, 2024, holders of 349,505 shares of the Company’s Class A common stock exercised their right to redeem their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Special Meeting held on December 30, 2024, holders of 1,080 shares of the Company’s Class A common stock exercised their right to redeem their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Special Meeting held on January 26, 2025, holders of 240 shares of the Company’s Class A common stock exercised their right to redeem their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Special Meeting held on February 6, 2025, holders of 2,000 shares of the Company’s Class A common stock exercised their right to redeem their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and December 31, 2024, there were respectively 12,306,589 and shares of Class A common stock outstanding, of which 506,589 and 508,829 shares were subject to possible redemption and are classified outside of permanent deficit in the accompanying Consolidated balance sheets,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changes in redemption value of the Class A common stock subject to possible redemption immediately as changes occur and adjusts the carrying value of the Class A common stock subject to possible redemption to equal the redemption value as if liquidation were to occur at the end of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common stock subject to possible redemption reflected on the accompanying Consolidated balance sheets is reconciled on the following table:</w:t>
      </w:r>
    </w:p>
    <w:p>
      <w:pPr>
        <w:pStyle w:val="TextBody"/>
        <w:bidi w:val="0"/>
        <w:spacing w:before="0" w:after="0"/>
        <w:ind w:left="0" w:right="0" w:hanging="0"/>
        <w:jc w:val="both"/>
        <w:rPr>
          <w:caps w:val="false"/>
          <w:smallCaps w:val="false"/>
        </w:rPr>
      </w:pPr>
      <w:r>
        <w:rPr>
          <w:caps w:val="false"/>
          <w:smallCaps w:val="false"/>
        </w:rPr>
        <w:t> </w:t>
      </w:r>
    </w:p>
    <w:tbl>
      <w:tblPr>
        <w:tblW w:w="9455" w:type="dxa"/>
        <w:jc w:val="left"/>
        <w:tblInd w:w="0" w:type="dxa"/>
        <w:tblLayout w:type="fixed"/>
        <w:tblCellMar>
          <w:top w:w="0" w:type="dxa"/>
          <w:left w:w="0" w:type="dxa"/>
          <w:bottom w:w="0" w:type="dxa"/>
          <w:right w:w="0" w:type="dxa"/>
        </w:tblCellMar>
      </w:tblPr>
      <w:tblGrid>
        <w:gridCol w:w="8165"/>
        <w:gridCol w:w="60"/>
        <w:gridCol w:w="140"/>
        <w:gridCol w:w="980"/>
        <w:gridCol w:w="110"/>
      </w:tblGrid>
      <w:tr>
        <w:trPr/>
        <w:tc>
          <w:tcPr>
            <w:tcW w:w="8165" w:type="dxa"/>
            <w:tcBorders/>
            <w:shd w:fill="CCEEFF" w:val="clear"/>
            <w:vAlign w:val="center"/>
          </w:tcPr>
          <w:p>
            <w:pPr>
              <w:pStyle w:val="TableContents"/>
              <w:bidi w:val="0"/>
              <w:spacing w:before="0" w:after="283"/>
              <w:jc w:val="left"/>
              <w:rPr>
                <w:b/>
              </w:rPr>
            </w:pPr>
            <w:r>
              <w:rPr>
                <w:b/>
              </w:rPr>
              <w:t>Class A common stock subject to possible redemption as of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5,595,937</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pPr>
            <w:r>
              <w:rPr/>
              <w:t>Increase in redemption value of Class A common stock subject to possible redemption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6,024</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pPr>
            <w:r>
              <w:rPr/>
              <w:t>Redemptions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(24,657</w:t>
            </w:r>
          </w:p>
        </w:tc>
        <w:tc>
          <w:tcPr>
            <w:tcW w:w="110" w:type="dxa"/>
            <w:tcBorders/>
            <w:shd w:fill="CCEEFF" w:val="clear"/>
            <w:vAlign w:val="center"/>
          </w:tcPr>
          <w:p>
            <w:pPr>
              <w:pStyle w:val="TableContents"/>
              <w:bidi w:val="0"/>
              <w:spacing w:before="0" w:after="283"/>
              <w:jc w:val="left"/>
              <w:rPr/>
            </w:pPr>
            <w:r>
              <w:rPr/>
              <w:t>)</w:t>
            </w:r>
          </w:p>
        </w:tc>
      </w:tr>
      <w:tr>
        <w:trPr/>
        <w:tc>
          <w:tcPr>
            <w:tcW w:w="8165" w:type="dxa"/>
            <w:tcBorders/>
            <w:shd w:fill="FFFFFF" w:val="clear"/>
            <w:vAlign w:val="center"/>
          </w:tcPr>
          <w:p>
            <w:pPr>
              <w:pStyle w:val="TableContents"/>
              <w:bidi w:val="0"/>
              <w:spacing w:before="0" w:after="283"/>
              <w:jc w:val="left"/>
              <w:rPr>
                <w:b/>
              </w:rPr>
            </w:pPr>
            <w:r>
              <w:rPr>
                <w:b/>
              </w:rPr>
              <w:t>Class A common stock subject to possible redemption as of March 31,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5,577,304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Stockholders’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xml:space="preserve"> - The Company is authorized to issue 1,000,000 shares of preferred stock with a par value of $0.0001 from time to time in one or more series. As of March 31, 2025 and December 31, 2024, there were no shares of preferred stock issued or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Class A Common stock</w:t>
      </w:r>
      <w:r>
        <w:rPr>
          <w:rFonts w:ascii="Times New Roman;Times;Serif" w:hAnsi="Times New Roman;Times;Serif"/>
          <w:b w:val="false"/>
          <w:i w:val="false"/>
          <w:caps w:val="false"/>
          <w:smallCaps w:val="false"/>
          <w:sz w:val="20"/>
        </w:rPr>
        <w:t xml:space="preserve"> - The Company is authorized to issue 300,000,000 shares of Class A common stock with a par value of $0.0001 per share. At March 31, 2025 and December 31, 2024, respectively 12,306,589 and 12,308,829 shares of Class A common stock were issued and outstanding, of which 506,589 and 508,829 shares of Class A common stock are subject to possible redemption (see Note 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Convertible Class B Common stock</w:t>
      </w:r>
      <w:r>
        <w:rPr>
          <w:rFonts w:ascii="Times New Roman;Times;Serif" w:hAnsi="Times New Roman;Times;Serif"/>
          <w:b w:val="false"/>
          <w:i w:val="false"/>
          <w:caps w:val="false"/>
          <w:smallCaps w:val="false"/>
          <w:sz w:val="20"/>
        </w:rPr>
        <w:t xml:space="preserve"> - The Company is authorized to issue 20,000,000 shares of Class B common stock with a par value of $0.0001 per share. Holders are entitled to one vote for each share of Class B common stock. On August 30, 2021, the Sponsor paid $25,000, or approximately $0.003 per share, in consideration for 9,833,333 shares of Class B common stock, par value $0.0001. Up to 1,250,000 Founder Shares were subject to forfeiture by the Sponsor depending on the extent to which the underwriters’ over-allotment option was exercised. In November 2021, the Company effected a 1.0627119 for 1 stock split of the Class B common stock, so that the Sponsor owns an aggregate of 10,450,000 Founder Shares. Up to 1,190,000 of the Founder Shares would have been forfeited depending on the extent to which the underwriters’ over-allotment option was not exercised. Because of the underwriters’ full exercise of the over-allotment option on November 19, 2021, 1,190,000 shares are no longer subject to forfeiture. On November 19, 2024, the Sponsor elected to convert all of the 10,450,000 shares of Class B common stock held by the Sponsor into 10,450,000 shares of Class A common stock pursuant to Section 4.3(b)(i) of Article IV of the Company’s existing Amended and Restated Certificate of Incorporation. The conversion is effective as of November 19, 2024. As of March 31, 2025 and December 31, 2024, there were no shares of Class B Common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record of the Class A common stock and holders of record of the Class B common stock will vote together as a single class on all matters submitted to a vote of the Company’s stockholders, with each share of common stock entitling the holder to one vote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December 29, 2023, the Company amended its certificate of incorporation to allow for the right of a holder of Class B common stock of the Company to convert its shares of Class B common stock into shares of Class A common stock on a one-to-one basis at any time and from time to time at the election of the holder. The newly issued Class A common stock would not have any redemption rights and would continue to be subject to a lock-up period upon consummation of the business combination. The amendment was approved by the Company’s stockholders at a meeting held on December 28,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B common stock (to the extent not already converted) will automatically convert into shares of Class A common stock at the time of the initial Business Combination on a one-for-one basis (subject to adjustment for stock splits, stock dividends, reorganizations, recapitalizations and the like), and subject to further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xml:space="preserve"> - As of March 31, 2025 and December 31, 2024, there were 15,675,000 warrants issued and outstanding (15,000,000 Public Warrants and 675,000 Private Placement Warrants). Each whole warrant entitles the holder to purchase one Class A common share at a price of $11.50 per share, subject to adjustment as discussed herein. In addition, if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Company’s initial stockholders or their respective affiliates, without taking into account any Founder Shares held by them, as applicable, prior to such issuance) (the “newly issued price”), the exercise price of the warrants will be adjusted (to the nearest cent) to be equal to 115% of the newly issued price.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become exercisable on the later of 30 days after the completion of the Company’s initial Business Combination and 12 months from the closing of the IPO and will expire five years after the completion of the Company’s initial Business Combination, at 5:00 p.m., New York City time, or earlier upon redemption or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registering the shares of Class A common stock issuable upon exercise of the warrants at this time. However, the Company has agreed that as soon as practicable, but in no event later than 15 business days after the closing of the initial Business Combination, the Company will use its best efforts to file with the SEC and have an effective registration statement covering the shares of Class A common stock issuable upon exercise of the warrants and to maintain a current prospectus relating to those shares of Class A common stock until the warrants expire or are redeemed, as specified in the warrant agreement. If a registration statement covering the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Company’s shares of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its best efforts to register or qualify the shares under applicable blue sky laws to the extent an exemption is not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warrants become exercisable, the Company may redeem the outstanding warrants: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whole and not in part;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 price of $0.01 per warrant;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a minimum of 30 days’ prior written notice of redemption (the 30-day redemption period);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and only if, the last reported sale price of the Class A common stock equals or exceeds $18.00 per share (as adjusted for stock splits, stock dividends, reorganizations, recapitalizations and the like) for any 20 trading days within a 30-trading day period ending on the third trading day prior to the date on which the Company sends the notice of redemption to the warrant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calls the warrants for redemption as described above, the management will have the option to require all holders that wish to exercise warrants to do so on a “cashless basis.” In determining whether to require all holders to exercise their warrants on a “cashless basis,” the management will consider, among other factors, the Company’s cash position, the number of warrants that are outstanding and the dilutive effect on the stockholders of issuing the maximum number of shares of Class A common stock issuable upon the exercise of the warrants.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excess of the “fair market value” (as defined below) over the exercise price of the warrants by (y) the fair market value. The “fair market value” shall mean the average last reported sale price of shares of the Class A common stock for the 10 trading days ending on the third trading day prior to the date on which the notice of redemption is sent to the holders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15,675,000 warrants that would be issued in connection with the IPO (including the 15,000,000 Public Warrants included in the Units and the 675,000 Private Placement Warrants included in the Private Units) in accordance with the guidance contained in ASC 815-40. Such guidance provides that the warrants meet the criteria for equity treatment due to the existence of provisions whereby adjustments to the exercise price of the warrants is based on a variable that is an input to the fair value of a “fixed-for-fixed” option and no circumstances under which the Company can be forced to net cash settle the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information about the Company’s assets that are measured at fair value on a recurring basis as of March 31, 2025 and December 31, 2024, and indicate the fair value hierarchy of the valuation techniques that the Company utilized to determine such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p>
      <w:pPr>
        <w:pStyle w:val="TextBody"/>
        <w:bidi w:val="0"/>
        <w:spacing w:before="0" w:after="0"/>
        <w:ind w:left="0" w:right="0" w:hanging="0"/>
        <w:jc w:val="both"/>
        <w:rPr>
          <w:caps w:val="false"/>
          <w:smallCaps w:val="false"/>
        </w:rPr>
      </w:pPr>
      <w:r>
        <w:rPr>
          <w:caps w:val="false"/>
          <w:smallCaps w:val="false"/>
        </w:rPr>
        <w:t> </w:t>
      </w:r>
    </w:p>
    <w:tbl>
      <w:tblPr>
        <w:tblW w:w="8178" w:type="dxa"/>
        <w:jc w:val="left"/>
        <w:tblInd w:w="0" w:type="dxa"/>
        <w:tblLayout w:type="fixed"/>
        <w:tblCellMar>
          <w:top w:w="0" w:type="dxa"/>
          <w:left w:w="0" w:type="dxa"/>
          <w:bottom w:w="28" w:type="dxa"/>
          <w:right w:w="0" w:type="dxa"/>
        </w:tblCellMar>
      </w:tblPr>
      <w:tblGrid>
        <w:gridCol w:w="4475"/>
        <w:gridCol w:w="60"/>
        <w:gridCol w:w="275"/>
        <w:gridCol w:w="510"/>
        <w:gridCol w:w="118"/>
        <w:gridCol w:w="60"/>
        <w:gridCol w:w="357"/>
        <w:gridCol w:w="664"/>
        <w:gridCol w:w="154"/>
        <w:gridCol w:w="60"/>
        <w:gridCol w:w="153"/>
        <w:gridCol w:w="1208"/>
        <w:gridCol w:w="84"/>
      </w:tblGrid>
      <w:tr>
        <w:trPr/>
        <w:tc>
          <w:tcPr>
            <w:tcW w:w="4475" w:type="dxa"/>
            <w:tcBorders>
              <w:bottom w:val="single" w:sz="12" w:space="0" w:color="000000"/>
            </w:tcBorders>
            <w:vAlign w:val="center"/>
          </w:tcPr>
          <w:p>
            <w:pPr>
              <w:pStyle w:val="TableContents"/>
              <w:bidi w:val="0"/>
              <w:spacing w:before="0" w:after="283"/>
              <w:jc w:val="left"/>
              <w:rPr>
                <w:b/>
              </w:rPr>
            </w:pPr>
            <w:r>
              <w:rPr>
                <w:b/>
              </w:rPr>
              <w:t>Description</w:t>
            </w:r>
          </w:p>
        </w:tc>
        <w:tc>
          <w:tcPr>
            <w:tcW w:w="60" w:type="dxa"/>
            <w:tcBorders/>
            <w:tcMar>
              <w:bottom w:w="0" w:type="dxa"/>
            </w:tcMar>
            <w:vAlign w:val="center"/>
          </w:tcPr>
          <w:p>
            <w:pPr>
              <w:pStyle w:val="TableContents"/>
              <w:bidi w:val="0"/>
              <w:spacing w:before="0" w:after="283"/>
              <w:jc w:val="left"/>
              <w:rPr/>
            </w:pPr>
            <w:r>
              <w:rPr/>
              <w:t> </w:t>
            </w:r>
          </w:p>
        </w:tc>
        <w:tc>
          <w:tcPr>
            <w:tcW w:w="903" w:type="dxa"/>
            <w:gridSpan w:val="3"/>
            <w:tcBorders>
              <w:bottom w:val="single" w:sz="12" w:space="0" w:color="000000"/>
            </w:tcBorders>
            <w:vAlign w:val="center"/>
          </w:tcPr>
          <w:p>
            <w:pPr>
              <w:pStyle w:val="TableContents"/>
              <w:bidi w:val="0"/>
              <w:spacing w:before="0" w:after="283"/>
              <w:jc w:val="center"/>
              <w:rPr>
                <w:b/>
              </w:rPr>
            </w:pPr>
            <w:r>
              <w:rPr>
                <w:b/>
              </w:rPr>
              <w:t>Quoted</w:t>
              <w:br/>
              <w:t>Prices in</w:t>
              <w:br/>
              <w:t>Active</w:t>
              <w:br/>
              <w:t>Markets</w:t>
              <w:br/>
              <w:t>(Level 1)</w:t>
            </w:r>
          </w:p>
        </w:tc>
        <w:tc>
          <w:tcPr>
            <w:tcW w:w="60" w:type="dxa"/>
            <w:tcBorders/>
            <w:tcMar>
              <w:bottom w:w="0" w:type="dxa"/>
            </w:tcMar>
            <w:vAlign w:val="center"/>
          </w:tcPr>
          <w:p>
            <w:pPr>
              <w:pStyle w:val="TableContents"/>
              <w:bidi w:val="0"/>
              <w:spacing w:before="0" w:after="283"/>
              <w:jc w:val="left"/>
              <w:rPr/>
            </w:pPr>
            <w:r>
              <w:rPr/>
              <w:t> </w:t>
            </w:r>
          </w:p>
        </w:tc>
        <w:tc>
          <w:tcPr>
            <w:tcW w:w="1175" w:type="dxa"/>
            <w:gridSpan w:val="3"/>
            <w:tcBorders>
              <w:bottom w:val="single" w:sz="12" w:space="0" w:color="000000"/>
            </w:tcBorders>
            <w:vAlign w:val="center"/>
          </w:tcPr>
          <w:p>
            <w:pPr>
              <w:pStyle w:val="TableContents"/>
              <w:bidi w:val="0"/>
              <w:spacing w:before="0" w:after="283"/>
              <w:jc w:val="center"/>
              <w:rPr>
                <w:b/>
              </w:rPr>
            </w:pPr>
            <w:r>
              <w:rPr>
                <w:b/>
              </w:rPr>
              <w:t>Significant</w:t>
              <w:br/>
              <w:t>Other</w:t>
              <w:br/>
              <w:t>Observable</w:t>
              <w:br/>
              <w:t>Inputs</w:t>
              <w:br/>
              <w:t>(Level 2)</w:t>
            </w:r>
          </w:p>
        </w:tc>
        <w:tc>
          <w:tcPr>
            <w:tcW w:w="60" w:type="dxa"/>
            <w:tcBorders/>
            <w:tcMar>
              <w:bottom w:w="0" w:type="dxa"/>
            </w:tcMar>
            <w:vAlign w:val="center"/>
          </w:tcPr>
          <w:p>
            <w:pPr>
              <w:pStyle w:val="TableContents"/>
              <w:bidi w:val="0"/>
              <w:spacing w:before="0" w:after="283"/>
              <w:jc w:val="left"/>
              <w:rPr/>
            </w:pPr>
            <w:r>
              <w:rPr/>
              <w:t> </w:t>
            </w:r>
          </w:p>
        </w:tc>
        <w:tc>
          <w:tcPr>
            <w:tcW w:w="1445" w:type="dxa"/>
            <w:gridSpan w:val="3"/>
            <w:tcBorders>
              <w:bottom w:val="single" w:sz="12" w:space="0" w:color="000000"/>
            </w:tcBorders>
            <w:vAlign w:val="center"/>
          </w:tcPr>
          <w:p>
            <w:pPr>
              <w:pStyle w:val="TableContents"/>
              <w:bidi w:val="0"/>
              <w:spacing w:before="0" w:after="283"/>
              <w:jc w:val="center"/>
              <w:rPr>
                <w:b/>
              </w:rPr>
            </w:pPr>
            <w:r>
              <w:rPr>
                <w:b/>
              </w:rPr>
              <w:t>Significant</w:t>
              <w:br/>
              <w:t>Other</w:t>
              <w:br/>
              <w:t>Unobservable</w:t>
              <w:br/>
              <w:t>Inputs</w:t>
              <w:br/>
              <w:t>(Level 3)</w:t>
            </w:r>
          </w:p>
        </w:tc>
      </w:tr>
      <w:tr>
        <w:trPr/>
        <w:tc>
          <w:tcPr>
            <w:tcW w:w="4475" w:type="dxa"/>
            <w:tcBorders/>
            <w:tcMar>
              <w:bottom w:w="0" w:type="dxa"/>
            </w:tcMar>
            <w:vAlign w:val="center"/>
          </w:tcPr>
          <w:p>
            <w:pPr>
              <w:pStyle w:val="TableContents"/>
              <w:bidi w:val="0"/>
              <w:spacing w:before="0" w:after="283"/>
              <w:jc w:val="left"/>
              <w:rPr>
                <w:b/>
              </w:rPr>
            </w:pPr>
            <w:r>
              <w:rPr>
                <w:b/>
              </w:rPr>
              <w:t>Liabilities:</w:t>
            </w:r>
          </w:p>
        </w:tc>
        <w:tc>
          <w:tcPr>
            <w:tcW w:w="60" w:type="dxa"/>
            <w:tcBorders/>
            <w:tcMar>
              <w:bottom w:w="0" w:type="dxa"/>
            </w:tcMar>
            <w:vAlign w:val="center"/>
          </w:tcPr>
          <w:p>
            <w:pPr>
              <w:pStyle w:val="TableContents"/>
              <w:bidi w:val="0"/>
              <w:spacing w:before="0" w:after="283"/>
              <w:jc w:val="left"/>
              <w:rPr/>
            </w:pPr>
            <w:r>
              <w:rPr/>
              <w:t> </w:t>
            </w:r>
          </w:p>
        </w:tc>
        <w:tc>
          <w:tcPr>
            <w:tcW w:w="903" w:type="dxa"/>
            <w:gridSpan w:val="3"/>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gridSpan w:val="3"/>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3"/>
            <w:tcBorders/>
            <w:tcMar>
              <w:bottom w:w="0" w:type="dxa"/>
            </w:tcMar>
            <w:vAlign w:val="center"/>
          </w:tcPr>
          <w:p>
            <w:pPr>
              <w:pStyle w:val="TableContents"/>
              <w:bidi w:val="0"/>
              <w:spacing w:before="0" w:after="283"/>
              <w:jc w:val="right"/>
              <w:rPr/>
            </w:pPr>
            <w:r>
              <w:rPr/>
              <w:t> </w:t>
            </w:r>
          </w:p>
        </w:tc>
      </w:tr>
      <w:tr>
        <w:trPr/>
        <w:tc>
          <w:tcPr>
            <w:tcW w:w="4475" w:type="dxa"/>
            <w:tcBorders/>
            <w:shd w:fill="CCEEFF" w:val="clear"/>
            <w:tcMar>
              <w:bottom w:w="0" w:type="dxa"/>
            </w:tcMar>
            <w:vAlign w:val="center"/>
          </w:tcPr>
          <w:p>
            <w:pPr>
              <w:pStyle w:val="TableContents"/>
              <w:bidi w:val="0"/>
              <w:spacing w:before="0" w:after="283"/>
              <w:jc w:val="left"/>
              <w:rPr/>
            </w:pPr>
            <w:r>
              <w:rPr/>
              <w:t>Non-redemption agreements derivative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 w:type="dxa"/>
            <w:tcBorders/>
            <w:shd w:fill="CCEEFF" w:val="clear"/>
            <w:tcMar>
              <w:bottom w:w="0" w:type="dxa"/>
            </w:tcMar>
            <w:vAlign w:val="center"/>
          </w:tcPr>
          <w:p>
            <w:pPr>
              <w:pStyle w:val="TableContents"/>
              <w:bidi w:val="0"/>
              <w:spacing w:before="0" w:after="283"/>
              <w:jc w:val="left"/>
              <w:rPr/>
            </w:pPr>
            <w:r>
              <w:rPr/>
              <w:t>$</w:t>
            </w:r>
          </w:p>
        </w:tc>
        <w:tc>
          <w:tcPr>
            <w:tcW w:w="510"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7" w:type="dxa"/>
            <w:tcBorders/>
            <w:shd w:fill="CCEEFF" w:val="clear"/>
            <w:tcMar>
              <w:bottom w:w="0" w:type="dxa"/>
            </w:tcMar>
            <w:vAlign w:val="center"/>
          </w:tcPr>
          <w:p>
            <w:pPr>
              <w:pStyle w:val="TableContents"/>
              <w:bidi w:val="0"/>
              <w:spacing w:before="0" w:after="283"/>
              <w:jc w:val="left"/>
              <w:rPr/>
            </w:pPr>
            <w:r>
              <w:rPr/>
              <w:t>$</w:t>
            </w:r>
          </w:p>
        </w:tc>
        <w:tc>
          <w:tcPr>
            <w:tcW w:w="664" w:type="dxa"/>
            <w:tcBorders/>
            <w:shd w:fill="CCEEFF" w:val="clear"/>
            <w:tcMar>
              <w:bottom w:w="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w:t>
            </w:r>
          </w:p>
        </w:tc>
        <w:tc>
          <w:tcPr>
            <w:tcW w:w="1208" w:type="dxa"/>
            <w:tcBorders/>
            <w:shd w:fill="CCEEFF" w:val="clear"/>
            <w:tcMar>
              <w:bottom w:w="0" w:type="dxa"/>
            </w:tcMar>
            <w:vAlign w:val="center"/>
          </w:tcPr>
          <w:p>
            <w:pPr>
              <w:pStyle w:val="TableContents"/>
              <w:bidi w:val="0"/>
              <w:spacing w:before="0" w:after="283"/>
              <w:jc w:val="right"/>
              <w:rPr/>
            </w:pPr>
            <w:r>
              <w:rPr/>
              <w:t>12,599,255</w:t>
            </w:r>
          </w:p>
        </w:tc>
        <w:tc>
          <w:tcPr>
            <w:tcW w:w="84"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p>
      <w:pPr>
        <w:pStyle w:val="TextBody"/>
        <w:bidi w:val="0"/>
        <w:spacing w:before="0" w:after="0"/>
        <w:ind w:left="0" w:right="0" w:hanging="0"/>
        <w:jc w:val="both"/>
        <w:rPr>
          <w:caps w:val="false"/>
          <w:smallCaps w:val="false"/>
        </w:rPr>
      </w:pPr>
      <w:r>
        <w:rPr>
          <w:caps w:val="false"/>
          <w:smallCaps w:val="false"/>
        </w:rPr>
        <w:t> </w:t>
      </w:r>
    </w:p>
    <w:tbl>
      <w:tblPr>
        <w:tblW w:w="8178" w:type="dxa"/>
        <w:jc w:val="left"/>
        <w:tblInd w:w="0" w:type="dxa"/>
        <w:tblLayout w:type="fixed"/>
        <w:tblCellMar>
          <w:top w:w="0" w:type="dxa"/>
          <w:left w:w="0" w:type="dxa"/>
          <w:bottom w:w="28" w:type="dxa"/>
          <w:right w:w="0" w:type="dxa"/>
        </w:tblCellMar>
      </w:tblPr>
      <w:tblGrid>
        <w:gridCol w:w="4475"/>
        <w:gridCol w:w="60"/>
        <w:gridCol w:w="275"/>
        <w:gridCol w:w="510"/>
        <w:gridCol w:w="118"/>
        <w:gridCol w:w="60"/>
        <w:gridCol w:w="357"/>
        <w:gridCol w:w="664"/>
        <w:gridCol w:w="154"/>
        <w:gridCol w:w="60"/>
        <w:gridCol w:w="169"/>
        <w:gridCol w:w="1185"/>
        <w:gridCol w:w="91"/>
      </w:tblGrid>
      <w:tr>
        <w:trPr/>
        <w:tc>
          <w:tcPr>
            <w:tcW w:w="4475" w:type="dxa"/>
            <w:tcBorders>
              <w:bottom w:val="single" w:sz="12" w:space="0" w:color="000000"/>
            </w:tcBorders>
            <w:vAlign w:val="center"/>
          </w:tcPr>
          <w:p>
            <w:pPr>
              <w:pStyle w:val="TableContents"/>
              <w:bidi w:val="0"/>
              <w:spacing w:before="0" w:after="283"/>
              <w:jc w:val="left"/>
              <w:rPr>
                <w:b/>
              </w:rPr>
            </w:pPr>
            <w:r>
              <w:rPr>
                <w:b/>
              </w:rPr>
              <w:t>Description</w:t>
            </w:r>
          </w:p>
        </w:tc>
        <w:tc>
          <w:tcPr>
            <w:tcW w:w="60" w:type="dxa"/>
            <w:tcBorders/>
            <w:tcMar>
              <w:bottom w:w="0" w:type="dxa"/>
            </w:tcMar>
            <w:vAlign w:val="center"/>
          </w:tcPr>
          <w:p>
            <w:pPr>
              <w:pStyle w:val="TableContents"/>
              <w:bidi w:val="0"/>
              <w:spacing w:before="0" w:after="283"/>
              <w:jc w:val="left"/>
              <w:rPr/>
            </w:pPr>
            <w:r>
              <w:rPr/>
              <w:t> </w:t>
            </w:r>
          </w:p>
        </w:tc>
        <w:tc>
          <w:tcPr>
            <w:tcW w:w="903" w:type="dxa"/>
            <w:gridSpan w:val="3"/>
            <w:tcBorders>
              <w:bottom w:val="single" w:sz="12" w:space="0" w:color="000000"/>
            </w:tcBorders>
            <w:vAlign w:val="center"/>
          </w:tcPr>
          <w:p>
            <w:pPr>
              <w:pStyle w:val="TableContents"/>
              <w:bidi w:val="0"/>
              <w:spacing w:before="0" w:after="283"/>
              <w:jc w:val="center"/>
              <w:rPr>
                <w:b/>
              </w:rPr>
            </w:pPr>
            <w:r>
              <w:rPr>
                <w:b/>
              </w:rPr>
              <w:t>Quoted</w:t>
              <w:br/>
              <w:t>Prices in</w:t>
              <w:br/>
              <w:t>Active</w:t>
              <w:br/>
              <w:t>Markets</w:t>
              <w:br/>
              <w:t>(Level 1)</w:t>
            </w:r>
          </w:p>
        </w:tc>
        <w:tc>
          <w:tcPr>
            <w:tcW w:w="60" w:type="dxa"/>
            <w:tcBorders/>
            <w:tcMar>
              <w:bottom w:w="0" w:type="dxa"/>
            </w:tcMar>
            <w:vAlign w:val="center"/>
          </w:tcPr>
          <w:p>
            <w:pPr>
              <w:pStyle w:val="TableContents"/>
              <w:bidi w:val="0"/>
              <w:spacing w:before="0" w:after="283"/>
              <w:jc w:val="left"/>
              <w:rPr/>
            </w:pPr>
            <w:r>
              <w:rPr/>
              <w:t> </w:t>
            </w:r>
          </w:p>
        </w:tc>
        <w:tc>
          <w:tcPr>
            <w:tcW w:w="1175" w:type="dxa"/>
            <w:gridSpan w:val="3"/>
            <w:tcBorders>
              <w:bottom w:val="single" w:sz="12" w:space="0" w:color="000000"/>
            </w:tcBorders>
            <w:vAlign w:val="center"/>
          </w:tcPr>
          <w:p>
            <w:pPr>
              <w:pStyle w:val="TableContents"/>
              <w:bidi w:val="0"/>
              <w:spacing w:before="0" w:after="283"/>
              <w:jc w:val="center"/>
              <w:rPr>
                <w:b/>
              </w:rPr>
            </w:pPr>
            <w:r>
              <w:rPr>
                <w:b/>
              </w:rPr>
              <w:t>Significant</w:t>
              <w:br/>
              <w:t>Other</w:t>
              <w:br/>
              <w:t>Observable</w:t>
              <w:br/>
              <w:t>Inputs</w:t>
              <w:br/>
              <w:t>(Level 2)</w:t>
            </w:r>
          </w:p>
        </w:tc>
        <w:tc>
          <w:tcPr>
            <w:tcW w:w="60" w:type="dxa"/>
            <w:tcBorders/>
            <w:tcMar>
              <w:bottom w:w="0" w:type="dxa"/>
            </w:tcMar>
            <w:vAlign w:val="center"/>
          </w:tcPr>
          <w:p>
            <w:pPr>
              <w:pStyle w:val="TableContents"/>
              <w:bidi w:val="0"/>
              <w:spacing w:before="0" w:after="283"/>
              <w:jc w:val="left"/>
              <w:rPr/>
            </w:pPr>
            <w:r>
              <w:rPr/>
              <w:t> </w:t>
            </w:r>
          </w:p>
        </w:tc>
        <w:tc>
          <w:tcPr>
            <w:tcW w:w="1445" w:type="dxa"/>
            <w:gridSpan w:val="3"/>
            <w:tcBorders>
              <w:bottom w:val="single" w:sz="12" w:space="0" w:color="000000"/>
            </w:tcBorders>
            <w:vAlign w:val="center"/>
          </w:tcPr>
          <w:p>
            <w:pPr>
              <w:pStyle w:val="TableContents"/>
              <w:bidi w:val="0"/>
              <w:spacing w:before="0" w:after="283"/>
              <w:jc w:val="center"/>
              <w:rPr>
                <w:b/>
              </w:rPr>
            </w:pPr>
            <w:r>
              <w:rPr>
                <w:b/>
              </w:rPr>
              <w:t>Significant</w:t>
              <w:br/>
              <w:t>Other</w:t>
              <w:br/>
              <w:t>Unobservable</w:t>
              <w:br/>
              <w:t>Inputs</w:t>
              <w:br/>
              <w:t>(Level 3)</w:t>
            </w:r>
          </w:p>
        </w:tc>
      </w:tr>
      <w:tr>
        <w:trPr/>
        <w:tc>
          <w:tcPr>
            <w:tcW w:w="4475" w:type="dxa"/>
            <w:tcBorders/>
            <w:tcMar>
              <w:bottom w:w="0" w:type="dxa"/>
            </w:tcMar>
            <w:vAlign w:val="center"/>
          </w:tcPr>
          <w:p>
            <w:pPr>
              <w:pStyle w:val="TableContents"/>
              <w:bidi w:val="0"/>
              <w:spacing w:before="0" w:after="283"/>
              <w:jc w:val="left"/>
              <w:rPr>
                <w:b/>
              </w:rPr>
            </w:pPr>
            <w:r>
              <w:rPr>
                <w:b/>
              </w:rPr>
              <w:t>Liabilities:</w:t>
            </w:r>
          </w:p>
        </w:tc>
        <w:tc>
          <w:tcPr>
            <w:tcW w:w="60" w:type="dxa"/>
            <w:tcBorders/>
            <w:tcMar>
              <w:bottom w:w="0" w:type="dxa"/>
            </w:tcMar>
            <w:vAlign w:val="center"/>
          </w:tcPr>
          <w:p>
            <w:pPr>
              <w:pStyle w:val="TableContents"/>
              <w:bidi w:val="0"/>
              <w:spacing w:before="0" w:after="283"/>
              <w:jc w:val="left"/>
              <w:rPr/>
            </w:pPr>
            <w:r>
              <w:rPr/>
              <w:t> </w:t>
            </w:r>
          </w:p>
        </w:tc>
        <w:tc>
          <w:tcPr>
            <w:tcW w:w="903" w:type="dxa"/>
            <w:gridSpan w:val="3"/>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gridSpan w:val="3"/>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3"/>
            <w:tcBorders/>
            <w:tcMar>
              <w:bottom w:w="0" w:type="dxa"/>
            </w:tcMar>
            <w:vAlign w:val="center"/>
          </w:tcPr>
          <w:p>
            <w:pPr>
              <w:pStyle w:val="TableContents"/>
              <w:bidi w:val="0"/>
              <w:spacing w:before="0" w:after="283"/>
              <w:jc w:val="right"/>
              <w:rPr/>
            </w:pPr>
            <w:r>
              <w:rPr/>
              <w:t> </w:t>
            </w:r>
          </w:p>
        </w:tc>
      </w:tr>
      <w:tr>
        <w:trPr/>
        <w:tc>
          <w:tcPr>
            <w:tcW w:w="4475" w:type="dxa"/>
            <w:tcBorders/>
            <w:shd w:fill="CCEEFF" w:val="clear"/>
            <w:tcMar>
              <w:bottom w:w="0" w:type="dxa"/>
            </w:tcMar>
            <w:vAlign w:val="center"/>
          </w:tcPr>
          <w:p>
            <w:pPr>
              <w:pStyle w:val="TableContents"/>
              <w:bidi w:val="0"/>
              <w:spacing w:before="0" w:after="283"/>
              <w:jc w:val="left"/>
              <w:rPr/>
            </w:pPr>
            <w:r>
              <w:rPr/>
              <w:t>Non-redemption agreements derivative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 w:type="dxa"/>
            <w:tcBorders/>
            <w:shd w:fill="CCEEFF" w:val="clear"/>
            <w:tcMar>
              <w:bottom w:w="0" w:type="dxa"/>
            </w:tcMar>
            <w:vAlign w:val="center"/>
          </w:tcPr>
          <w:p>
            <w:pPr>
              <w:pStyle w:val="TableContents"/>
              <w:bidi w:val="0"/>
              <w:spacing w:before="0" w:after="283"/>
              <w:jc w:val="left"/>
              <w:rPr/>
            </w:pPr>
            <w:r>
              <w:rPr/>
              <w:t>$</w:t>
            </w:r>
          </w:p>
        </w:tc>
        <w:tc>
          <w:tcPr>
            <w:tcW w:w="510"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7" w:type="dxa"/>
            <w:tcBorders/>
            <w:shd w:fill="CCEEFF" w:val="clear"/>
            <w:tcMar>
              <w:bottom w:w="0" w:type="dxa"/>
            </w:tcMar>
            <w:vAlign w:val="center"/>
          </w:tcPr>
          <w:p>
            <w:pPr>
              <w:pStyle w:val="TableContents"/>
              <w:bidi w:val="0"/>
              <w:spacing w:before="0" w:after="283"/>
              <w:jc w:val="left"/>
              <w:rPr/>
            </w:pPr>
            <w:r>
              <w:rPr/>
              <w:t>$</w:t>
            </w:r>
          </w:p>
        </w:tc>
        <w:tc>
          <w:tcPr>
            <w:tcW w:w="664" w:type="dxa"/>
            <w:tcBorders/>
            <w:shd w:fill="CCEEFF" w:val="clear"/>
            <w:tcMar>
              <w:bottom w:w="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w:t>
            </w:r>
          </w:p>
        </w:tc>
        <w:tc>
          <w:tcPr>
            <w:tcW w:w="1185" w:type="dxa"/>
            <w:tcBorders/>
            <w:shd w:fill="CCEEFF" w:val="clear"/>
            <w:tcMar>
              <w:bottom w:w="0" w:type="dxa"/>
            </w:tcMar>
            <w:vAlign w:val="center"/>
          </w:tcPr>
          <w:p>
            <w:pPr>
              <w:pStyle w:val="TableContents"/>
              <w:bidi w:val="0"/>
              <w:spacing w:before="0" w:after="283"/>
              <w:jc w:val="right"/>
              <w:rPr/>
            </w:pPr>
            <w:r>
              <w:rPr/>
              <w:t>8,886,828</w:t>
            </w:r>
          </w:p>
        </w:tc>
        <w:tc>
          <w:tcPr>
            <w:tcW w:w="91"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The Non-Redemption Agreements derivative liability were accounted for as liabilities in accordance with ASC 815 and are presented on the condensed consolidated balance sheets. The non-redemption agreements derivative liability are measured at fair value at inception and on a recurring basis, with changes in fair value presented within change in fair</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0"/>
        </w:rPr>
        <w:t>value of derivative liability in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and December 31, 2024, the value of Non-Redemption Agreements derivative liability was determined by applying the estimated probability of the successful business combination to the market price of the Class A common stock. The key inputs used in the estimate of the Non-Redemption Agreements derivative liability were as follows:</w:t>
      </w:r>
    </w:p>
    <w:p>
      <w:pPr>
        <w:pStyle w:val="TextBody"/>
        <w:bidi w:val="0"/>
        <w:spacing w:before="0" w:after="0"/>
        <w:ind w:left="0" w:right="0" w:hanging="0"/>
        <w:jc w:val="both"/>
        <w:rPr>
          <w:caps w:val="false"/>
          <w:smallCaps w:val="false"/>
        </w:rPr>
      </w:pPr>
      <w:r>
        <w:rPr>
          <w:caps w:val="false"/>
          <w:smallCaps w:val="false"/>
        </w:rPr>
        <w:t> </w:t>
      </w:r>
    </w:p>
    <w:tbl>
      <w:tblPr>
        <w:tblW w:w="7480" w:type="dxa"/>
        <w:jc w:val="left"/>
        <w:tblInd w:w="0" w:type="dxa"/>
        <w:tblLayout w:type="fixed"/>
        <w:tblCellMar>
          <w:top w:w="0" w:type="dxa"/>
          <w:left w:w="0" w:type="dxa"/>
          <w:bottom w:w="28" w:type="dxa"/>
          <w:right w:w="0" w:type="dxa"/>
        </w:tblCellMar>
      </w:tblPr>
      <w:tblGrid>
        <w:gridCol w:w="4430"/>
        <w:gridCol w:w="60"/>
        <w:gridCol w:w="214"/>
        <w:gridCol w:w="856"/>
        <w:gridCol w:w="215"/>
        <w:gridCol w:w="60"/>
        <w:gridCol w:w="283"/>
        <w:gridCol w:w="1132"/>
        <w:gridCol w:w="230"/>
      </w:tblGrid>
      <w:tr>
        <w:trPr/>
        <w:tc>
          <w:tcPr>
            <w:tcW w:w="4430" w:type="dxa"/>
            <w:tcBorders>
              <w:bottom w:val="single" w:sz="12" w:space="0" w:color="000000"/>
            </w:tcBorders>
            <w:vAlign w:val="center"/>
          </w:tcPr>
          <w:p>
            <w:pPr>
              <w:pStyle w:val="TableContents"/>
              <w:bidi w:val="0"/>
              <w:spacing w:before="0" w:after="283"/>
              <w:jc w:val="left"/>
              <w:rPr>
                <w:b/>
              </w:rPr>
            </w:pPr>
            <w:r>
              <w:rPr>
                <w:b/>
              </w:rPr>
              <w:t>Input</w:t>
            </w:r>
          </w:p>
        </w:tc>
        <w:tc>
          <w:tcPr>
            <w:tcW w:w="60" w:type="dxa"/>
            <w:tcBorders/>
            <w:tcMar>
              <w:bottom w:w="0" w:type="dxa"/>
            </w:tcMar>
            <w:vAlign w:val="center"/>
          </w:tcPr>
          <w:p>
            <w:pPr>
              <w:pStyle w:val="TableContents"/>
              <w:bidi w:val="0"/>
              <w:spacing w:before="0" w:after="283"/>
              <w:jc w:val="left"/>
              <w:rPr/>
            </w:pPr>
            <w:r>
              <w:rPr/>
              <w:t> </w:t>
            </w:r>
          </w:p>
        </w:tc>
        <w:tc>
          <w:tcPr>
            <w:tcW w:w="1070" w:type="dxa"/>
            <w:gridSpan w:val="2"/>
            <w:tcBorders>
              <w:bottom w:val="single" w:sz="12" w:space="0" w:color="000000"/>
            </w:tcBorders>
            <w:vAlign w:val="center"/>
          </w:tcPr>
          <w:p>
            <w:pPr>
              <w:pStyle w:val="TableContents"/>
              <w:bidi w:val="0"/>
              <w:spacing w:before="0" w:after="283"/>
              <w:jc w:val="center"/>
              <w:rPr>
                <w:b/>
              </w:rPr>
            </w:pPr>
            <w:r>
              <w:rPr>
                <w:b/>
              </w:rPr>
              <w:t>March 31,</w:t>
              <w:br/>
              <w:t>2025</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2024</w:t>
            </w:r>
          </w:p>
        </w:tc>
        <w:tc>
          <w:tcPr>
            <w:tcW w:w="230" w:type="dxa"/>
            <w:tcBorders/>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pPr>
            <w:r>
              <w:rPr/>
              <w:t>Market price of Class A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856" w:type="dxa"/>
            <w:tcBorders/>
            <w:shd w:fill="CCEEFF" w:val="clear"/>
            <w:tcMar>
              <w:bottom w:w="0" w:type="dxa"/>
            </w:tcMar>
            <w:vAlign w:val="center"/>
          </w:tcPr>
          <w:p>
            <w:pPr>
              <w:pStyle w:val="TableContents"/>
              <w:bidi w:val="0"/>
              <w:spacing w:before="0" w:after="283"/>
              <w:jc w:val="right"/>
              <w:rPr/>
            </w:pPr>
            <w:r>
              <w:rPr/>
              <w:t>10.95</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w:t>
            </w:r>
          </w:p>
        </w:tc>
        <w:tc>
          <w:tcPr>
            <w:tcW w:w="1132" w:type="dxa"/>
            <w:tcBorders/>
            <w:shd w:fill="CCEEFF" w:val="clear"/>
            <w:tcMar>
              <w:bottom w:w="0" w:type="dxa"/>
            </w:tcMar>
            <w:vAlign w:val="center"/>
          </w:tcPr>
          <w:p>
            <w:pPr>
              <w:pStyle w:val="TableContents"/>
              <w:bidi w:val="0"/>
              <w:spacing w:before="0" w:after="283"/>
              <w:jc w:val="right"/>
              <w:rPr/>
            </w:pPr>
            <w:r>
              <w:rPr/>
              <w:t>10.81</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pPr>
            <w:r>
              <w:rPr/>
              <w:t>Probability of successful business combination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right"/>
              <w:rPr/>
            </w:pPr>
            <w:r>
              <w:rPr/>
              <w:t>70.0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pPr>
            <w:r>
              <w:rPr/>
              <w:t>50.0</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changes in the fair value of the Non-Redemption Agreements derivative liability:</w:t>
      </w:r>
    </w:p>
    <w:p>
      <w:pPr>
        <w:pStyle w:val="TextBody"/>
        <w:bidi w:val="0"/>
        <w:spacing w:before="0" w:after="0"/>
        <w:ind w:left="0" w:right="0" w:hanging="0"/>
        <w:jc w:val="both"/>
        <w:rPr>
          <w:caps w:val="false"/>
          <w:smallCaps w:val="false"/>
        </w:rPr>
      </w:pPr>
      <w:r>
        <w:rPr>
          <w:caps w:val="false"/>
          <w:smallCaps w:val="false"/>
        </w:rPr>
        <w:t> </w:t>
      </w:r>
    </w:p>
    <w:tbl>
      <w:tblPr>
        <w:tblW w:w="5955" w:type="dxa"/>
        <w:jc w:val="left"/>
        <w:tblInd w:w="0" w:type="dxa"/>
        <w:tblLayout w:type="fixed"/>
        <w:tblCellMar>
          <w:top w:w="0" w:type="dxa"/>
          <w:left w:w="0" w:type="dxa"/>
          <w:bottom w:w="0" w:type="dxa"/>
          <w:right w:w="0" w:type="dxa"/>
        </w:tblCellMar>
      </w:tblPr>
      <w:tblGrid>
        <w:gridCol w:w="4580"/>
        <w:gridCol w:w="60"/>
        <w:gridCol w:w="140"/>
        <w:gridCol w:w="1100"/>
        <w:gridCol w:w="75"/>
      </w:tblGrid>
      <w:tr>
        <w:trPr/>
        <w:tc>
          <w:tcPr>
            <w:tcW w:w="4580" w:type="dxa"/>
            <w:tcBorders/>
            <w:shd w:fill="CCEEFF" w:val="clear"/>
            <w:vAlign w:val="center"/>
          </w:tcPr>
          <w:p>
            <w:pPr>
              <w:pStyle w:val="TableContents"/>
              <w:bidi w:val="0"/>
              <w:spacing w:before="0" w:after="283"/>
              <w:jc w:val="left"/>
              <w:rPr>
                <w:b/>
              </w:rPr>
            </w:pPr>
            <w:r>
              <w:rPr>
                <w:b/>
              </w:rPr>
              <w:t>Fair value as of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8,886,828</w:t>
            </w:r>
          </w:p>
        </w:tc>
        <w:tc>
          <w:tcPr>
            <w:tcW w:w="75"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Change in valuation inputs or other assumptions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3,712,427</w:t>
            </w:r>
          </w:p>
        </w:tc>
        <w:tc>
          <w:tcPr>
            <w:tcW w:w="75"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b/>
              </w:rPr>
            </w:pPr>
            <w:r>
              <w:rPr>
                <w:b/>
              </w:rPr>
              <w:t>Fair value as of March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12,599,255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835" w:type="dxa"/>
        <w:jc w:val="left"/>
        <w:tblInd w:w="0" w:type="dxa"/>
        <w:tblLayout w:type="fixed"/>
        <w:tblCellMar>
          <w:top w:w="0" w:type="dxa"/>
          <w:left w:w="0" w:type="dxa"/>
          <w:bottom w:w="0" w:type="dxa"/>
          <w:right w:w="0" w:type="dxa"/>
        </w:tblCellMar>
      </w:tblPr>
      <w:tblGrid>
        <w:gridCol w:w="4580"/>
        <w:gridCol w:w="60"/>
        <w:gridCol w:w="140"/>
        <w:gridCol w:w="980"/>
        <w:gridCol w:w="75"/>
      </w:tblGrid>
      <w:tr>
        <w:trPr/>
        <w:tc>
          <w:tcPr>
            <w:tcW w:w="4580" w:type="dxa"/>
            <w:tcBorders/>
            <w:shd w:fill="CCEEFF" w:val="clear"/>
            <w:vAlign w:val="center"/>
          </w:tcPr>
          <w:p>
            <w:pPr>
              <w:pStyle w:val="TableContents"/>
              <w:bidi w:val="0"/>
              <w:spacing w:before="0" w:after="283"/>
              <w:jc w:val="left"/>
              <w:rPr>
                <w:b/>
              </w:rPr>
            </w:pPr>
            <w:r>
              <w:rPr>
                <w:b/>
              </w:rPr>
              <w:t>Fair value as of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6,646,080</w:t>
            </w:r>
          </w:p>
        </w:tc>
        <w:tc>
          <w:tcPr>
            <w:tcW w:w="75"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Change in valuation inputs or other assumptions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247,680</w:t>
            </w:r>
          </w:p>
        </w:tc>
        <w:tc>
          <w:tcPr>
            <w:tcW w:w="75"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b/>
              </w:rPr>
            </w:pPr>
            <w:r>
              <w:rPr>
                <w:b/>
              </w:rPr>
              <w:t>Fair value as of March 31, 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6,893,760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to/from Levels 1, 2, and 3 are recognized at the beginning of the reporting period. There were no transfers to/from Levels 1, 2, and 3 during the three months ended March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SHOULDERUP TECHNOLOGY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or group, in deciding how to allocate resources and assess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 maker (“CODM”) has been identified as the Chief Financial Officer who reviews the assets, operating results, and financial metrics for the Company as a whole to make decisions about allocating resources and assessing financial performance. Accordingly, management has determined that there is only one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assesses performance for the single segment and decides how to allocate resources based on net loss that also is reported on the consolidated statements of operations as net loss. The measure of segment assets is reported on the balance sheets as total assets. When evaluating the Company’s performance and making key decisions regarding resource allocation, the CODM reviews several key metrics included in net loss and total assets, which include the following:</w:t>
      </w:r>
    </w:p>
    <w:p>
      <w:pPr>
        <w:pStyle w:val="TextBody"/>
        <w:bidi w:val="0"/>
        <w:spacing w:before="0" w:after="0"/>
        <w:ind w:left="0" w:right="0" w:hanging="0"/>
        <w:jc w:val="both"/>
        <w:rPr>
          <w:caps w:val="false"/>
          <w:smallCaps w:val="false"/>
        </w:rPr>
      </w:pPr>
      <w:r>
        <w:rPr>
          <w:caps w:val="false"/>
          <w:smallCaps w:val="false"/>
        </w:rPr>
        <w:t> </w:t>
      </w:r>
    </w:p>
    <w:tbl>
      <w:tblPr>
        <w:tblW w:w="4129" w:type="dxa"/>
        <w:jc w:val="left"/>
        <w:tblInd w:w="0" w:type="dxa"/>
        <w:tblLayout w:type="fixed"/>
        <w:tblCellMar>
          <w:top w:w="0" w:type="dxa"/>
          <w:left w:w="0" w:type="dxa"/>
          <w:bottom w:w="0" w:type="dxa"/>
          <w:right w:w="0" w:type="dxa"/>
        </w:tblCellMar>
      </w:tblPr>
      <w:tblGrid>
        <w:gridCol w:w="1400"/>
        <w:gridCol w:w="60"/>
        <w:gridCol w:w="140"/>
        <w:gridCol w:w="980"/>
        <w:gridCol w:w="60"/>
        <w:gridCol w:w="60"/>
        <w:gridCol w:w="167"/>
        <w:gridCol w:w="1172"/>
        <w:gridCol w:w="90"/>
      </w:tblGrid>
      <w:tr>
        <w:trPr/>
        <w:tc>
          <w:tcPr>
            <w:tcW w:w="1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0" w:type="dxa"/>
            <w:gridSpan w:val="3"/>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1429" w:type="dxa"/>
            <w:gridSpan w:val="3"/>
            <w:tcBorders/>
            <w:vAlign w:val="center"/>
          </w:tcPr>
          <w:p>
            <w:pPr>
              <w:pStyle w:val="TableContents"/>
              <w:bidi w:val="0"/>
              <w:spacing w:before="0" w:after="283"/>
              <w:jc w:val="center"/>
              <w:rPr>
                <w:b/>
              </w:rPr>
            </w:pPr>
            <w:r>
              <w:rPr>
                <w:b/>
              </w:rPr>
              <w:t>December 31,</w:t>
            </w:r>
          </w:p>
        </w:tc>
      </w:tr>
      <w:tr>
        <w:trPr/>
        <w:tc>
          <w:tcPr>
            <w:tcW w:w="1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0"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429"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2024</w:t>
            </w:r>
          </w:p>
        </w:tc>
      </w:tr>
      <w:tr>
        <w:trPr/>
        <w:tc>
          <w:tcPr>
            <w:tcW w:w="1400" w:type="dxa"/>
            <w:tcBorders/>
            <w:shd w:fill="CCEEFF" w:val="clear"/>
            <w:vAlign w:val="center"/>
          </w:tcPr>
          <w:p>
            <w:pPr>
              <w:pStyle w:val="TableContents"/>
              <w:bidi w:val="0"/>
              <w:spacing w:before="0" w:after="283"/>
              <w:jc w:val="left"/>
              <w:rPr/>
            </w:pPr>
            <w:r>
              <w:rPr/>
              <w:t>Trust Account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5,599,323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5,585,436</w:t>
            </w:r>
          </w:p>
        </w:tc>
        <w:tc>
          <w:tcPr>
            <w:tcW w:w="90"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400,093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1172" w:type="dxa"/>
            <w:tcBorders/>
            <w:shd w:fill="FFFFFF" w:val="clear"/>
            <w:vAlign w:val="center"/>
          </w:tcPr>
          <w:p>
            <w:pPr>
              <w:pStyle w:val="TableContents"/>
              <w:bidi w:val="0"/>
              <w:spacing w:before="0" w:after="283"/>
              <w:jc w:val="right"/>
              <w:rPr/>
            </w:pPr>
            <w:r>
              <w:rPr/>
              <w:t>432,533</w:t>
            </w:r>
          </w:p>
        </w:tc>
        <w:tc>
          <w:tcPr>
            <w:tcW w:w="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577" w:type="dxa"/>
        <w:jc w:val="left"/>
        <w:tblInd w:w="0" w:type="dxa"/>
        <w:tblLayout w:type="fixed"/>
        <w:tblCellMar>
          <w:top w:w="0" w:type="dxa"/>
          <w:left w:w="0" w:type="dxa"/>
          <w:bottom w:w="0" w:type="dxa"/>
          <w:right w:w="0" w:type="dxa"/>
        </w:tblCellMar>
      </w:tblPr>
      <w:tblGrid>
        <w:gridCol w:w="5435"/>
        <w:gridCol w:w="60"/>
        <w:gridCol w:w="206"/>
        <w:gridCol w:w="1180"/>
        <w:gridCol w:w="88"/>
        <w:gridCol w:w="60"/>
        <w:gridCol w:w="213"/>
        <w:gridCol w:w="1221"/>
        <w:gridCol w:w="114"/>
      </w:tblGrid>
      <w:tr>
        <w:trPr/>
        <w:tc>
          <w:tcPr>
            <w:tcW w:w="5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For the</w:t>
              <w:br/>
              <w:t>Three Months</w:t>
              <w:br/>
              <w:t>Ended</w:t>
              <w:br/>
              <w:t>March 31,</w:t>
              <w:br/>
              <w:t>2025</w:t>
            </w:r>
          </w:p>
        </w:tc>
        <w:tc>
          <w:tcPr>
            <w:tcW w:w="60" w:type="dxa"/>
            <w:tcBorders/>
            <w:vAlign w:val="center"/>
          </w:tcPr>
          <w:p>
            <w:pPr>
              <w:pStyle w:val="TableContents"/>
              <w:bidi w:val="0"/>
              <w:spacing w:before="0" w:after="283"/>
              <w:jc w:val="left"/>
              <w:rPr/>
            </w:pPr>
            <w:r>
              <w:rPr/>
              <w:t> </w:t>
            </w:r>
          </w:p>
        </w:tc>
        <w:tc>
          <w:tcPr>
            <w:tcW w:w="1548"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For the</w:t>
              <w:br/>
              <w:t xml:space="preserve">Three Months </w:t>
              <w:br/>
              <w:t>Ended</w:t>
              <w:br/>
              <w:t>March 31,</w:t>
              <w:br/>
              <w:t>2024</w:t>
            </w:r>
          </w:p>
        </w:tc>
      </w:tr>
      <w:tr>
        <w:trPr/>
        <w:tc>
          <w:tcPr>
            <w:tcW w:w="543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301,511</w:t>
            </w:r>
          </w:p>
        </w:tc>
        <w:tc>
          <w:tcPr>
            <w:tcW w:w="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221" w:type="dxa"/>
            <w:tcBorders/>
            <w:shd w:fill="CCEEFF" w:val="clear"/>
            <w:vAlign w:val="center"/>
          </w:tcPr>
          <w:p>
            <w:pPr>
              <w:pStyle w:val="TableContents"/>
              <w:bidi w:val="0"/>
              <w:spacing w:before="0" w:after="283"/>
              <w:jc w:val="right"/>
              <w:rPr/>
            </w:pPr>
            <w:r>
              <w:rPr/>
              <w:t>357,763</w:t>
            </w:r>
          </w:p>
        </w:tc>
        <w:tc>
          <w:tcPr>
            <w:tcW w:w="114"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Income from cash and investments held in Trust Account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180" w:type="dxa"/>
            <w:tcBorders/>
            <w:shd w:fill="FFFFFF" w:val="clear"/>
            <w:vAlign w:val="center"/>
          </w:tcPr>
          <w:p>
            <w:pPr>
              <w:pStyle w:val="TableContents"/>
              <w:bidi w:val="0"/>
              <w:spacing w:before="0" w:after="283"/>
              <w:jc w:val="right"/>
              <w:rPr/>
            </w:pPr>
            <w:r>
              <w:rPr/>
              <w:t>28,349</w:t>
            </w:r>
          </w:p>
        </w:tc>
        <w:tc>
          <w:tcPr>
            <w:tcW w:w="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w:t>
            </w:r>
          </w:p>
        </w:tc>
        <w:tc>
          <w:tcPr>
            <w:tcW w:w="1221" w:type="dxa"/>
            <w:tcBorders/>
            <w:shd w:fill="FFFFFF" w:val="clear"/>
            <w:vAlign w:val="center"/>
          </w:tcPr>
          <w:p>
            <w:pPr>
              <w:pStyle w:val="TableContents"/>
              <w:bidi w:val="0"/>
              <w:spacing w:before="0" w:after="283"/>
              <w:jc w:val="right"/>
              <w:rPr/>
            </w:pPr>
            <w:r>
              <w:rPr/>
              <w:t>257,512</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reviews interest earned on the Trust Account to measure and monitor stockholder value and determine the most effective strategy of investment with the Trust Account funds while maintaining compliance with the Trust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are reviewed and monitored by the CODM to manage and forecast cash to ensure enough capital is available to complete a business combination or similar transaction within the business combination period. The CODM also reviews general and administrative costs to manage, maintain and enforce all contractual agreements to ensure costs are aligned with all agreements and budget. General and administrative costs, as reported on the consolidated statements of operations, are the significant segment expenses provided to the CODM on a regular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segment items included in net (loss) income are reported on the consolidated statement of operations and described within their respective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unaudited Condensed Consolidated balance sheets and up to the date the unaudited Condensed Consolidated financial statements were issued. Based upon this review, the Company did not identify any subsequent events that would have required adjustment or disclosure in the unaudited Condensed Consolidated financial statements, except as hereinafter described.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Company entered into a non-redemption agreement (the “Non-Redemption Agreement”) with a certain holder of the Company’s common stock (the “Investor”) pursuant to which the Investor agreed to rescind its redemptions of an aggregate of 500,000 shares of common stock redeemed in connection with the Business Combination Meeting (the “Investor Shares”). Pursuant to the Non-Redemption Agreement, the Company agreed that immediately upon the consummation of the Business Combination and the Share Forfeiture (as defined below), the Company and Holdings shall pay to the Investor a payment in respect of its Investor Shares in cash released from the Trust Account equal to (x) the number of Investor Shares multiplied by (y) the redemption price for the common stock redeemed in connection with the Business Combination (the “Non-Redemption Payment”). The Non-Redemption Agreement shall terminate on the earlier of (a) May 31, 2025, unless the parties mutually agree to extend such date; (b) the fulfillment of all obligations of the parties to the Non-Redemption Agreement; (c) the liquidation or dissolution of the Company; (d) the mutual written agreement of the parties to the Non-Redemption Agreement; or (e) if any the Investor Shares are actually redeemed in connection with a meeting of the Company prior to consummation of the Business Combination. The Company processed the redemptions of the remaining holders of the 2,000 shares of common stock who elected to redeem. On May 30, 2025, the Company and its holder party to the Non-Redemption Agreement agreed to extend the termination date of the Non-Redemption Agreement to June 15,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17, 2025, in connection with the Non-Redemption Agreement, the Company and Investor entered into a forfeiture agreement (the “Forfeiture Agreement”), pursuant to which Investor agreed to forfeit its right, immediately upon consummation of the Business Combination and receipt of the Non-Redemption Payment, to an aggregate of 413,333 founder shares held the Sponsor, which the Sponsor agreed to transfer to Investor in connection with certain non-redemption agreements entered into on April 19, 2023, November 10, 2023, and May 16, 2024 (the “Share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the Company and its holder party to the Non-Redemption Agreement agreed to extend the termination date of the Non-Redemption Agreement to June 15,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6" w:name="ea024660701ex99-5_cidhold.htm"/>
      <w:bookmarkStart w:id="77" w:name="ksea024660701ex995_cidhold"/>
      <w:bookmarkEnd w:id="76"/>
      <w:bookmarkEnd w:id="77"/>
      <w:r>
        <w:rPr>
          <w:rFonts w:ascii="Times New Roman;Times;Serif" w:hAnsi="Times New Roman;Times;Serif"/>
          <w:b/>
          <w:i w:val="false"/>
          <w:caps w:val="false"/>
          <w:smallCaps w:val="false"/>
          <w:sz w:val="20"/>
        </w:rPr>
        <w:t>Exhibit 99.5</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COMBINED FINANCIAL INFORMATION OF CID HOLDCO,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combined financial statements are provided to aid in the analysis of the financial aspects of the Business Combination which closed on June 18, 2025. The business combination agreement, dated as of March 18, 2024, was by and among ShoulderUp Technology Acquisition Corp. (“SUTA”), a Delaware corporation, among CID Holdco, Inc., a Delaware corporation (“Holdings”) and a wholly-owned subsidiary of ShoulderUp, ShoulderUp Merger Sub, Inc., a Delaware corporation (“ShoulderUp Merger Sub”) and wholly-owned subsidiary of ShoulderUp, SEE ID Merger Sub, Inc., a Nevada corporation (“SEE ID Merger Sub”) and wholly-owned subsidiary of ShoulderUp, and SEE ID, Inc., a Nevada corporation (“SEE 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transactions contemplated by the Business Combination Agreement, (i) ShoulderUp Merger Sub, merged merge with and into ShoulderUp, with ShoulderUp continuing as the surviving company in the merger, and with the security holders of ShoulderUp receiving substantially equivalent securities of CID Holdco, and (ii) SEE ID Merger Sub, merged with and into SEE ID, with SEE ID continuing as the surviving company in the merger, and with the shareholders of SEE ID receiving shares of Holdings common stock, par value $0.0001 per share (the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has been prepared in accordance with Article 11 of Regulation S-X.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balance sheet of the Combined Company (CID Holdco) after giving effect to the Business Combination as of March 31, 2025 and the unaudited pro forma condensed combined statements of operations of the Combined Company for the three months ended March 31, 2025 and for the fiscal year ended December 31, 2024 present the combination of the financial information of ShoulderUP Acquisition Corp and See ID, after giving effect to the Business Combination and related adjustments including the other material events described in the accompanying notes. SholderUP Acquisition Corp and See ID are collectively referred to herein as the “Companies,” and the Companies, subsequent to the Business Combination, are referred to herein as the Combined Company or New See 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statements of operations for the three months ended March 31, 2025 and for the fiscal year ended December 31, 2024 give pro forma effect to the Business Combination as if these had occurred on January 1, 2024. The unaudited pro forma condensed combined balance sheet as of March 31, 2025 gives pro forma effect to the Business Combination as if these were completed on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is based on and should be read in conjunction with the historical financial statements of each of ShoulderUP Acquisition Corp, included in the Annual Report on Form 10-K filed with the SEC on May 7,2025, and See ID, elsewhere in the filing, and the notes thereto, as well as the disclosures contained in the sections titled “ShoulderUP Acquisition Corp’ Management’s Discussion and Analysis of Financial Condition and Results of Operations” and “See ID’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statements have been presented for illustrative purposes only and do not necessarily reflect what the Combined Company’s financial condition or results of operations would have been had the Business Combination occurred on the dates indicated. Further, the unaudited pro forma combined financial information also may not be useful in predicting the future financial condition and results of operations of the Combined Company.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reverse recapitalization in accordance with ASC Topic 805, Business Combinations. Under this method of accounting, ShoulderUP Acquisition Corp was treated as the “acquired” company for accounting purposes. Since New See ID does not meet the definition of a business under ASC Topic 805, Business Combinations, net assets of New See ID was stated at historical cost, with no goodwill or other intangible assets recorded. See ID has been determined to be the accounting acquirer based on an evaluation of the following facts and circumstances, and accordingly the Business Combination is treated as an equivalent to an acquisition of ShoulderUP Acquisition Corp accompanied by a recapitalization: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See ID’ existing shareholders have the greatest voting interest in the combined entity under the maximum redemption scenario with an approximately 58.77% voting interest;</w:t>
            </w:r>
          </w:p>
        </w:tc>
      </w:tr>
    </w:tbl>
    <w:p>
      <w:pPr>
        <w:pStyle w:val="TextBody"/>
        <w:bidi w:val="0"/>
        <w:spacing w:before="0" w:after="0"/>
        <w:ind w:left="0" w:right="0" w:hanging="0"/>
        <w:jc w:val="both"/>
        <w:rPr>
          <w:caps w:val="false"/>
          <w:smallCaps w:val="false"/>
        </w:rPr>
      </w:pPr>
      <w:r>
        <w:rPr>
          <w:caps w:val="false"/>
          <w:smallCaps w:val="false"/>
        </w:rPr>
        <w:t> </w:t>
      </w:r>
    </w:p>
    <w:tbl>
      <w:tblPr>
        <w:tblW w:w="8568" w:type="dxa"/>
        <w:jc w:val="left"/>
        <w:tblInd w:w="0" w:type="dxa"/>
        <w:tblLayout w:type="fixed"/>
        <w:tblCellMar>
          <w:top w:w="0" w:type="dxa"/>
          <w:left w:w="0" w:type="dxa"/>
          <w:bottom w:w="0" w:type="dxa"/>
          <w:right w:w="0" w:type="dxa"/>
        </w:tblCellMar>
      </w:tblPr>
      <w:tblGrid>
        <w:gridCol w:w="38"/>
        <w:gridCol w:w="170"/>
        <w:gridCol w:w="8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both"/>
              <w:rPr>
                <w:sz w:val="20"/>
              </w:rPr>
            </w:pPr>
            <w:r>
              <w:rPr>
                <w:sz w:val="20"/>
              </w:rPr>
              <w:t>the largest individual minority shareholder of the combined entity is an existing shareholder of See ID;</w:t>
            </w:r>
          </w:p>
        </w:tc>
      </w:tr>
    </w:tbl>
    <w:p>
      <w:pPr>
        <w:pStyle w:val="TextBody"/>
        <w:bidi w:val="0"/>
        <w:spacing w:before="0" w:after="0"/>
        <w:ind w:left="0" w:right="0" w:hanging="0"/>
        <w:jc w:val="both"/>
        <w:rPr>
          <w:caps w:val="false"/>
          <w:smallCaps w:val="false"/>
        </w:rPr>
      </w:pPr>
      <w:r>
        <w:rPr>
          <w:caps w:val="false"/>
          <w:smallCaps w:val="false"/>
        </w:rPr>
        <w:t> </w:t>
      </w:r>
    </w:p>
    <w:tbl>
      <w:tblPr>
        <w:tblW w:w="7143" w:type="dxa"/>
        <w:jc w:val="left"/>
        <w:tblInd w:w="0" w:type="dxa"/>
        <w:tblLayout w:type="fixed"/>
        <w:tblCellMar>
          <w:top w:w="0" w:type="dxa"/>
          <w:left w:w="0" w:type="dxa"/>
          <w:bottom w:w="0" w:type="dxa"/>
          <w:right w:w="0" w:type="dxa"/>
        </w:tblCellMar>
      </w:tblPr>
      <w:tblGrid>
        <w:gridCol w:w="38"/>
        <w:gridCol w:w="17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283"/>
              <w:jc w:val="both"/>
              <w:rPr>
                <w:sz w:val="20"/>
              </w:rPr>
            </w:pPr>
            <w:r>
              <w:rPr>
                <w:sz w:val="20"/>
              </w:rPr>
              <w:t>senior management of See ID continue as senior management of the combined entity;</w:t>
            </w:r>
          </w:p>
        </w:tc>
      </w:tr>
    </w:tbl>
    <w:p>
      <w:pPr>
        <w:pStyle w:val="TextBody"/>
        <w:bidi w:val="0"/>
        <w:spacing w:before="0" w:after="0"/>
        <w:ind w:left="0" w:right="0" w:hanging="0"/>
        <w:jc w:val="both"/>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170"/>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95" w:type="dxa"/>
            <w:tcBorders/>
            <w:vAlign w:val="center"/>
          </w:tcPr>
          <w:p>
            <w:pPr>
              <w:pStyle w:val="TableContents"/>
              <w:bidi w:val="0"/>
              <w:spacing w:before="0" w:after="283"/>
              <w:jc w:val="both"/>
              <w:rPr>
                <w:sz w:val="20"/>
              </w:rPr>
            </w:pPr>
            <w:r>
              <w:rPr>
                <w:sz w:val="20"/>
              </w:rPr>
              <w:t>See ID is the larger entity based on historical total assets and revenues; and</w:t>
            </w:r>
          </w:p>
        </w:tc>
      </w:tr>
    </w:tbl>
    <w:p>
      <w:pPr>
        <w:pStyle w:val="TextBody"/>
        <w:bidi w:val="0"/>
        <w:spacing w:before="0" w:after="0"/>
        <w:ind w:left="0" w:right="0" w:hanging="0"/>
        <w:jc w:val="both"/>
        <w:rPr>
          <w:caps w:val="false"/>
          <w:smallCaps w:val="false"/>
        </w:rPr>
      </w:pPr>
      <w:r>
        <w:rPr>
          <w:caps w:val="false"/>
          <w:smallCaps w:val="false"/>
        </w:rPr>
        <w:t> </w:t>
      </w:r>
    </w:p>
    <w:tbl>
      <w:tblPr>
        <w:tblW w:w="8673" w:type="dxa"/>
        <w:jc w:val="left"/>
        <w:tblInd w:w="0" w:type="dxa"/>
        <w:tblLayout w:type="fixed"/>
        <w:tblCellMar>
          <w:top w:w="0" w:type="dxa"/>
          <w:left w:w="0" w:type="dxa"/>
          <w:bottom w:w="0" w:type="dxa"/>
          <w:right w:w="0" w:type="dxa"/>
        </w:tblCellMar>
      </w:tblPr>
      <w:tblGrid>
        <w:gridCol w:w="38"/>
        <w:gridCol w:w="170"/>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sz w:val="20"/>
              </w:rPr>
            </w:pPr>
            <w:r>
              <w:rPr>
                <w:sz w:val="20"/>
              </w:rPr>
              <w:t>See ID’ operations, prior to the Business Combination, comprises the ongoing operations of New See ID.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summary pro forma data after giving effect to the Business Combination and the other transactions at the closing of Business Combination:</w:t>
      </w:r>
    </w:p>
    <w:p>
      <w:pPr>
        <w:pStyle w:val="TextBody"/>
        <w:bidi w:val="0"/>
        <w:spacing w:before="0" w:after="0"/>
        <w:ind w:left="0" w:right="0" w:hanging="0"/>
        <w:jc w:val="both"/>
        <w:rPr>
          <w:caps w:val="false"/>
          <w:smallCaps w:val="false"/>
        </w:rPr>
      </w:pPr>
      <w:r>
        <w:rPr>
          <w:caps w:val="false"/>
          <w:smallCaps w:val="false"/>
        </w:rPr>
        <w:t> </w:t>
      </w:r>
    </w:p>
    <w:tbl>
      <w:tblPr>
        <w:tblW w:w="6995" w:type="dxa"/>
        <w:jc w:val="left"/>
        <w:tblInd w:w="0" w:type="dxa"/>
        <w:tblLayout w:type="fixed"/>
        <w:tblCellMar>
          <w:top w:w="0" w:type="dxa"/>
          <w:left w:w="0" w:type="dxa"/>
          <w:bottom w:w="0" w:type="dxa"/>
          <w:right w:w="0" w:type="dxa"/>
        </w:tblCellMar>
      </w:tblPr>
      <w:tblGrid>
        <w:gridCol w:w="4640"/>
        <w:gridCol w:w="60"/>
        <w:gridCol w:w="60"/>
        <w:gridCol w:w="1100"/>
        <w:gridCol w:w="60"/>
        <w:gridCol w:w="60"/>
        <w:gridCol w:w="60"/>
        <w:gridCol w:w="680"/>
        <w:gridCol w:w="275"/>
      </w:tblGrid>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75" w:type="dxa"/>
            <w:tcBorders/>
            <w:vAlign w:val="center"/>
          </w:tcPr>
          <w:p>
            <w:pPr>
              <w:pStyle w:val="TableContents"/>
              <w:bidi w:val="0"/>
              <w:spacing w:before="0" w:after="283"/>
              <w:ind w:left="0" w:right="0" w:hanging="200"/>
              <w:jc w:val="left"/>
              <w:rPr/>
            </w:pPr>
            <w:r>
              <w:rPr/>
              <w:t> </w:t>
            </w:r>
          </w:p>
        </w:tc>
      </w:tr>
      <w:tr>
        <w:trPr/>
        <w:tc>
          <w:tcPr>
            <w:tcW w:w="4640" w:type="dxa"/>
            <w:tcBorders/>
            <w:shd w:fill="CCEEFF" w:val="clear"/>
            <w:vAlign w:val="center"/>
          </w:tcPr>
          <w:p>
            <w:pPr>
              <w:pStyle w:val="TableContents"/>
              <w:bidi w:val="0"/>
              <w:spacing w:before="0" w:after="283"/>
              <w:jc w:val="both"/>
              <w:rPr>
                <w:b/>
              </w:rPr>
            </w:pPr>
            <w:r>
              <w:rPr>
                <w:b/>
              </w:rPr>
              <w:t>Private placement shares – Class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4.49</w:t>
            </w:r>
          </w:p>
        </w:tc>
        <w:tc>
          <w:tcPr>
            <w:tcW w:w="275" w:type="dxa"/>
            <w:tcBorders/>
            <w:shd w:fill="CCEEFF" w:val="clear"/>
            <w:vAlign w:val="center"/>
          </w:tcPr>
          <w:p>
            <w:pPr>
              <w:pStyle w:val="TableContents"/>
              <w:bidi w:val="0"/>
              <w:spacing w:before="0" w:after="283"/>
              <w:ind w:left="0" w:right="0" w:hanging="200"/>
              <w:jc w:val="left"/>
              <w:rPr/>
            </w:pPr>
            <w:r>
              <w:rPr/>
              <w:t>%</w:t>
            </w:r>
          </w:p>
        </w:tc>
      </w:tr>
      <w:tr>
        <w:trPr/>
        <w:tc>
          <w:tcPr>
            <w:tcW w:w="4640" w:type="dxa"/>
            <w:tcBorders/>
            <w:shd w:fill="FFFFFF" w:val="clear"/>
            <w:vAlign w:val="center"/>
          </w:tcPr>
          <w:p>
            <w:pPr>
              <w:pStyle w:val="TableContents"/>
              <w:bidi w:val="0"/>
              <w:spacing w:before="0" w:after="283"/>
              <w:jc w:val="both"/>
              <w:rPr>
                <w:b/>
              </w:rPr>
            </w:pPr>
            <w:r>
              <w:rPr>
                <w:b/>
              </w:rPr>
              <w:t>Founder shares - Class 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5,388,333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18.48</w:t>
            </w:r>
          </w:p>
        </w:tc>
        <w:tc>
          <w:tcPr>
            <w:tcW w:w="275" w:type="dxa"/>
            <w:tcBorders/>
            <w:shd w:fill="FFFFFF" w:val="clear"/>
            <w:vAlign w:val="center"/>
          </w:tcPr>
          <w:p>
            <w:pPr>
              <w:pStyle w:val="TableContents"/>
              <w:bidi w:val="0"/>
              <w:spacing w:before="0" w:after="283"/>
              <w:ind w:left="0" w:right="0" w:hanging="200"/>
              <w:jc w:val="left"/>
              <w:rPr/>
            </w:pPr>
            <w:r>
              <w:rPr/>
              <w:t>%</w:t>
            </w:r>
          </w:p>
        </w:tc>
      </w:tr>
      <w:tr>
        <w:trPr/>
        <w:tc>
          <w:tcPr>
            <w:tcW w:w="4640" w:type="dxa"/>
            <w:tcBorders/>
            <w:shd w:fill="CCEEFF" w:val="clear"/>
            <w:vAlign w:val="center"/>
          </w:tcPr>
          <w:p>
            <w:pPr>
              <w:pStyle w:val="TableContents"/>
              <w:bidi w:val="0"/>
              <w:spacing w:before="0" w:after="283"/>
              <w:jc w:val="both"/>
              <w:rPr>
                <w:b/>
              </w:rPr>
            </w:pPr>
            <w:r>
              <w:rPr>
                <w:b/>
              </w:rPr>
              <w:t>Various vendors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1,977,501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6.78</w:t>
            </w:r>
          </w:p>
        </w:tc>
        <w:tc>
          <w:tcPr>
            <w:tcW w:w="275" w:type="dxa"/>
            <w:tcBorders/>
            <w:shd w:fill="CCEEFF" w:val="clear"/>
            <w:vAlign w:val="center"/>
          </w:tcPr>
          <w:p>
            <w:pPr>
              <w:pStyle w:val="TableContents"/>
              <w:bidi w:val="0"/>
              <w:spacing w:before="0" w:after="283"/>
              <w:ind w:left="0" w:right="0" w:hanging="200"/>
              <w:jc w:val="left"/>
              <w:rPr/>
            </w:pPr>
            <w:r>
              <w:rPr/>
              <w:t>%</w:t>
            </w:r>
          </w:p>
        </w:tc>
      </w:tr>
      <w:tr>
        <w:trPr/>
        <w:tc>
          <w:tcPr>
            <w:tcW w:w="4640" w:type="dxa"/>
            <w:tcBorders/>
            <w:shd w:fill="FFFFFF" w:val="clear"/>
            <w:vAlign w:val="center"/>
          </w:tcPr>
          <w:p>
            <w:pPr>
              <w:pStyle w:val="TableContents"/>
              <w:bidi w:val="0"/>
              <w:spacing w:before="0" w:after="283"/>
              <w:jc w:val="both"/>
              <w:rPr>
                <w:b/>
              </w:rPr>
            </w:pPr>
            <w:r>
              <w:rPr>
                <w:b/>
              </w:rPr>
              <w:t>Former See ID stockholders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11,668,632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40.01</w:t>
            </w:r>
          </w:p>
        </w:tc>
        <w:tc>
          <w:tcPr>
            <w:tcW w:w="275" w:type="dxa"/>
            <w:tcBorders/>
            <w:shd w:fill="FFFFFF" w:val="clear"/>
            <w:vAlign w:val="center"/>
          </w:tcPr>
          <w:p>
            <w:pPr>
              <w:pStyle w:val="TableContents"/>
              <w:bidi w:val="0"/>
              <w:spacing w:before="0" w:after="283"/>
              <w:ind w:left="0" w:right="0" w:hanging="200"/>
              <w:jc w:val="left"/>
              <w:rPr/>
            </w:pPr>
            <w:r>
              <w:rPr/>
              <w:t>%</w:t>
            </w:r>
          </w:p>
        </w:tc>
      </w:tr>
      <w:tr>
        <w:trPr/>
        <w:tc>
          <w:tcPr>
            <w:tcW w:w="4640" w:type="dxa"/>
            <w:tcBorders/>
            <w:shd w:fill="CCEEFF" w:val="clear"/>
            <w:vAlign w:val="center"/>
          </w:tcPr>
          <w:p>
            <w:pPr>
              <w:pStyle w:val="TableContents"/>
              <w:bidi w:val="0"/>
              <w:spacing w:before="0" w:after="283"/>
              <w:jc w:val="both"/>
              <w:rPr>
                <w:b/>
              </w:rPr>
            </w:pPr>
            <w:r>
              <w:rPr>
                <w:b/>
              </w:rPr>
              <w:t>Conversion of See ID SAFE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2,524,292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8.66</w:t>
            </w:r>
          </w:p>
        </w:tc>
        <w:tc>
          <w:tcPr>
            <w:tcW w:w="275" w:type="dxa"/>
            <w:tcBorders/>
            <w:shd w:fill="CCEEFF" w:val="clear"/>
            <w:vAlign w:val="center"/>
          </w:tcPr>
          <w:p>
            <w:pPr>
              <w:pStyle w:val="TableContents"/>
              <w:bidi w:val="0"/>
              <w:spacing w:before="0" w:after="283"/>
              <w:ind w:left="0" w:right="0" w:hanging="200"/>
              <w:jc w:val="left"/>
              <w:rPr/>
            </w:pPr>
            <w:r>
              <w:rPr/>
              <w:t>%</w:t>
            </w:r>
          </w:p>
        </w:tc>
      </w:tr>
      <w:tr>
        <w:trPr/>
        <w:tc>
          <w:tcPr>
            <w:tcW w:w="4640" w:type="dxa"/>
            <w:tcBorders/>
            <w:shd w:fill="FFFFFF" w:val="clear"/>
            <w:vAlign w:val="center"/>
          </w:tcPr>
          <w:p>
            <w:pPr>
              <w:pStyle w:val="TableContents"/>
              <w:bidi w:val="0"/>
              <w:spacing w:before="0" w:after="283"/>
              <w:jc w:val="both"/>
              <w:rPr>
                <w:b/>
              </w:rPr>
            </w:pPr>
            <w:r>
              <w:rPr>
                <w:b/>
              </w:rPr>
              <w:t>Conversion of bridge loan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292,259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w:t>
            </w:r>
          </w:p>
        </w:tc>
        <w:tc>
          <w:tcPr>
            <w:tcW w:w="275" w:type="dxa"/>
            <w:tcBorders/>
            <w:shd w:fill="FFFFFF" w:val="clear"/>
            <w:vAlign w:val="center"/>
          </w:tcPr>
          <w:p>
            <w:pPr>
              <w:pStyle w:val="TableContents"/>
              <w:bidi w:val="0"/>
              <w:spacing w:before="0" w:after="283"/>
              <w:ind w:left="0" w:right="0" w:hanging="200"/>
              <w:jc w:val="left"/>
              <w:rPr/>
            </w:pPr>
            <w:r>
              <w:rPr/>
              <w:t>%</w:t>
            </w:r>
          </w:p>
        </w:tc>
      </w:tr>
      <w:tr>
        <w:trPr/>
        <w:tc>
          <w:tcPr>
            <w:tcW w:w="4640" w:type="dxa"/>
            <w:tcBorders/>
            <w:shd w:fill="CCEEFF" w:val="clear"/>
            <w:vAlign w:val="center"/>
          </w:tcPr>
          <w:p>
            <w:pPr>
              <w:pStyle w:val="TableContents"/>
              <w:bidi w:val="0"/>
              <w:spacing w:before="0" w:after="283"/>
              <w:jc w:val="both"/>
              <w:rPr>
                <w:b/>
              </w:rPr>
            </w:pPr>
            <w:r>
              <w:rPr>
                <w:b/>
              </w:rPr>
              <w:t>Shares set aside for See ID Option conversion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2,678,318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9.18</w:t>
            </w:r>
          </w:p>
        </w:tc>
        <w:tc>
          <w:tcPr>
            <w:tcW w:w="275" w:type="dxa"/>
            <w:tcBorders/>
            <w:shd w:fill="CCEEFF" w:val="clear"/>
            <w:vAlign w:val="center"/>
          </w:tcPr>
          <w:p>
            <w:pPr>
              <w:pStyle w:val="TableContents"/>
              <w:bidi w:val="0"/>
              <w:spacing w:before="0" w:after="283"/>
              <w:ind w:left="0" w:right="0" w:hanging="200"/>
              <w:jc w:val="left"/>
              <w:rPr/>
            </w:pPr>
            <w:r>
              <w:rPr/>
              <w:t>%</w:t>
            </w:r>
          </w:p>
        </w:tc>
      </w:tr>
      <w:tr>
        <w:trPr/>
        <w:tc>
          <w:tcPr>
            <w:tcW w:w="4640" w:type="dxa"/>
            <w:tcBorders/>
            <w:shd w:fill="FFFFFF" w:val="clear"/>
            <w:vAlign w:val="center"/>
          </w:tcPr>
          <w:p>
            <w:pPr>
              <w:pStyle w:val="TableContents"/>
              <w:bidi w:val="0"/>
              <w:spacing w:before="0" w:after="283"/>
              <w:jc w:val="both"/>
              <w:rPr>
                <w:b/>
              </w:rPr>
            </w:pPr>
            <w:r>
              <w:rPr>
                <w:b/>
              </w:rPr>
              <w:t>PIPE investors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3,323,536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11.40</w:t>
            </w:r>
          </w:p>
        </w:tc>
        <w:tc>
          <w:tcPr>
            <w:tcW w:w="275" w:type="dxa"/>
            <w:tcBorders/>
            <w:shd w:fill="FFFFFF" w:val="clear"/>
            <w:vAlign w:val="center"/>
          </w:tcPr>
          <w:p>
            <w:pPr>
              <w:pStyle w:val="TableContents"/>
              <w:bidi w:val="0"/>
              <w:spacing w:before="0" w:after="283"/>
              <w:jc w:val="left"/>
              <w:rPr/>
            </w:pPr>
            <w:r>
              <w:rPr/>
              <w:t>%</w:t>
            </w:r>
          </w:p>
        </w:tc>
      </w:tr>
      <w:tr>
        <w:trPr/>
        <w:tc>
          <w:tcPr>
            <w:tcW w:w="46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29,162,871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100.00</w:t>
            </w:r>
          </w:p>
        </w:tc>
        <w:tc>
          <w:tcPr>
            <w:tcW w:w="27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resulted in the combination of See ID and Newco, with a fiscal year end of December 31. The unaudited pro forma combined statements of operations for the three months ended March 31, 2025 and for the year ended December 31, 2024 present the combination of financial information of Newco, ShoulderUP Acquisition Corp and See ID, after giving effect to the Business Combination and related adjustments described in the accompanying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PRO FORMA CONDENSED COMBINED BALANCE SHEET</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As of March 31, 2025</w:t>
      </w:r>
    </w:p>
    <w:p>
      <w:pPr>
        <w:pStyle w:val="TextBody"/>
        <w:bidi w:val="0"/>
        <w:spacing w:before="0" w:after="0"/>
        <w:ind w:left="0" w:right="0" w:hanging="0"/>
        <w:jc w:val="both"/>
        <w:rPr>
          <w:caps/>
        </w:rPr>
      </w:pPr>
      <w:r>
        <w:rPr>
          <w:caps/>
        </w:rPr>
        <w:t> </w:t>
      </w:r>
    </w:p>
    <w:tbl>
      <w:tblPr>
        <w:tblW w:w="10205" w:type="dxa"/>
        <w:jc w:val="left"/>
        <w:tblInd w:w="0" w:type="dxa"/>
        <w:tblLayout w:type="fixed"/>
        <w:tblCellMar>
          <w:top w:w="0" w:type="dxa"/>
          <w:left w:w="0" w:type="dxa"/>
          <w:bottom w:w="0" w:type="dxa"/>
          <w:right w:w="0" w:type="dxa"/>
        </w:tblCellMar>
      </w:tblPr>
      <w:tblGrid>
        <w:gridCol w:w="2467"/>
        <w:gridCol w:w="60"/>
        <w:gridCol w:w="140"/>
        <w:gridCol w:w="1175"/>
        <w:gridCol w:w="95"/>
        <w:gridCol w:w="60"/>
        <w:gridCol w:w="238"/>
        <w:gridCol w:w="1999"/>
        <w:gridCol w:w="95"/>
        <w:gridCol w:w="60"/>
        <w:gridCol w:w="170"/>
        <w:gridCol w:w="1434"/>
        <w:gridCol w:w="95"/>
        <w:gridCol w:w="60"/>
        <w:gridCol w:w="245"/>
        <w:gridCol w:w="60"/>
        <w:gridCol w:w="174"/>
        <w:gridCol w:w="1464"/>
        <w:gridCol w:w="114"/>
      </w:tblGrid>
      <w:tr>
        <w:trPr/>
        <w:tc>
          <w:tcPr>
            <w:tcW w:w="24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See ID,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ShoulderUp Technology Acquisition Corporation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 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 Balance Sheet</w:t>
            </w:r>
          </w:p>
        </w:tc>
        <w:tc>
          <w:tcPr>
            <w:tcW w:w="114" w:type="dxa"/>
            <w:tcBorders/>
            <w:vAlign w:val="center"/>
          </w:tcPr>
          <w:p>
            <w:pPr>
              <w:pStyle w:val="TableContents"/>
              <w:bidi w:val="0"/>
              <w:spacing w:before="0" w:after="283"/>
              <w:jc w:val="left"/>
              <w:rPr/>
            </w:pPr>
            <w:r>
              <w:rPr/>
              <w:t> </w:t>
            </w:r>
          </w:p>
        </w:tc>
      </w:tr>
      <w:tr>
        <w:trPr/>
        <w:tc>
          <w:tcPr>
            <w:tcW w:w="2467"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8"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2467"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8"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344,902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1999" w:type="dxa"/>
            <w:tcBorders/>
            <w:shd w:fill="CCEEFF" w:val="clear"/>
            <w:vAlign w:val="center"/>
          </w:tcPr>
          <w:p>
            <w:pPr>
              <w:pStyle w:val="TableContents"/>
              <w:bidi w:val="0"/>
              <w:spacing w:before="0" w:after="283"/>
              <w:jc w:val="right"/>
              <w:rPr/>
            </w:pPr>
            <w:r>
              <w:rPr/>
              <w:t>400,093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4" w:type="dxa"/>
            <w:tcBorders/>
            <w:shd w:fill="CCEEFF" w:val="clear"/>
            <w:vAlign w:val="center"/>
          </w:tcPr>
          <w:p>
            <w:pPr>
              <w:pStyle w:val="TableContents"/>
              <w:bidi w:val="0"/>
              <w:spacing w:before="0" w:after="283"/>
              <w:jc w:val="right"/>
              <w:rPr/>
            </w:pPr>
            <w:r>
              <w:rPr/>
              <w:t>5,599,323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A</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464" w:type="dxa"/>
            <w:tcBorders/>
            <w:shd w:fill="CCEEFF" w:val="clear"/>
            <w:vAlign w:val="center"/>
          </w:tcPr>
          <w:p>
            <w:pPr>
              <w:pStyle w:val="TableContents"/>
              <w:bidi w:val="0"/>
              <w:spacing w:before="0" w:after="283"/>
              <w:jc w:val="right"/>
              <w:rPr/>
            </w:pPr>
            <w:r>
              <w:rPr/>
              <w:t>7,228,987</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(5,577,304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B</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(423,651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C</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(2,100,000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D</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(2,000,000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(22,019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F</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(830,000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Q</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11,837,643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H</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5,305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5,305</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69,876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69,876</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Advances to supplier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37,748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37,748</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80,548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999" w:type="dxa"/>
            <w:tcBorders>
              <w:bottom w:val="single" w:sz="12" w:space="0" w:color="000000"/>
            </w:tcBorders>
            <w:shd w:fill="FFFFFF" w:val="clear"/>
            <w:tcMar>
              <w:bottom w:w="28" w:type="dxa"/>
            </w:tcMar>
            <w:vAlign w:val="center"/>
          </w:tcPr>
          <w:p>
            <w:pPr>
              <w:pStyle w:val="TableContents"/>
              <w:bidi w:val="0"/>
              <w:spacing w:before="0" w:after="283"/>
              <w:jc w:val="right"/>
              <w:rPr/>
            </w:pPr>
            <w:r>
              <w:rPr/>
              <w:t>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3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FFFFFF" w:val="clear"/>
            <w:tcMar>
              <w:bottom w:w="28" w:type="dxa"/>
            </w:tcMar>
            <w:vAlign w:val="center"/>
          </w:tcPr>
          <w:p>
            <w:pPr>
              <w:pStyle w:val="TableContents"/>
              <w:bidi w:val="0"/>
              <w:spacing w:before="0" w:after="283"/>
              <w:jc w:val="right"/>
              <w:rPr/>
            </w:pPr>
            <w:r>
              <w:rPr/>
              <w:t>130,548</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538,379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450,093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6,483,992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7,472,464</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Right-of-use asset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295,650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295,650</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Capitalized software development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2,039,809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2,039,809</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23,389</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Cash held in trust account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99" w:type="dxa"/>
            <w:tcBorders>
              <w:bottom w:val="single" w:sz="12" w:space="0" w:color="000000"/>
            </w:tcBorders>
            <w:shd w:fill="CCEEFF" w:val="clear"/>
            <w:tcMar>
              <w:bottom w:w="28" w:type="dxa"/>
            </w:tcMar>
            <w:vAlign w:val="center"/>
          </w:tcPr>
          <w:p>
            <w:pPr>
              <w:pStyle w:val="TableContents"/>
              <w:bidi w:val="0"/>
              <w:spacing w:before="0" w:after="283"/>
              <w:jc w:val="right"/>
              <w:rPr/>
            </w:pPr>
            <w:r>
              <w:rPr/>
              <w:t>5,599,323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4" w:type="dxa"/>
            <w:tcBorders>
              <w:bottom w:val="single" w:sz="12" w:space="0" w:color="000000"/>
            </w:tcBorders>
            <w:shd w:fill="CCEEFF" w:val="clear"/>
            <w:tcMar>
              <w:bottom w:w="28" w:type="dxa"/>
            </w:tcMar>
            <w:vAlign w:val="center"/>
          </w:tcPr>
          <w:p>
            <w:pPr>
              <w:pStyle w:val="TableContents"/>
              <w:bidi w:val="0"/>
              <w:spacing w:before="0" w:after="283"/>
              <w:jc w:val="right"/>
              <w:rPr/>
            </w:pPr>
            <w:r>
              <w:rPr/>
              <w:t>(5,599,323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A</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Total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2,358,848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999" w:type="dxa"/>
            <w:tcBorders>
              <w:bottom w:val="single" w:sz="12" w:space="0" w:color="000000"/>
            </w:tcBorders>
            <w:shd w:fill="FFFFFF" w:val="clear"/>
            <w:tcMar>
              <w:bottom w:w="28" w:type="dxa"/>
            </w:tcMar>
            <w:vAlign w:val="center"/>
          </w:tcPr>
          <w:p>
            <w:pPr>
              <w:pStyle w:val="TableContents"/>
              <w:bidi w:val="0"/>
              <w:spacing w:before="0" w:after="283"/>
              <w:jc w:val="right"/>
              <w:rPr/>
            </w:pPr>
            <w:r>
              <w:rPr/>
              <w:t>5,599,323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34" w:type="dxa"/>
            <w:tcBorders>
              <w:bottom w:val="single" w:sz="12" w:space="0" w:color="000000"/>
            </w:tcBorders>
            <w:shd w:fill="FFFFFF" w:val="clear"/>
            <w:tcMar>
              <w:bottom w:w="28" w:type="dxa"/>
            </w:tcMar>
            <w:vAlign w:val="center"/>
          </w:tcPr>
          <w:p>
            <w:pPr>
              <w:pStyle w:val="TableContents"/>
              <w:bidi w:val="0"/>
              <w:spacing w:before="0" w:after="283"/>
              <w:jc w:val="right"/>
              <w:rPr/>
            </w:pPr>
            <w:r>
              <w:rPr/>
              <w:t>(5,599,323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FFFFFF" w:val="clear"/>
            <w:tcMar>
              <w:bottom w:w="28" w:type="dxa"/>
            </w:tcMar>
            <w:vAlign w:val="center"/>
          </w:tcPr>
          <w:p>
            <w:pPr>
              <w:pStyle w:val="TableContents"/>
              <w:bidi w:val="0"/>
              <w:spacing w:before="0" w:after="283"/>
              <w:jc w:val="right"/>
              <w:rPr/>
            </w:pPr>
            <w:r>
              <w:rPr/>
              <w:t>2,358,848</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2,897,227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999" w:type="dxa"/>
            <w:tcBorders>
              <w:bottom w:val="double" w:sz="10" w:space="0" w:color="000000"/>
            </w:tcBorders>
            <w:shd w:fill="CCEEFF" w:val="clear"/>
            <w:tcMar>
              <w:bottom w:w="28" w:type="dxa"/>
            </w:tcMar>
            <w:vAlign w:val="center"/>
          </w:tcPr>
          <w:p>
            <w:pPr>
              <w:pStyle w:val="TableContents"/>
              <w:bidi w:val="0"/>
              <w:spacing w:before="0" w:after="283"/>
              <w:jc w:val="right"/>
              <w:rPr/>
            </w:pPr>
            <w:r>
              <w:rPr/>
              <w:t>6,049,416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34" w:type="dxa"/>
            <w:tcBorders>
              <w:bottom w:val="double" w:sz="10" w:space="0" w:color="000000"/>
            </w:tcBorders>
            <w:shd w:fill="CCEEFF" w:val="clear"/>
            <w:tcMar>
              <w:bottom w:w="28" w:type="dxa"/>
            </w:tcMar>
            <w:vAlign w:val="center"/>
          </w:tcPr>
          <w:p>
            <w:pPr>
              <w:pStyle w:val="TableContents"/>
              <w:bidi w:val="0"/>
              <w:spacing w:before="0" w:after="283"/>
              <w:jc w:val="right"/>
              <w:rPr/>
            </w:pPr>
            <w:r>
              <w:rPr/>
              <w:t>884,669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64" w:type="dxa"/>
            <w:tcBorders>
              <w:bottom w:val="double" w:sz="10" w:space="0" w:color="000000"/>
            </w:tcBorders>
            <w:shd w:fill="CCEEFF" w:val="clear"/>
            <w:tcMar>
              <w:bottom w:w="28" w:type="dxa"/>
            </w:tcMar>
            <w:vAlign w:val="center"/>
          </w:tcPr>
          <w:p>
            <w:pPr>
              <w:pStyle w:val="TableContents"/>
              <w:bidi w:val="0"/>
              <w:spacing w:before="0" w:after="283"/>
              <w:jc w:val="right"/>
              <w:rPr/>
            </w:pPr>
            <w:r>
              <w:rPr/>
              <w:t>9,831,312</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832,879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1,413,027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(423,651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C</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832,879</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(989,376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G</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11,946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11,946</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(160,000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H</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Payroll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179,016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179,016</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1,144,774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1,144,774</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Bridge loans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(1,600,000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H</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Lease liability,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52,458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52,458</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Redemption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22,019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(22,019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F</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Franchise tax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79,400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79,400</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Income tax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176,789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176,789</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Excise tax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3,905,240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3,905,240</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268,272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(268,272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M</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Convertible promissory note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999" w:type="dxa"/>
            <w:tcBorders>
              <w:bottom w:val="single" w:sz="12" w:space="0" w:color="000000"/>
            </w:tcBorders>
            <w:shd w:fill="FFFFFF" w:val="clear"/>
            <w:tcMar>
              <w:bottom w:w="28" w:type="dxa"/>
            </w:tcMar>
            <w:vAlign w:val="center"/>
          </w:tcPr>
          <w:p>
            <w:pPr>
              <w:pStyle w:val="TableContents"/>
              <w:bidi w:val="0"/>
              <w:spacing w:before="0" w:after="283"/>
              <w:jc w:val="right"/>
              <w:rPr/>
            </w:pPr>
            <w:r>
              <w:rPr/>
              <w:t>900,000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34" w:type="dxa"/>
            <w:tcBorders>
              <w:bottom w:val="single" w:sz="12" w:space="0" w:color="000000"/>
            </w:tcBorders>
            <w:shd w:fill="FFFFFF" w:val="clear"/>
            <w:tcMar>
              <w:bottom w:w="28" w:type="dxa"/>
            </w:tcMar>
            <w:vAlign w:val="center"/>
          </w:tcPr>
          <w:p>
            <w:pPr>
              <w:pStyle w:val="TableContents"/>
              <w:bidi w:val="0"/>
              <w:spacing w:before="0" w:after="283"/>
              <w:jc w:val="right"/>
              <w:rPr/>
            </w:pPr>
            <w:r>
              <w:rPr/>
              <w:t>(900,000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J</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3,981,073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99" w:type="dxa"/>
            <w:tcBorders>
              <w:bottom w:val="single" w:sz="12" w:space="0" w:color="000000"/>
            </w:tcBorders>
            <w:shd w:fill="CCEEFF" w:val="clear"/>
            <w:tcMar>
              <w:bottom w:w="28" w:type="dxa"/>
            </w:tcMar>
            <w:vAlign w:val="center"/>
          </w:tcPr>
          <w:p>
            <w:pPr>
              <w:pStyle w:val="TableContents"/>
              <w:bidi w:val="0"/>
              <w:spacing w:before="0" w:after="283"/>
              <w:jc w:val="right"/>
              <w:rPr/>
            </w:pPr>
            <w:r>
              <w:rPr/>
              <w:t>6,764,747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4" w:type="dxa"/>
            <w:tcBorders>
              <w:bottom w:val="single" w:sz="12" w:space="0" w:color="000000"/>
            </w:tcBorders>
            <w:shd w:fill="CCEEFF" w:val="clear"/>
            <w:tcMar>
              <w:bottom w:w="28" w:type="dxa"/>
            </w:tcMar>
            <w:vAlign w:val="center"/>
          </w:tcPr>
          <w:p>
            <w:pPr>
              <w:pStyle w:val="TableContents"/>
              <w:bidi w:val="0"/>
              <w:spacing w:before="0" w:after="283"/>
              <w:jc w:val="right"/>
              <w:rPr/>
            </w:pPr>
            <w:r>
              <w:rPr/>
              <w:t>(4,363,318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CCEEFF" w:val="clear"/>
            <w:tcMar>
              <w:bottom w:w="28" w:type="dxa"/>
            </w:tcMar>
            <w:vAlign w:val="center"/>
          </w:tcPr>
          <w:p>
            <w:pPr>
              <w:pStyle w:val="TableContents"/>
              <w:bidi w:val="0"/>
              <w:spacing w:before="0" w:after="283"/>
              <w:jc w:val="right"/>
              <w:rPr/>
            </w:pPr>
            <w:r>
              <w:rPr/>
              <w:t>6,382,502</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SAFE agreements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22,746,675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(22,746,675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I</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Deferred revenue,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1,472,411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1,472,411</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265,543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265,543</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Non-redemption agreements derivative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99" w:type="dxa"/>
            <w:tcBorders>
              <w:bottom w:val="single" w:sz="12" w:space="0" w:color="000000"/>
            </w:tcBorders>
            <w:shd w:fill="CCEEFF" w:val="clear"/>
            <w:tcMar>
              <w:bottom w:w="28" w:type="dxa"/>
            </w:tcMar>
            <w:vAlign w:val="center"/>
          </w:tcPr>
          <w:p>
            <w:pPr>
              <w:pStyle w:val="TableContents"/>
              <w:bidi w:val="0"/>
              <w:spacing w:before="0" w:after="283"/>
              <w:jc w:val="right"/>
              <w:rPr/>
            </w:pPr>
            <w:r>
              <w:rPr/>
              <w:t>12,599,255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4" w:type="dxa"/>
            <w:tcBorders>
              <w:bottom w:val="single" w:sz="12" w:space="0" w:color="000000"/>
            </w:tcBorders>
            <w:shd w:fill="CCEEFF" w:val="clear"/>
            <w:tcMar>
              <w:bottom w:w="28" w:type="dxa"/>
            </w:tcMar>
            <w:vAlign w:val="center"/>
          </w:tcPr>
          <w:p>
            <w:pPr>
              <w:pStyle w:val="TableContents"/>
              <w:bidi w:val="0"/>
              <w:spacing w:before="0" w:after="283"/>
              <w:jc w:val="right"/>
              <w:rPr/>
            </w:pPr>
            <w:r>
              <w:rPr/>
              <w:t>(12,599,255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L</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24,484,629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999" w:type="dxa"/>
            <w:tcBorders>
              <w:bottom w:val="single" w:sz="12" w:space="0" w:color="000000"/>
            </w:tcBorders>
            <w:shd w:fill="FFFFFF" w:val="clear"/>
            <w:tcMar>
              <w:bottom w:w="28" w:type="dxa"/>
            </w:tcMar>
            <w:vAlign w:val="center"/>
          </w:tcPr>
          <w:p>
            <w:pPr>
              <w:pStyle w:val="TableContents"/>
              <w:bidi w:val="0"/>
              <w:spacing w:before="0" w:after="283"/>
              <w:jc w:val="right"/>
              <w:rPr/>
            </w:pPr>
            <w:r>
              <w:rPr/>
              <w:t>12,599,255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34" w:type="dxa"/>
            <w:tcBorders>
              <w:bottom w:val="single" w:sz="12" w:space="0" w:color="000000"/>
            </w:tcBorders>
            <w:shd w:fill="FFFFFF" w:val="clear"/>
            <w:tcMar>
              <w:bottom w:w="28" w:type="dxa"/>
            </w:tcMar>
            <w:vAlign w:val="center"/>
          </w:tcPr>
          <w:p>
            <w:pPr>
              <w:pStyle w:val="TableContents"/>
              <w:bidi w:val="0"/>
              <w:spacing w:before="0" w:after="283"/>
              <w:jc w:val="right"/>
              <w:rPr/>
            </w:pPr>
            <w:r>
              <w:rPr/>
              <w:t>(35,345,930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FFFFFF" w:val="clear"/>
            <w:tcMar>
              <w:bottom w:w="28" w:type="dxa"/>
            </w:tcMar>
            <w:vAlign w:val="center"/>
          </w:tcPr>
          <w:p>
            <w:pPr>
              <w:pStyle w:val="TableContents"/>
              <w:bidi w:val="0"/>
              <w:spacing w:before="0" w:after="283"/>
              <w:jc w:val="right"/>
              <w:rPr/>
            </w:pPr>
            <w:r>
              <w:rPr/>
              <w:t>1,737,954</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28,465,702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999" w:type="dxa"/>
            <w:tcBorders>
              <w:bottom w:val="single" w:sz="12" w:space="0" w:color="000000"/>
            </w:tcBorders>
            <w:shd w:fill="FFFFFF" w:val="clear"/>
            <w:tcMar>
              <w:bottom w:w="28" w:type="dxa"/>
            </w:tcMar>
            <w:vAlign w:val="center"/>
          </w:tcPr>
          <w:p>
            <w:pPr>
              <w:pStyle w:val="TableContents"/>
              <w:bidi w:val="0"/>
              <w:spacing w:before="0" w:after="283"/>
              <w:jc w:val="right"/>
              <w:rPr/>
            </w:pPr>
            <w:r>
              <w:rPr/>
              <w:t>19,364,002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34" w:type="dxa"/>
            <w:tcBorders>
              <w:bottom w:val="single" w:sz="12" w:space="0" w:color="000000"/>
            </w:tcBorders>
            <w:shd w:fill="FFFFFF" w:val="clear"/>
            <w:tcMar>
              <w:bottom w:w="28" w:type="dxa"/>
            </w:tcMar>
            <w:vAlign w:val="center"/>
          </w:tcPr>
          <w:p>
            <w:pPr>
              <w:pStyle w:val="TableContents"/>
              <w:bidi w:val="0"/>
              <w:spacing w:before="0" w:after="283"/>
              <w:jc w:val="right"/>
              <w:rPr/>
            </w:pPr>
            <w:r>
              <w:rPr/>
              <w:t>(39,709,248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FFFFFF" w:val="clear"/>
            <w:tcMar>
              <w:bottom w:w="28" w:type="dxa"/>
            </w:tcMar>
            <w:vAlign w:val="center"/>
          </w:tcPr>
          <w:p>
            <w:pPr>
              <w:pStyle w:val="TableContents"/>
              <w:bidi w:val="0"/>
              <w:spacing w:before="0" w:after="283"/>
              <w:jc w:val="right"/>
              <w:rPr/>
            </w:pPr>
            <w:r>
              <w:rPr/>
              <w:t>8,120,456</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b/>
              </w:rPr>
            </w:pPr>
            <w:r>
              <w:rPr>
                <w:b/>
              </w:rPr>
              <w:t>Temporary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2467" w:type="dxa"/>
            <w:tcBorders/>
            <w:shd w:fill="CCEEFF" w:val="clear"/>
            <w:vAlign w:val="center"/>
          </w:tcPr>
          <w:p>
            <w:pPr>
              <w:pStyle w:val="TableContents"/>
              <w:bidi w:val="0"/>
              <w:spacing w:before="0" w:after="283"/>
              <w:jc w:val="left"/>
              <w:rPr/>
            </w:pPr>
            <w:r>
              <w:rPr/>
              <w:t>Class A common stock subject to possible redemption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5,577,304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(5,577,304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B</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b/>
              </w:rPr>
            </w:pPr>
            <w:r>
              <w:rPr>
                <w:b/>
              </w:rPr>
              <w:t>Stockholders’ equity/(deficit)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Preferred stock, $0.0001 par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Class A common stock, $0.0001 par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1,180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(308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R</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670</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(198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G</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M</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332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H</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332</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1,716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N</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1,716</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198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O</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198</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Common stock, $0.001 par value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108,975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4" w:type="dxa"/>
            <w:tcBorders>
              <w:bottom w:val="single" w:sz="12" w:space="0" w:color="000000"/>
            </w:tcBorders>
            <w:shd w:fill="CCEEFF" w:val="clear"/>
            <w:tcMar>
              <w:bottom w:w="28" w:type="dxa"/>
            </w:tcMar>
            <w:vAlign w:val="center"/>
          </w:tcPr>
          <w:p>
            <w:pPr>
              <w:pStyle w:val="TableContents"/>
              <w:bidi w:val="0"/>
              <w:spacing w:before="0" w:after="283"/>
              <w:jc w:val="right"/>
              <w:rPr/>
            </w:pPr>
            <w:r>
              <w:rPr/>
              <w:t>(108,975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K</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2467" w:type="dxa"/>
            <w:tcBorders/>
            <w:shd w:fill="FFFFFF" w:val="clear"/>
            <w:vAlign w:val="center"/>
          </w:tcPr>
          <w:p>
            <w:pPr>
              <w:pStyle w:val="TableContents"/>
              <w:bidi w:val="0"/>
              <w:spacing w:before="0" w:after="283"/>
              <w:jc w:val="left"/>
              <w:rPr/>
            </w:pPr>
            <w:r>
              <w:rPr/>
              <w:t>Total Class A common stock, $0.0001 par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108,975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999" w:type="dxa"/>
            <w:tcBorders>
              <w:bottom w:val="single" w:sz="12" w:space="0" w:color="000000"/>
            </w:tcBorders>
            <w:shd w:fill="FFFFFF" w:val="clear"/>
            <w:tcMar>
              <w:bottom w:w="28" w:type="dxa"/>
            </w:tcMar>
            <w:vAlign w:val="center"/>
          </w:tcPr>
          <w:p>
            <w:pPr>
              <w:pStyle w:val="TableContents"/>
              <w:bidi w:val="0"/>
              <w:spacing w:before="0" w:after="283"/>
              <w:jc w:val="right"/>
              <w:rPr/>
            </w:pPr>
            <w:r>
              <w:rPr/>
              <w:t>1,180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34" w:type="dxa"/>
            <w:tcBorders>
              <w:bottom w:val="single" w:sz="12" w:space="0" w:color="000000"/>
            </w:tcBorders>
            <w:shd w:fill="FFFFFF" w:val="clear"/>
            <w:tcMar>
              <w:bottom w:w="28" w:type="dxa"/>
            </w:tcMar>
            <w:vAlign w:val="center"/>
          </w:tcPr>
          <w:p>
            <w:pPr>
              <w:pStyle w:val="TableContents"/>
              <w:bidi w:val="0"/>
              <w:spacing w:before="0" w:after="283"/>
              <w:jc w:val="right"/>
              <w:rPr/>
            </w:pPr>
            <w:r>
              <w:rPr/>
              <w:t>(107,239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FFFFFF" w:val="clear"/>
            <w:tcMar>
              <w:bottom w:w="28" w:type="dxa"/>
            </w:tcMar>
            <w:vAlign w:val="center"/>
          </w:tcPr>
          <w:p>
            <w:pPr>
              <w:pStyle w:val="TableContents"/>
              <w:bidi w:val="0"/>
              <w:spacing w:before="0" w:after="283"/>
              <w:jc w:val="right"/>
              <w:rPr/>
            </w:pPr>
            <w:r>
              <w:rPr/>
              <w:t>2,916</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340,371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30,555,671</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108,975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K</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308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R</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989,574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G</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13,597,311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H</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22,746,675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I</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(7,793,815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P</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900,000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J</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(198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O</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(331,724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M</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(1,716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N</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Subscription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(600,000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600,000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M</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(26,017,821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(18,293,070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7,793,815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P</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(28,847,821</w:t>
            </w:r>
          </w:p>
        </w:tc>
        <w:tc>
          <w:tcPr>
            <w:tcW w:w="114" w:type="dxa"/>
            <w:tcBorders/>
            <w:shd w:fill="FFFFFF" w:val="clear"/>
            <w:vAlign w:val="center"/>
          </w:tcPr>
          <w:p>
            <w:pPr>
              <w:pStyle w:val="TableContents"/>
              <w:bidi w:val="0"/>
              <w:spacing w:before="0" w:after="283"/>
              <w:jc w:val="left"/>
              <w:rPr/>
            </w:pPr>
            <w:r>
              <w:rPr/>
              <w:t>)</w:t>
            </w:r>
          </w:p>
        </w:tc>
      </w:tr>
      <w:tr>
        <w:trPr/>
        <w:tc>
          <w:tcPr>
            <w:tcW w:w="24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(2,100,000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D</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(2,000,000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(830,000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Q</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12,599,255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L</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999"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3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467" w:type="dxa"/>
            <w:tcBorders/>
            <w:shd w:fill="CCEEFF" w:val="clear"/>
            <w:vAlign w:val="center"/>
          </w:tcPr>
          <w:p>
            <w:pPr>
              <w:pStyle w:val="TableContents"/>
              <w:bidi w:val="0"/>
              <w:spacing w:before="0" w:after="283"/>
              <w:jc w:val="left"/>
              <w:rPr/>
            </w:pPr>
            <w:r>
              <w:rPr/>
              <w:t>Total stockholders' equity/(deficit)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(25,568,475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99" w:type="dxa"/>
            <w:tcBorders>
              <w:bottom w:val="single" w:sz="12" w:space="0" w:color="000000"/>
            </w:tcBorders>
            <w:shd w:fill="CCEEFF" w:val="clear"/>
            <w:tcMar>
              <w:bottom w:w="28" w:type="dxa"/>
            </w:tcMar>
            <w:vAlign w:val="center"/>
          </w:tcPr>
          <w:p>
            <w:pPr>
              <w:pStyle w:val="TableContents"/>
              <w:bidi w:val="0"/>
              <w:spacing w:before="0" w:after="283"/>
              <w:jc w:val="right"/>
              <w:rPr/>
            </w:pPr>
            <w:r>
              <w:rPr/>
              <w:t>(18,891,890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4" w:type="dxa"/>
            <w:tcBorders>
              <w:bottom w:val="single" w:sz="12" w:space="0" w:color="000000"/>
            </w:tcBorders>
            <w:shd w:fill="CCEEFF" w:val="clear"/>
            <w:tcMar>
              <w:bottom w:w="28" w:type="dxa"/>
            </w:tcMar>
            <w:vAlign w:val="center"/>
          </w:tcPr>
          <w:p>
            <w:pPr>
              <w:pStyle w:val="TableContents"/>
              <w:bidi w:val="0"/>
              <w:spacing w:before="0" w:after="283"/>
              <w:jc w:val="right"/>
              <w:rPr/>
            </w:pPr>
            <w:r>
              <w:rPr/>
              <w:t>46,171,221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CCEEFF" w:val="clear"/>
            <w:tcMar>
              <w:bottom w:w="28" w:type="dxa"/>
            </w:tcMar>
            <w:vAlign w:val="center"/>
          </w:tcPr>
          <w:p>
            <w:pPr>
              <w:pStyle w:val="TableContents"/>
              <w:bidi w:val="0"/>
              <w:spacing w:before="0" w:after="283"/>
              <w:jc w:val="right"/>
              <w:rPr/>
            </w:pPr>
            <w:r>
              <w:rPr/>
              <w:t>1,710,856</w:t>
            </w:r>
          </w:p>
        </w:tc>
        <w:tc>
          <w:tcPr>
            <w:tcW w:w="114" w:type="dxa"/>
            <w:tcBorders/>
            <w:shd w:fill="CCEEFF" w:val="clear"/>
            <w:vAlign w:val="center"/>
          </w:tcPr>
          <w:p>
            <w:pPr>
              <w:pStyle w:val="TableContents"/>
              <w:bidi w:val="0"/>
              <w:spacing w:before="0" w:after="283"/>
              <w:jc w:val="left"/>
              <w:rPr/>
            </w:pPr>
            <w:r>
              <w:rPr/>
              <w:t> </w:t>
            </w:r>
          </w:p>
        </w:tc>
      </w:tr>
      <w:tr>
        <w:trPr/>
        <w:tc>
          <w:tcPr>
            <w:tcW w:w="2467" w:type="dxa"/>
            <w:tcBorders/>
            <w:shd w:fill="FFFFFF" w:val="clear"/>
            <w:vAlign w:val="center"/>
          </w:tcPr>
          <w:p>
            <w:pPr>
              <w:pStyle w:val="TableContents"/>
              <w:bidi w:val="0"/>
              <w:spacing w:before="0" w:after="283"/>
              <w:jc w:val="left"/>
              <w:rPr>
                <w:b/>
              </w:rPr>
            </w:pPr>
            <w:r>
              <w:rPr>
                <w:b/>
              </w:rPr>
              <w:t>Total liabilities and stockholders' equity/(deficit)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2,897,227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999" w:type="dxa"/>
            <w:tcBorders>
              <w:bottom w:val="double" w:sz="10" w:space="0" w:color="000000"/>
            </w:tcBorders>
            <w:shd w:fill="FFFFFF" w:val="clear"/>
            <w:tcMar>
              <w:bottom w:w="28" w:type="dxa"/>
            </w:tcMar>
            <w:vAlign w:val="center"/>
          </w:tcPr>
          <w:p>
            <w:pPr>
              <w:pStyle w:val="TableContents"/>
              <w:bidi w:val="0"/>
              <w:spacing w:before="0" w:after="283"/>
              <w:jc w:val="right"/>
              <w:rPr/>
            </w:pPr>
            <w:r>
              <w:rPr/>
              <w:t>6,049,416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34" w:type="dxa"/>
            <w:tcBorders>
              <w:bottom w:val="double" w:sz="10" w:space="0" w:color="000000"/>
            </w:tcBorders>
            <w:shd w:fill="FFFFFF" w:val="clear"/>
            <w:tcMar>
              <w:bottom w:w="28" w:type="dxa"/>
            </w:tcMar>
            <w:vAlign w:val="center"/>
          </w:tcPr>
          <w:p>
            <w:pPr>
              <w:pStyle w:val="TableContents"/>
              <w:bidi w:val="0"/>
              <w:spacing w:before="0" w:after="283"/>
              <w:jc w:val="right"/>
              <w:rPr/>
            </w:pPr>
            <w:r>
              <w:rPr/>
              <w:t>884,669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64" w:type="dxa"/>
            <w:tcBorders>
              <w:bottom w:val="double" w:sz="10" w:space="0" w:color="000000"/>
            </w:tcBorders>
            <w:shd w:fill="FFFFFF" w:val="clear"/>
            <w:tcMar>
              <w:bottom w:w="28" w:type="dxa"/>
            </w:tcMar>
            <w:vAlign w:val="center"/>
          </w:tcPr>
          <w:p>
            <w:pPr>
              <w:pStyle w:val="TableContents"/>
              <w:bidi w:val="0"/>
              <w:spacing w:before="0" w:after="283"/>
              <w:jc w:val="right"/>
              <w:rPr/>
            </w:pPr>
            <w:r>
              <w:rPr/>
              <w:t>9,831,312</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to Unaudited Pro Forma Condensed Combined Balance Sheet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the release of the full amount held in the Trust Account as all amounts held in the Trust Account are to be redeemed at maximum amount upon the consummation of the Business Combination.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100% of the Public Stockholders of ShoulderUp Technology exercise their redemption rights to redeem all 506,589 shares of the ShoulderUp Technology Common Stock ($5,577,304).</w:t>
            </w:r>
          </w:p>
        </w:tc>
      </w:tr>
      <w:tr>
        <w:trPr/>
        <w:tc>
          <w:tcPr>
            <w:tcW w:w="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w:t>
            </w:r>
          </w:p>
        </w:tc>
        <w:tc>
          <w:tcPr>
            <w:tcW w:w="9990" w:type="dxa"/>
            <w:tcBorders/>
            <w:vAlign w:val="center"/>
          </w:tcPr>
          <w:p>
            <w:pPr>
              <w:pStyle w:val="TableContents"/>
              <w:bidi w:val="0"/>
              <w:spacing w:before="0" w:after="283"/>
              <w:jc w:val="both"/>
              <w:rPr/>
            </w:pPr>
            <w:r>
              <w:rPr/>
              <w:t>To reflect the payment of Accounts payable at closing, as if the Closing had occurred on March 31, 2025. including cash payments totaling $423,651 and settlement of $989,376 in the form of shares, for a total reduction of $1,413,027</w:t>
            </w:r>
          </w:p>
        </w:tc>
      </w:tr>
      <w:tr>
        <w:trPr/>
        <w:tc>
          <w:tcPr>
            <w:tcW w:w="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Reflects the payment of estimated ShoulderUp Technology transaction expenses at Closing which has a cap of $2,100,000.</w:t>
            </w:r>
          </w:p>
        </w:tc>
      </w:tr>
      <w:tr>
        <w:trPr/>
        <w:tc>
          <w:tcPr>
            <w:tcW w:w="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Reflects the payment of estimated See ID transaction expenses at Closing which has a cap of $2,000,000.</w:t>
            </w:r>
          </w:p>
        </w:tc>
      </w:tr>
      <w:tr>
        <w:trPr/>
        <w:tc>
          <w:tcPr>
            <w:tcW w:w="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the payment of the redemption payable at the Closing, as if the Closing had occurred on March 31, 2025.</w:t>
            </w:r>
          </w:p>
        </w:tc>
      </w:tr>
      <w:tr>
        <w:trPr/>
        <w:tc>
          <w:tcPr>
            <w:tcW w:w="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the transfer of 1,977,501 shares to various vendors as consideration for services rendered in connection with the business combination.</w:t>
            </w:r>
          </w:p>
        </w:tc>
      </w:tr>
      <w:tr>
        <w:trPr/>
        <w:tc>
          <w:tcPr>
            <w:tcW w:w="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w:t>
            </w:r>
          </w:p>
        </w:tc>
        <w:tc>
          <w:tcPr>
            <w:tcW w:w="9990" w:type="dxa"/>
            <w:tcBorders/>
            <w:vAlign w:val="center"/>
          </w:tcPr>
          <w:p>
            <w:pPr>
              <w:pStyle w:val="TableContents"/>
              <w:bidi w:val="0"/>
              <w:spacing w:before="0" w:after="283"/>
              <w:jc w:val="both"/>
              <w:rPr/>
            </w:pPr>
            <w:r>
              <w:rPr/>
              <w:t>To reflect the issuance of 3,323,536 shares to PIPE investors at $4.00 per share in exchange for total funding of $13,294,143. Of these, 323,536 shares are not yet registered and will be registered pursuant to a follow-on S-1 registration statement upon its effective date. Of the total funding, $1,456,500 represents the conversion of bridge loan principal and accrued interest that existed as of March 31, 2025 and the Company will receive additional $10,837,643 from the PIPE investors at Closing. In addition, the same PIPE investor issued Bridge loans II and III to the company on April 9, 2025 and May 7, 2025, respectively, for an aggregate principal amount of $1,000,000. As these bridge loans were also converted to equity, the principal amounts were included as cash received in the business combination for an aggregate amount of $11,837,643. The Company will also repaid $160,000 in interest and $1,600,000 in principal to certain bridge loan holders upon completion of the Business Combination.</w:t>
            </w:r>
          </w:p>
        </w:tc>
      </w:tr>
      <w:tr>
        <w:trPr/>
        <w:tc>
          <w:tcPr>
            <w:tcW w:w="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the conversion of all inception-to-date SAFE notes to permanent equity.</w:t>
            </w:r>
          </w:p>
        </w:tc>
      </w:tr>
      <w:tr>
        <w:trPr/>
        <w:tc>
          <w:tcPr>
            <w:tcW w:w="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the conversion of $900,000 ShoulderUp convertible notes into 150,000 shares of the Combined Company’s common stock.</w:t>
            </w:r>
          </w:p>
        </w:tc>
      </w:tr>
      <w:tr>
        <w:trPr/>
        <w:tc>
          <w:tcPr>
            <w:tcW w:w="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Eliminates the historical par value of See ID. The par value of the Combined Company Common Stock will be $0.0001 per share.</w:t>
            </w:r>
          </w:p>
        </w:tc>
      </w:tr>
      <w:tr>
        <w:trPr/>
        <w:tc>
          <w:tcPr>
            <w:tcW w:w="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reflect the settlement of Non-redemption and Assignment of Economic Interest Agreement upon the consummation of the Business Combination. </w:t>
            </w:r>
          </w:p>
        </w:tc>
      </w:tr>
      <w:tr>
        <w:trPr/>
        <w:tc>
          <w:tcPr>
            <w:tcW w:w="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w:t>
            </w:r>
          </w:p>
        </w:tc>
        <w:tc>
          <w:tcPr>
            <w:tcW w:w="9990" w:type="dxa"/>
            <w:tcBorders/>
            <w:vAlign w:val="center"/>
          </w:tcPr>
          <w:p>
            <w:pPr>
              <w:pStyle w:val="TableContents"/>
              <w:bidi w:val="0"/>
              <w:spacing w:before="0" w:after="283"/>
              <w:jc w:val="both"/>
              <w:rPr/>
            </w:pPr>
            <w:r>
              <w:rPr/>
              <w:t>To reflect the discharge of $600,000 in ShoulderUp receivable from the sponsor remaining after netting the $268,272 balance in due to related party pursuant to the forfeiture and cancellation by the sponsor at Closing of 40,000 private placement Units (40,000 shares and 20,000 warrants). The administrative services agreement between ShoulderUP and Sponsor was in the amount of $10,000 per month. As of March 31, 2025, the payable due to related party was $268,272. As of close on June 18, 2025 the related party payable amount was $298,272.</w:t>
            </w:r>
          </w:p>
        </w:tc>
      </w:tr>
      <w:tr>
        <w:trPr/>
        <w:tc>
          <w:tcPr>
            <w:tcW w:w="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the par value of shares of ShoulderUp Technology Capital Stock issued to the holders of the See ID Equity Securities for a total of 17,163,501 shares of the Combined Company Common Stock.</w:t>
            </w:r>
          </w:p>
        </w:tc>
      </w:tr>
      <w:tr>
        <w:trPr/>
        <w:tc>
          <w:tcPr>
            <w:tcW w:w="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the par value of 1,977,501 shares of Combined Company common stock transferred from ShoulderUp founders to various vendors as consideration for services rendered in connection with the business combination.</w:t>
            </w:r>
          </w:p>
        </w:tc>
      </w:tr>
      <w:tr>
        <w:trPr/>
        <w:tc>
          <w:tcPr>
            <w:tcW w:w="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the elimination of the historical accumulated deficit of ShoulderUp Technology, the accounting acquiree. The total equals to the sum of Note F, N, L and ShoulderUp's accumulative deficit of $18,293,070.</w:t>
            </w:r>
          </w:p>
        </w:tc>
      </w:tr>
      <w:tr>
        <w:trPr/>
        <w:tc>
          <w:tcPr>
            <w:tcW w:w="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Q</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Change of Control Payments (as defined in the Business Combination Agreement) paid to See ID executive officers at the Closing of the Business Combination.</w:t>
            </w:r>
          </w:p>
        </w:tc>
      </w:tr>
      <w:tr>
        <w:trPr/>
        <w:tc>
          <w:tcPr>
            <w:tcW w:w="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the transfer of 3,084,166 founder shares to See ID shareholders as additional merger consideration due to failure of SUAT to consummate a PIPE.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jc w:val="center"/>
        <w:rPr>
          <w:b/>
        </w:rPr>
      </w:pPr>
      <w:r>
        <w:rPr>
          <w:b/>
        </w:rPr>
        <w:t>UNAUDITED PRO FORMA CONDENSED COMBINED STATEMENT OF OPERATIONS</w:t>
      </w:r>
    </w:p>
    <w:p>
      <w:pPr>
        <w:pStyle w:val="TextBody"/>
        <w:bidi w:val="0"/>
        <w:jc w:val="center"/>
        <w:rPr>
          <w:b/>
        </w:rPr>
      </w:pPr>
      <w:r>
        <w:rPr>
          <w:b/>
        </w:rPr>
        <w:t>FOR THE THREE-MONTH PERIOD ENDED MARCH 31, 2025</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754"/>
        <w:gridCol w:w="60"/>
        <w:gridCol w:w="140"/>
        <w:gridCol w:w="1220"/>
        <w:gridCol w:w="95"/>
        <w:gridCol w:w="60"/>
        <w:gridCol w:w="224"/>
        <w:gridCol w:w="1767"/>
        <w:gridCol w:w="95"/>
        <w:gridCol w:w="60"/>
        <w:gridCol w:w="190"/>
        <w:gridCol w:w="1339"/>
        <w:gridCol w:w="95"/>
        <w:gridCol w:w="60"/>
        <w:gridCol w:w="185"/>
        <w:gridCol w:w="60"/>
        <w:gridCol w:w="190"/>
        <w:gridCol w:w="1498"/>
        <w:gridCol w:w="113"/>
      </w:tblGrid>
      <w:tr>
        <w:trPr/>
        <w:tc>
          <w:tcPr>
            <w:tcW w:w="27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See ID,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ShoulderUp Technology Acquisition Corporation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 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 Statement of Operaitons</w:t>
            </w:r>
          </w:p>
        </w:tc>
        <w:tc>
          <w:tcPr>
            <w:tcW w:w="113" w:type="dxa"/>
            <w:tcBorders/>
            <w:vAlign w:val="center"/>
          </w:tcPr>
          <w:p>
            <w:pPr>
              <w:pStyle w:val="TableContents"/>
              <w:bidi w:val="0"/>
              <w:spacing w:before="0" w:after="283"/>
              <w:jc w:val="left"/>
              <w:rPr/>
            </w:pPr>
            <w:r>
              <w:rPr/>
              <w:t> </w:t>
            </w:r>
          </w:p>
        </w:tc>
      </w:tr>
      <w:tr>
        <w:trPr/>
        <w:tc>
          <w:tcPr>
            <w:tcW w:w="2754"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352,498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7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3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498" w:type="dxa"/>
            <w:tcBorders/>
            <w:shd w:fill="CCEEFF" w:val="clear"/>
            <w:vAlign w:val="center"/>
          </w:tcPr>
          <w:p>
            <w:pPr>
              <w:pStyle w:val="TableContents"/>
              <w:bidi w:val="0"/>
              <w:spacing w:before="0" w:after="283"/>
              <w:jc w:val="right"/>
              <w:rPr/>
            </w:pPr>
            <w:r>
              <w:rPr/>
              <w:t>352,498</w:t>
            </w:r>
          </w:p>
        </w:tc>
        <w:tc>
          <w:tcPr>
            <w:tcW w:w="113" w:type="dxa"/>
            <w:tcBorders/>
            <w:shd w:fill="CCEEFF" w:val="clear"/>
            <w:vAlign w:val="center"/>
          </w:tcPr>
          <w:p>
            <w:pPr>
              <w:pStyle w:val="TableContents"/>
              <w:bidi w:val="0"/>
              <w:spacing w:before="0" w:after="283"/>
              <w:jc w:val="left"/>
              <w:rPr/>
            </w:pPr>
            <w:r>
              <w:rPr/>
              <w:t> </w:t>
            </w:r>
          </w:p>
        </w:tc>
      </w:tr>
      <w:tr>
        <w:trPr/>
        <w:tc>
          <w:tcPr>
            <w:tcW w:w="27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2754"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327,238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6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8" w:type="dxa"/>
            <w:tcBorders>
              <w:bottom w:val="single" w:sz="12" w:space="0" w:color="000000"/>
            </w:tcBorders>
            <w:shd w:fill="CCEEFF" w:val="clear"/>
            <w:tcMar>
              <w:bottom w:w="28" w:type="dxa"/>
            </w:tcMar>
            <w:vAlign w:val="center"/>
          </w:tcPr>
          <w:p>
            <w:pPr>
              <w:pStyle w:val="TableContents"/>
              <w:bidi w:val="0"/>
              <w:spacing w:before="0" w:after="283"/>
              <w:jc w:val="right"/>
              <w:rPr/>
            </w:pPr>
            <w:r>
              <w:rPr/>
              <w:t>327,238</w:t>
            </w:r>
          </w:p>
        </w:tc>
        <w:tc>
          <w:tcPr>
            <w:tcW w:w="113" w:type="dxa"/>
            <w:tcBorders/>
            <w:shd w:fill="CCEEFF" w:val="clear"/>
            <w:vAlign w:val="center"/>
          </w:tcPr>
          <w:p>
            <w:pPr>
              <w:pStyle w:val="TableContents"/>
              <w:bidi w:val="0"/>
              <w:spacing w:before="0" w:after="283"/>
              <w:jc w:val="left"/>
              <w:rPr/>
            </w:pPr>
            <w:r>
              <w:rPr/>
              <w:t> </w:t>
            </w:r>
          </w:p>
        </w:tc>
      </w:tr>
      <w:tr>
        <w:trPr/>
        <w:tc>
          <w:tcPr>
            <w:tcW w:w="2754"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25,260</w:t>
            </w:r>
          </w:p>
        </w:tc>
        <w:tc>
          <w:tcPr>
            <w:tcW w:w="113" w:type="dxa"/>
            <w:tcBorders/>
            <w:shd w:fill="FFFFFF" w:val="clear"/>
            <w:vAlign w:val="center"/>
          </w:tcPr>
          <w:p>
            <w:pPr>
              <w:pStyle w:val="TableContents"/>
              <w:bidi w:val="0"/>
              <w:spacing w:before="0" w:after="283"/>
              <w:jc w:val="left"/>
              <w:rPr/>
            </w:pPr>
            <w:r>
              <w:rPr/>
              <w:t> </w:t>
            </w:r>
          </w:p>
        </w:tc>
      </w:tr>
      <w:tr>
        <w:trPr/>
        <w:tc>
          <w:tcPr>
            <w:tcW w:w="2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2754"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2754"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484,482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484,482</w:t>
            </w:r>
          </w:p>
        </w:tc>
        <w:tc>
          <w:tcPr>
            <w:tcW w:w="113" w:type="dxa"/>
            <w:tcBorders/>
            <w:shd w:fill="CCEEFF" w:val="clear"/>
            <w:vAlign w:val="center"/>
          </w:tcPr>
          <w:p>
            <w:pPr>
              <w:pStyle w:val="TableContents"/>
              <w:bidi w:val="0"/>
              <w:spacing w:before="0" w:after="283"/>
              <w:jc w:val="left"/>
              <w:rPr/>
            </w:pPr>
            <w:r>
              <w:rPr/>
              <w:t> </w:t>
            </w:r>
          </w:p>
        </w:tc>
      </w:tr>
      <w:tr>
        <w:trPr/>
        <w:tc>
          <w:tcPr>
            <w:tcW w:w="2754"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748,513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pPr>
            <w:r>
              <w:rPr/>
              <w:t>301,511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1,050,024</w:t>
            </w:r>
          </w:p>
        </w:tc>
        <w:tc>
          <w:tcPr>
            <w:tcW w:w="113" w:type="dxa"/>
            <w:tcBorders/>
            <w:shd w:fill="FFFFFF" w:val="clear"/>
            <w:vAlign w:val="center"/>
          </w:tcPr>
          <w:p>
            <w:pPr>
              <w:pStyle w:val="TableContents"/>
              <w:bidi w:val="0"/>
              <w:spacing w:before="0" w:after="283"/>
              <w:jc w:val="left"/>
              <w:rPr/>
            </w:pPr>
            <w:r>
              <w:rPr/>
              <w:t> </w:t>
            </w:r>
          </w:p>
        </w:tc>
      </w:tr>
      <w:tr>
        <w:trPr/>
        <w:tc>
          <w:tcPr>
            <w:tcW w:w="2754"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528,526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528,526</w:t>
            </w:r>
          </w:p>
        </w:tc>
        <w:tc>
          <w:tcPr>
            <w:tcW w:w="113" w:type="dxa"/>
            <w:tcBorders/>
            <w:shd w:fill="CCEEFF" w:val="clear"/>
            <w:vAlign w:val="center"/>
          </w:tcPr>
          <w:p>
            <w:pPr>
              <w:pStyle w:val="TableContents"/>
              <w:bidi w:val="0"/>
              <w:spacing w:before="0" w:after="283"/>
              <w:jc w:val="left"/>
              <w:rPr/>
            </w:pPr>
            <w:r>
              <w:rPr/>
              <w:t> </w:t>
            </w:r>
          </w:p>
        </w:tc>
      </w:tr>
      <w:tr>
        <w:trPr/>
        <w:tc>
          <w:tcPr>
            <w:tcW w:w="2754" w:type="dxa"/>
            <w:tcBorders/>
            <w:shd w:fill="FFFFFF" w:val="clear"/>
            <w:vAlign w:val="center"/>
          </w:tcPr>
          <w:p>
            <w:pPr>
              <w:pStyle w:val="TableContents"/>
              <w:bidi w:val="0"/>
              <w:spacing w:before="0" w:after="283"/>
              <w:jc w:val="left"/>
              <w:rPr/>
            </w:pPr>
            <w:r>
              <w:rPr/>
              <w:t>Franchise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67" w:type="dxa"/>
            <w:tcBorders>
              <w:bottom w:val="single" w:sz="12" w:space="0" w:color="000000"/>
            </w:tcBorders>
            <w:shd w:fill="FFFFFF" w:val="clear"/>
            <w:tcMar>
              <w:bottom w:w="28" w:type="dxa"/>
            </w:tcMar>
            <w:vAlign w:val="center"/>
          </w:tcPr>
          <w:p>
            <w:pPr>
              <w:pStyle w:val="TableContents"/>
              <w:bidi w:val="0"/>
              <w:spacing w:before="0" w:after="283"/>
              <w:jc w:val="right"/>
              <w:rPr/>
            </w:pPr>
            <w:r>
              <w:rPr/>
              <w:t>15,800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98" w:type="dxa"/>
            <w:tcBorders>
              <w:bottom w:val="single" w:sz="12" w:space="0" w:color="000000"/>
            </w:tcBorders>
            <w:shd w:fill="FFFFFF" w:val="clear"/>
            <w:tcMar>
              <w:bottom w:w="28" w:type="dxa"/>
            </w:tcMar>
            <w:vAlign w:val="center"/>
          </w:tcPr>
          <w:p>
            <w:pPr>
              <w:pStyle w:val="TableContents"/>
              <w:bidi w:val="0"/>
              <w:spacing w:before="0" w:after="283"/>
              <w:jc w:val="right"/>
              <w:rPr/>
            </w:pPr>
            <w:r>
              <w:rPr/>
              <w:t>15,800</w:t>
            </w:r>
          </w:p>
        </w:tc>
        <w:tc>
          <w:tcPr>
            <w:tcW w:w="113" w:type="dxa"/>
            <w:tcBorders/>
            <w:shd w:fill="FFFFFF" w:val="clear"/>
            <w:vAlign w:val="center"/>
          </w:tcPr>
          <w:p>
            <w:pPr>
              <w:pStyle w:val="TableContents"/>
              <w:bidi w:val="0"/>
              <w:spacing w:before="0" w:after="283"/>
              <w:jc w:val="left"/>
              <w:rPr/>
            </w:pPr>
            <w:r>
              <w:rPr/>
              <w:t> </w:t>
            </w:r>
          </w:p>
        </w:tc>
      </w:tr>
      <w:tr>
        <w:trPr/>
        <w:tc>
          <w:tcPr>
            <w:tcW w:w="2754" w:type="dxa"/>
            <w:tcBorders/>
            <w:shd w:fill="CCEEFF" w:val="clear"/>
            <w:vAlign w:val="center"/>
          </w:tcPr>
          <w:p>
            <w:pPr>
              <w:pStyle w:val="TableContents"/>
              <w:bidi w:val="0"/>
              <w:spacing w:before="0" w:after="283"/>
              <w:jc w:val="left"/>
              <w:rPr/>
            </w:pPr>
            <w:r>
              <w:rPr/>
              <w:t>Total operating expenses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1,761,521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67" w:type="dxa"/>
            <w:tcBorders>
              <w:bottom w:val="single" w:sz="12" w:space="0" w:color="000000"/>
            </w:tcBorders>
            <w:shd w:fill="CCEEFF" w:val="clear"/>
            <w:tcMar>
              <w:bottom w:w="28" w:type="dxa"/>
            </w:tcMar>
            <w:vAlign w:val="center"/>
          </w:tcPr>
          <w:p>
            <w:pPr>
              <w:pStyle w:val="TableContents"/>
              <w:bidi w:val="0"/>
              <w:spacing w:before="0" w:after="283"/>
              <w:jc w:val="right"/>
              <w:rPr/>
            </w:pPr>
            <w:r>
              <w:rPr/>
              <w:t>317,311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8" w:type="dxa"/>
            <w:tcBorders>
              <w:bottom w:val="single" w:sz="12" w:space="0" w:color="000000"/>
            </w:tcBorders>
            <w:shd w:fill="CCEEFF" w:val="clear"/>
            <w:tcMar>
              <w:bottom w:w="28" w:type="dxa"/>
            </w:tcMar>
            <w:vAlign w:val="center"/>
          </w:tcPr>
          <w:p>
            <w:pPr>
              <w:pStyle w:val="TableContents"/>
              <w:bidi w:val="0"/>
              <w:spacing w:before="0" w:after="283"/>
              <w:jc w:val="right"/>
              <w:rPr/>
            </w:pPr>
            <w:r>
              <w:rPr/>
              <w:t>2,078,832</w:t>
            </w:r>
          </w:p>
        </w:tc>
        <w:tc>
          <w:tcPr>
            <w:tcW w:w="113" w:type="dxa"/>
            <w:tcBorders/>
            <w:shd w:fill="CCEEFF" w:val="clear"/>
            <w:vAlign w:val="center"/>
          </w:tcPr>
          <w:p>
            <w:pPr>
              <w:pStyle w:val="TableContents"/>
              <w:bidi w:val="0"/>
              <w:spacing w:before="0" w:after="283"/>
              <w:jc w:val="left"/>
              <w:rPr/>
            </w:pPr>
            <w:r>
              <w:rPr/>
              <w:t> </w:t>
            </w:r>
          </w:p>
        </w:tc>
      </w:tr>
      <w:tr>
        <w:trPr/>
        <w:tc>
          <w:tcPr>
            <w:tcW w:w="2754" w:type="dxa"/>
            <w:tcBorders/>
            <w:shd w:fill="FFFFFF" w:val="clear"/>
            <w:vAlign w:val="center"/>
          </w:tcPr>
          <w:p>
            <w:pPr>
              <w:pStyle w:val="TableContents"/>
              <w:bidi w:val="0"/>
              <w:spacing w:before="0" w:after="283"/>
              <w:jc w:val="left"/>
              <w:rPr/>
            </w:pPr>
            <w:r>
              <w:rPr/>
              <w:t>Income (loss)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(1,736,261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67" w:type="dxa"/>
            <w:tcBorders>
              <w:bottom w:val="single" w:sz="12" w:space="0" w:color="000000"/>
            </w:tcBorders>
            <w:shd w:fill="FFFFFF" w:val="clear"/>
            <w:tcMar>
              <w:bottom w:w="28" w:type="dxa"/>
            </w:tcMar>
            <w:vAlign w:val="center"/>
          </w:tcPr>
          <w:p>
            <w:pPr>
              <w:pStyle w:val="TableContents"/>
              <w:bidi w:val="0"/>
              <w:spacing w:before="0" w:after="283"/>
              <w:jc w:val="right"/>
              <w:rPr/>
            </w:pPr>
            <w:r>
              <w:rPr/>
              <w:t>(317,311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98" w:type="dxa"/>
            <w:tcBorders>
              <w:bottom w:val="single" w:sz="12" w:space="0" w:color="000000"/>
            </w:tcBorders>
            <w:shd w:fill="FFFFFF" w:val="clear"/>
            <w:tcMar>
              <w:bottom w:w="28" w:type="dxa"/>
            </w:tcMar>
            <w:vAlign w:val="center"/>
          </w:tcPr>
          <w:p>
            <w:pPr>
              <w:pStyle w:val="TableContents"/>
              <w:bidi w:val="0"/>
              <w:spacing w:before="0" w:after="283"/>
              <w:jc w:val="right"/>
              <w:rPr/>
            </w:pPr>
            <w:r>
              <w:rPr/>
              <w:t>(2,053,572</w:t>
            </w:r>
          </w:p>
        </w:tc>
        <w:tc>
          <w:tcPr>
            <w:tcW w:w="113" w:type="dxa"/>
            <w:tcBorders/>
            <w:shd w:fill="FFFFFF" w:val="clear"/>
            <w:vAlign w:val="center"/>
          </w:tcPr>
          <w:p>
            <w:pPr>
              <w:pStyle w:val="TableContents"/>
              <w:bidi w:val="0"/>
              <w:spacing w:before="0" w:after="283"/>
              <w:jc w:val="left"/>
              <w:rPr/>
            </w:pPr>
            <w:r>
              <w:rPr/>
              <w:t>)</w:t>
            </w:r>
          </w:p>
        </w:tc>
      </w:tr>
      <w:tr>
        <w:trPr/>
        <w:tc>
          <w:tcPr>
            <w:tcW w:w="2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2754" w:type="dxa"/>
            <w:tcBorders/>
            <w:shd w:fill="FFFFFF" w:val="clear"/>
            <w:vAlign w:val="center"/>
          </w:tcPr>
          <w:p>
            <w:pPr>
              <w:pStyle w:val="TableContents"/>
              <w:bidi w:val="0"/>
              <w:spacing w:before="0" w:after="283"/>
              <w:jc w:val="left"/>
              <w:rPr/>
            </w:pPr>
            <w:r>
              <w:rPr/>
              <w:t>Other income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2754" w:type="dxa"/>
            <w:tcBorders/>
            <w:shd w:fill="CCEEFF" w:val="clear"/>
            <w:vAlign w:val="center"/>
          </w:tcPr>
          <w:p>
            <w:pPr>
              <w:pStyle w:val="TableContents"/>
              <w:bidi w:val="0"/>
              <w:spacing w:before="0" w:after="283"/>
              <w:jc w:val="left"/>
              <w:rPr/>
            </w:pPr>
            <w:r>
              <w:rPr/>
              <w:t>Interest income from operating account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right"/>
              <w:rPr/>
            </w:pPr>
            <w:r>
              <w:rPr/>
              <w:t>2,758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2,758</w:t>
            </w:r>
          </w:p>
        </w:tc>
        <w:tc>
          <w:tcPr>
            <w:tcW w:w="113" w:type="dxa"/>
            <w:tcBorders/>
            <w:shd w:fill="CCEEFF" w:val="clear"/>
            <w:vAlign w:val="center"/>
          </w:tcPr>
          <w:p>
            <w:pPr>
              <w:pStyle w:val="TableContents"/>
              <w:bidi w:val="0"/>
              <w:spacing w:before="0" w:after="283"/>
              <w:jc w:val="left"/>
              <w:rPr/>
            </w:pPr>
            <w:r>
              <w:rPr/>
              <w:t> </w:t>
            </w:r>
          </w:p>
        </w:tc>
      </w:tr>
      <w:tr>
        <w:trPr/>
        <w:tc>
          <w:tcPr>
            <w:tcW w:w="2754" w:type="dxa"/>
            <w:tcBorders/>
            <w:shd w:fill="FFFFFF" w:val="clear"/>
            <w:vAlign w:val="center"/>
          </w:tcPr>
          <w:p>
            <w:pPr>
              <w:pStyle w:val="TableContents"/>
              <w:bidi w:val="0"/>
              <w:spacing w:before="0" w:after="283"/>
              <w:jc w:val="left"/>
              <w:rPr/>
            </w:pPr>
            <w:r>
              <w:rPr/>
              <w:t>Interest and penalties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pPr>
            <w:r>
              <w:rPr/>
              <w:t>(489,351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(489,351</w:t>
            </w:r>
          </w:p>
        </w:tc>
        <w:tc>
          <w:tcPr>
            <w:tcW w:w="113" w:type="dxa"/>
            <w:tcBorders/>
            <w:shd w:fill="FFFFFF" w:val="clear"/>
            <w:vAlign w:val="center"/>
          </w:tcPr>
          <w:p>
            <w:pPr>
              <w:pStyle w:val="TableContents"/>
              <w:bidi w:val="0"/>
              <w:spacing w:before="0" w:after="283"/>
              <w:jc w:val="left"/>
              <w:rPr/>
            </w:pPr>
            <w:r>
              <w:rPr/>
              <w:t>)</w:t>
            </w:r>
          </w:p>
        </w:tc>
      </w:tr>
      <w:tr>
        <w:trPr/>
        <w:tc>
          <w:tcPr>
            <w:tcW w:w="2754" w:type="dxa"/>
            <w:tcBorders/>
            <w:shd w:fill="CCEEFF" w:val="clear"/>
            <w:vAlign w:val="center"/>
          </w:tcPr>
          <w:p>
            <w:pPr>
              <w:pStyle w:val="TableContents"/>
              <w:bidi w:val="0"/>
              <w:spacing w:before="0" w:after="283"/>
              <w:jc w:val="left"/>
              <w:rPr/>
            </w:pPr>
            <w:r>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right"/>
              <w:rPr/>
            </w:pPr>
            <w:r>
              <w:rPr/>
              <w:t>(3,712,427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3,712,427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center"/>
              <w:rPr>
                <w:b/>
              </w:rPr>
            </w:pPr>
            <w:r>
              <w:rPr>
                <w:b/>
              </w:rPr>
              <w:t>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2754" w:type="dxa"/>
            <w:tcBorders/>
            <w:shd w:fill="FFFFFF" w:val="clear"/>
            <w:vAlign w:val="center"/>
          </w:tcPr>
          <w:p>
            <w:pPr>
              <w:pStyle w:val="TableContents"/>
              <w:bidi w:val="0"/>
              <w:spacing w:before="0" w:after="283"/>
              <w:jc w:val="left"/>
              <w:rPr/>
            </w:pPr>
            <w:r>
              <w:rPr/>
              <w:t>Income from cash and investments held in trust account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pPr>
            <w:r>
              <w:rPr/>
              <w:t>28,349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(28,349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center"/>
              <w:rPr>
                <w:b/>
              </w:rPr>
            </w:pPr>
            <w:r>
              <w:rPr>
                <w:b/>
              </w:rPr>
              <w:t>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2754"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(160,000</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2754" w:type="dxa"/>
            <w:tcBorders/>
            <w:shd w:fill="FFFFFF" w:val="clear"/>
            <w:vAlign w:val="center"/>
          </w:tcPr>
          <w:p>
            <w:pPr>
              <w:pStyle w:val="TableContents"/>
              <w:bidi w:val="0"/>
              <w:spacing w:before="0" w:after="283"/>
              <w:jc w:val="left"/>
              <w:rPr/>
            </w:pPr>
            <w:r>
              <w:rPr/>
              <w:t>Change in fair value of SAFE agreements ITD Q2-2024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611,703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6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FFFFFF" w:val="clear"/>
            <w:tcMar>
              <w:bottom w:w="28" w:type="dxa"/>
            </w:tcMar>
            <w:vAlign w:val="center"/>
          </w:tcPr>
          <w:p>
            <w:pPr>
              <w:pStyle w:val="TableContents"/>
              <w:bidi w:val="0"/>
              <w:spacing w:before="0" w:after="283"/>
              <w:jc w:val="right"/>
              <w:rPr/>
            </w:pPr>
            <w:r>
              <w:rPr/>
              <w:t>(611,703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center"/>
              <w:rPr>
                <w:b/>
              </w:rPr>
            </w:pPr>
            <w:r>
              <w:rPr>
                <w:b/>
              </w:rPr>
              <w:t>u</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9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2754" w:type="dxa"/>
            <w:tcBorders/>
            <w:shd w:fill="CCEEFF" w:val="clear"/>
            <w:vAlign w:val="center"/>
          </w:tcPr>
          <w:p>
            <w:pPr>
              <w:pStyle w:val="TableContents"/>
              <w:bidi w:val="0"/>
              <w:spacing w:before="0" w:after="283"/>
              <w:jc w:val="left"/>
              <w:rPr/>
            </w:pPr>
            <w:r>
              <w:rPr/>
              <w:t>Total other income (loss),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451,703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right"/>
              <w:rPr/>
            </w:pPr>
            <w:r>
              <w:rPr/>
              <w:t>(4,170,671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3,072,375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(646,593</w:t>
            </w:r>
          </w:p>
        </w:tc>
        <w:tc>
          <w:tcPr>
            <w:tcW w:w="113" w:type="dxa"/>
            <w:tcBorders/>
            <w:shd w:fill="CCEEFF" w:val="clear"/>
            <w:vAlign w:val="center"/>
          </w:tcPr>
          <w:p>
            <w:pPr>
              <w:pStyle w:val="TableContents"/>
              <w:bidi w:val="0"/>
              <w:spacing w:before="0" w:after="283"/>
              <w:jc w:val="left"/>
              <w:rPr/>
            </w:pPr>
            <w:r>
              <w:rPr/>
              <w:t>)</w:t>
            </w:r>
          </w:p>
        </w:tc>
      </w:tr>
      <w:tr>
        <w:trPr/>
        <w:tc>
          <w:tcPr>
            <w:tcW w:w="27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2754" w:type="dxa"/>
            <w:tcBorders/>
            <w:shd w:fill="CCEEFF" w:val="clear"/>
            <w:vAlign w:val="center"/>
          </w:tcPr>
          <w:p>
            <w:pPr>
              <w:pStyle w:val="TableContents"/>
              <w:bidi w:val="0"/>
              <w:spacing w:before="0" w:after="283"/>
              <w:jc w:val="left"/>
              <w:rPr/>
            </w:pPr>
            <w:r>
              <w:rPr/>
              <w:t>Net income (loss)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(1,284,558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right"/>
              <w:rPr/>
            </w:pPr>
            <w:r>
              <w:rPr/>
              <w:t>(4,487,982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3,072,375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(2,700,165</w:t>
            </w:r>
          </w:p>
        </w:tc>
        <w:tc>
          <w:tcPr>
            <w:tcW w:w="113" w:type="dxa"/>
            <w:tcBorders/>
            <w:shd w:fill="CCEEFF" w:val="clear"/>
            <w:vAlign w:val="center"/>
          </w:tcPr>
          <w:p>
            <w:pPr>
              <w:pStyle w:val="TableContents"/>
              <w:bidi w:val="0"/>
              <w:spacing w:before="0" w:after="283"/>
              <w:jc w:val="left"/>
              <w:rPr/>
            </w:pPr>
            <w:r>
              <w:rPr/>
              <w:t>)</w:t>
            </w:r>
          </w:p>
        </w:tc>
      </w:tr>
      <w:tr>
        <w:trPr/>
        <w:tc>
          <w:tcPr>
            <w:tcW w:w="2754"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pPr>
            <w:r>
              <w:rPr/>
              <w:t>(3,214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3,214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center"/>
              <w:rPr>
                <w:b/>
              </w:rPr>
            </w:pPr>
            <w:r>
              <w:rPr>
                <w:b/>
              </w:rPr>
              <w:t>u</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2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6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2754" w:type="dxa"/>
            <w:tcBorders/>
            <w:shd w:fill="FFFFFF" w:val="clear"/>
            <w:vAlign w:val="center"/>
          </w:tcPr>
          <w:p>
            <w:pPr>
              <w:pStyle w:val="TableContents"/>
              <w:bidi w:val="0"/>
              <w:spacing w:before="0" w:after="283"/>
              <w:jc w:val="left"/>
              <w:rPr>
                <w:b/>
              </w:rPr>
            </w:pPr>
            <w:r>
              <w:rPr>
                <w:b/>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(1,284,558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767" w:type="dxa"/>
            <w:tcBorders>
              <w:bottom w:val="double" w:sz="10" w:space="0" w:color="000000"/>
            </w:tcBorders>
            <w:shd w:fill="FFFFFF" w:val="clear"/>
            <w:tcMar>
              <w:bottom w:w="28" w:type="dxa"/>
            </w:tcMar>
            <w:vAlign w:val="center"/>
          </w:tcPr>
          <w:p>
            <w:pPr>
              <w:pStyle w:val="TableContents"/>
              <w:bidi w:val="0"/>
              <w:spacing w:before="0" w:after="283"/>
              <w:jc w:val="right"/>
              <w:rPr/>
            </w:pPr>
            <w:r>
              <w:rPr/>
              <w:t>(4,491,196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39" w:type="dxa"/>
            <w:tcBorders>
              <w:bottom w:val="double" w:sz="10" w:space="0" w:color="000000"/>
            </w:tcBorders>
            <w:shd w:fill="FFFFFF" w:val="clear"/>
            <w:tcMar>
              <w:bottom w:w="28" w:type="dxa"/>
            </w:tcMar>
            <w:vAlign w:val="center"/>
          </w:tcPr>
          <w:p>
            <w:pPr>
              <w:pStyle w:val="TableContents"/>
              <w:bidi w:val="0"/>
              <w:spacing w:before="0" w:after="283"/>
              <w:jc w:val="right"/>
              <w:rPr/>
            </w:pPr>
            <w:r>
              <w:rPr/>
              <w:t>3,075,589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98" w:type="dxa"/>
            <w:tcBorders>
              <w:bottom w:val="double" w:sz="10" w:space="0" w:color="000000"/>
            </w:tcBorders>
            <w:shd w:fill="FFFFFF" w:val="clear"/>
            <w:tcMar>
              <w:bottom w:w="28" w:type="dxa"/>
            </w:tcMar>
            <w:vAlign w:val="center"/>
          </w:tcPr>
          <w:p>
            <w:pPr>
              <w:pStyle w:val="TableContents"/>
              <w:bidi w:val="0"/>
              <w:spacing w:before="0" w:after="283"/>
              <w:jc w:val="right"/>
              <w:rPr/>
            </w:pPr>
            <w:r>
              <w:rPr/>
              <w:t>(2,700,165</w:t>
            </w:r>
          </w:p>
        </w:tc>
        <w:tc>
          <w:tcPr>
            <w:tcW w:w="113" w:type="dxa"/>
            <w:tcBorders/>
            <w:shd w:fill="FFFFFF" w:val="clear"/>
            <w:vAlign w:val="center"/>
          </w:tcPr>
          <w:p>
            <w:pPr>
              <w:pStyle w:val="TableContents"/>
              <w:bidi w:val="0"/>
              <w:spacing w:before="0" w:after="283"/>
              <w:jc w:val="left"/>
              <w:rPr/>
            </w:pPr>
            <w:r>
              <w:rPr/>
              <w:t>)</w:t>
            </w:r>
          </w:p>
        </w:tc>
      </w:tr>
      <w:tr>
        <w:trPr/>
        <w:tc>
          <w:tcPr>
            <w:tcW w:w="2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2754" w:type="dxa"/>
            <w:tcBorders/>
            <w:shd w:fill="FFFFFF" w:val="clear"/>
            <w:vAlign w:val="center"/>
          </w:tcPr>
          <w:p>
            <w:pPr>
              <w:pStyle w:val="TableContents"/>
              <w:bidi w:val="0"/>
              <w:spacing w:before="0" w:after="283"/>
              <w:jc w:val="left"/>
              <w:rPr/>
            </w:pPr>
            <w:r>
              <w:rPr/>
              <w:t>Weighted average Combined Company Common Stock shares outstanding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26,484,553</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2754" w:type="dxa"/>
            <w:tcBorders/>
            <w:shd w:fill="CCEEFF" w:val="clear"/>
            <w:vAlign w:val="center"/>
          </w:tcPr>
          <w:p>
            <w:pPr>
              <w:pStyle w:val="TableContents"/>
              <w:bidi w:val="0"/>
              <w:spacing w:before="0" w:after="283"/>
              <w:jc w:val="left"/>
              <w:rPr/>
            </w:pPr>
            <w:r>
              <w:rPr/>
              <w:t>Net loss per Combined Company Common Stock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498" w:type="dxa"/>
            <w:tcBorders/>
            <w:shd w:fill="CCEEFF" w:val="clear"/>
            <w:vAlign w:val="center"/>
          </w:tcPr>
          <w:p>
            <w:pPr>
              <w:pStyle w:val="TableContents"/>
              <w:bidi w:val="0"/>
              <w:spacing w:before="0" w:after="283"/>
              <w:jc w:val="right"/>
              <w:rPr/>
            </w:pPr>
            <w:r>
              <w:rPr/>
              <w:t>(0.10</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2754" w:type="dxa"/>
            <w:tcBorders/>
            <w:shd w:fill="FFFFFF" w:val="clear"/>
            <w:vAlign w:val="center"/>
          </w:tcPr>
          <w:p>
            <w:pPr>
              <w:pStyle w:val="TableContents"/>
              <w:bidi w:val="0"/>
              <w:spacing w:before="0" w:after="283"/>
              <w:jc w:val="left"/>
              <w:rPr/>
            </w:pPr>
            <w:r>
              <w:rPr/>
              <w:t>Weighted average See ID Common Stock shares outstanding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108,975,000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2754" w:type="dxa"/>
            <w:tcBorders/>
            <w:shd w:fill="CCEEFF" w:val="clear"/>
            <w:vAlign w:val="center"/>
          </w:tcPr>
          <w:p>
            <w:pPr>
              <w:pStyle w:val="TableContents"/>
              <w:bidi w:val="0"/>
              <w:spacing w:before="0" w:after="283"/>
              <w:jc w:val="left"/>
              <w:rPr/>
            </w:pPr>
            <w:r>
              <w:rPr/>
              <w:t>Net loss per See ID Common Stock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2754" w:type="dxa"/>
            <w:tcBorders/>
            <w:shd w:fill="FFFFFF" w:val="clear"/>
            <w:vAlign w:val="center"/>
          </w:tcPr>
          <w:p>
            <w:pPr>
              <w:pStyle w:val="TableContents"/>
              <w:bidi w:val="0"/>
              <w:spacing w:before="0" w:after="283"/>
              <w:jc w:val="left"/>
              <w:rPr/>
            </w:pPr>
            <w:r>
              <w:rPr/>
              <w:t>Weighted average shares outstanding of Class A common stock,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pPr>
            <w:r>
              <w:rPr/>
              <w:t>507,475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2754" w:type="dxa"/>
            <w:tcBorders/>
            <w:shd w:fill="CCEEFF" w:val="clear"/>
            <w:vAlign w:val="center"/>
          </w:tcPr>
          <w:p>
            <w:pPr>
              <w:pStyle w:val="TableContents"/>
              <w:bidi w:val="0"/>
              <w:spacing w:before="0" w:after="283"/>
              <w:jc w:val="left"/>
              <w:rPr/>
            </w:pPr>
            <w:r>
              <w:rPr/>
              <w:t>Basic and diluted net income per share,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767" w:type="dxa"/>
            <w:tcBorders/>
            <w:shd w:fill="CCEEFF" w:val="clear"/>
            <w:vAlign w:val="center"/>
          </w:tcPr>
          <w:p>
            <w:pPr>
              <w:pStyle w:val="TableContents"/>
              <w:bidi w:val="0"/>
              <w:spacing w:before="0" w:after="283"/>
              <w:jc w:val="right"/>
              <w:rPr/>
            </w:pPr>
            <w:r>
              <w:rPr/>
              <w:t>(0.36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2754" w:type="dxa"/>
            <w:tcBorders/>
            <w:shd w:fill="FFFFFF" w:val="clear"/>
            <w:vAlign w:val="center"/>
          </w:tcPr>
          <w:p>
            <w:pPr>
              <w:pStyle w:val="TableContents"/>
              <w:bidi w:val="0"/>
              <w:spacing w:before="0" w:after="283"/>
              <w:jc w:val="left"/>
              <w:rPr/>
            </w:pPr>
            <w:r>
              <w:rPr/>
              <w:t>Weighted average shares outstanding of Class B common stock,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pPr>
            <w:r>
              <w:rPr/>
              <w:t>11,800,000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2754" w:type="dxa"/>
            <w:tcBorders/>
            <w:shd w:fill="CCEEFF" w:val="clear"/>
            <w:vAlign w:val="center"/>
          </w:tcPr>
          <w:p>
            <w:pPr>
              <w:pStyle w:val="TableContents"/>
              <w:bidi w:val="0"/>
              <w:spacing w:before="0" w:after="283"/>
              <w:jc w:val="left"/>
              <w:rPr/>
            </w:pPr>
            <w:r>
              <w:rPr/>
              <w:t>Basic and diluted net income per share, Convertible Class B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767" w:type="dxa"/>
            <w:tcBorders/>
            <w:shd w:fill="CCEEFF" w:val="clear"/>
            <w:vAlign w:val="center"/>
          </w:tcPr>
          <w:p>
            <w:pPr>
              <w:pStyle w:val="TableContents"/>
              <w:bidi w:val="0"/>
              <w:spacing w:before="0" w:after="283"/>
              <w:jc w:val="right"/>
              <w:rPr/>
            </w:pPr>
            <w:r>
              <w:rPr/>
              <w:t>(0.36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055" w:type="dxa"/>
        <w:jc w:val="left"/>
        <w:tblInd w:w="0" w:type="dxa"/>
        <w:tblLayout w:type="fixed"/>
        <w:tblCellMar>
          <w:top w:w="0" w:type="dxa"/>
          <w:left w:w="0" w:type="dxa"/>
          <w:bottom w:w="0" w:type="dxa"/>
          <w:right w:w="0" w:type="dxa"/>
        </w:tblCellMar>
      </w:tblPr>
      <w:tblGrid>
        <w:gridCol w:w="6920"/>
        <w:gridCol w:w="60"/>
        <w:gridCol w:w="75"/>
      </w:tblGrid>
      <w:tr>
        <w:trPr/>
        <w:tc>
          <w:tcPr>
            <w:tcW w:w="6920" w:type="dxa"/>
            <w:tcBorders/>
            <w:vAlign w:val="center"/>
          </w:tcPr>
          <w:p>
            <w:pPr>
              <w:pStyle w:val="TableContents"/>
              <w:bidi w:val="0"/>
              <w:spacing w:before="0" w:after="283"/>
              <w:jc w:val="left"/>
              <w:rPr>
                <w:b/>
                <w:sz w:val="20"/>
              </w:rPr>
            </w:pPr>
            <w:r>
              <w:rPr>
                <w:b/>
                <w:sz w:val="20"/>
              </w:rPr>
              <w:t>Notes to the unaudited Pro Forma Condensed Combined Statements of Operations</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Reflects the reversal of the fair value adjustment on ShoulderUp Technology's Non-redemption agreements derivative liability as the agreements are considered fulfilled as if the Business Combination is considered effective on January 1, 2025.</w:t>
            </w:r>
          </w:p>
        </w:tc>
      </w:tr>
      <w:tr>
        <w:trPr/>
        <w:tc>
          <w:tcPr>
            <w:tcW w:w="1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the elimination of investment income related to the investments in the ShouderUp Technology Trust Account as of the beginning of the period and the corresponding income tax expense.</w:t>
            </w:r>
          </w:p>
        </w:tc>
      </w:tr>
      <w:tr>
        <w:trPr/>
        <w:tc>
          <w:tcPr>
            <w:tcW w:w="1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Reflects the reversal of the fair value adjustment on See ID SAFE notes as of March 31, 2025 as the notes are considered converted into the common stock of See ID as of the beginning of the Business Combination considered effective on January 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 the YEAR Ended December 31, 2024</w:t>
      </w:r>
    </w:p>
    <w:p>
      <w:pPr>
        <w:pStyle w:val="TextBody"/>
        <w:bidi w:val="0"/>
        <w:spacing w:before="0" w:after="0"/>
        <w:ind w:left="0" w:right="0" w:hanging="0"/>
        <w:jc w:val="left"/>
        <w:rPr/>
      </w:pPr>
      <w:r>
        <w:rPr>
          <w:caps w:val="false"/>
          <w:smallCaps w:val="false"/>
        </w:rPr>
        <w:t> </w:t>
      </w:r>
      <w:r>
        <w:rPr/>
        <w:t xml:space="preserve"> </w:t>
      </w:r>
    </w:p>
    <w:tbl>
      <w:tblPr>
        <w:tblW w:w="10205" w:type="dxa"/>
        <w:jc w:val="left"/>
        <w:tblInd w:w="0" w:type="dxa"/>
        <w:tblLayout w:type="fixed"/>
        <w:tblCellMar>
          <w:top w:w="0" w:type="dxa"/>
          <w:left w:w="0" w:type="dxa"/>
          <w:bottom w:w="0" w:type="dxa"/>
          <w:right w:w="0" w:type="dxa"/>
        </w:tblCellMar>
      </w:tblPr>
      <w:tblGrid>
        <w:gridCol w:w="2716"/>
        <w:gridCol w:w="60"/>
        <w:gridCol w:w="140"/>
        <w:gridCol w:w="1220"/>
        <w:gridCol w:w="95"/>
        <w:gridCol w:w="60"/>
        <w:gridCol w:w="222"/>
        <w:gridCol w:w="1750"/>
        <w:gridCol w:w="95"/>
        <w:gridCol w:w="60"/>
        <w:gridCol w:w="170"/>
        <w:gridCol w:w="1352"/>
        <w:gridCol w:w="95"/>
        <w:gridCol w:w="60"/>
        <w:gridCol w:w="260"/>
        <w:gridCol w:w="60"/>
        <w:gridCol w:w="189"/>
        <w:gridCol w:w="1487"/>
        <w:gridCol w:w="114"/>
      </w:tblGrid>
      <w:tr>
        <w:trPr/>
        <w:tc>
          <w:tcPr>
            <w:tcW w:w="27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See ID,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ShoulderUp Technology Acquisition Corporation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 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 Statement of Operaitons</w:t>
            </w:r>
          </w:p>
        </w:tc>
        <w:tc>
          <w:tcPr>
            <w:tcW w:w="114" w:type="dxa"/>
            <w:tcBorders/>
            <w:vAlign w:val="center"/>
          </w:tcPr>
          <w:p>
            <w:pPr>
              <w:pStyle w:val="TableContents"/>
              <w:bidi w:val="0"/>
              <w:spacing w:before="0" w:after="283"/>
              <w:jc w:val="left"/>
              <w:rPr/>
            </w:pPr>
            <w:r>
              <w:rPr/>
              <w:t> </w:t>
            </w:r>
          </w:p>
        </w:tc>
      </w:tr>
      <w:tr>
        <w:trPr/>
        <w:tc>
          <w:tcPr>
            <w:tcW w:w="2716"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172,661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7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487" w:type="dxa"/>
            <w:tcBorders/>
            <w:shd w:fill="CCEEFF" w:val="clear"/>
            <w:vAlign w:val="center"/>
          </w:tcPr>
          <w:p>
            <w:pPr>
              <w:pStyle w:val="TableContents"/>
              <w:bidi w:val="0"/>
              <w:spacing w:before="0" w:after="283"/>
              <w:jc w:val="right"/>
              <w:rPr/>
            </w:pPr>
            <w:r>
              <w:rPr/>
              <w:t>172,661</w:t>
            </w:r>
          </w:p>
        </w:tc>
        <w:tc>
          <w:tcPr>
            <w:tcW w:w="114" w:type="dxa"/>
            <w:tcBorders/>
            <w:shd w:fill="CCEEFF" w:val="clear"/>
            <w:vAlign w:val="center"/>
          </w:tcPr>
          <w:p>
            <w:pPr>
              <w:pStyle w:val="TableContents"/>
              <w:bidi w:val="0"/>
              <w:spacing w:before="0" w:after="283"/>
              <w:jc w:val="left"/>
              <w:rPr/>
            </w:pPr>
            <w:r>
              <w:rPr/>
              <w:t> </w:t>
            </w:r>
          </w:p>
        </w:tc>
      </w:tr>
      <w:tr>
        <w:trPr/>
        <w:tc>
          <w:tcPr>
            <w:tcW w:w="27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7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716"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343,889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87" w:type="dxa"/>
            <w:tcBorders>
              <w:bottom w:val="single" w:sz="12" w:space="0" w:color="000000"/>
            </w:tcBorders>
            <w:shd w:fill="CCEEFF" w:val="clear"/>
            <w:tcMar>
              <w:bottom w:w="28" w:type="dxa"/>
            </w:tcMar>
            <w:vAlign w:val="center"/>
          </w:tcPr>
          <w:p>
            <w:pPr>
              <w:pStyle w:val="TableContents"/>
              <w:bidi w:val="0"/>
              <w:spacing w:before="0" w:after="283"/>
              <w:jc w:val="right"/>
              <w:rPr/>
            </w:pPr>
            <w:r>
              <w:rPr/>
              <w:t>343,889</w:t>
            </w:r>
          </w:p>
        </w:tc>
        <w:tc>
          <w:tcPr>
            <w:tcW w:w="114" w:type="dxa"/>
            <w:tcBorders/>
            <w:shd w:fill="CCEEFF" w:val="clear"/>
            <w:vAlign w:val="center"/>
          </w:tcPr>
          <w:p>
            <w:pPr>
              <w:pStyle w:val="TableContents"/>
              <w:bidi w:val="0"/>
              <w:spacing w:before="0" w:after="283"/>
              <w:jc w:val="left"/>
              <w:rPr/>
            </w:pPr>
            <w:r>
              <w:rPr/>
              <w:t> </w:t>
            </w:r>
          </w:p>
        </w:tc>
      </w:tr>
      <w:tr>
        <w:trPr/>
        <w:tc>
          <w:tcPr>
            <w:tcW w:w="2716"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(171,228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75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pPr>
            <w:r>
              <w:rPr/>
              <w:t>(171,228</w:t>
            </w:r>
          </w:p>
        </w:tc>
        <w:tc>
          <w:tcPr>
            <w:tcW w:w="114" w:type="dxa"/>
            <w:tcBorders/>
            <w:shd w:fill="FFFFFF" w:val="clear"/>
            <w:vAlign w:val="center"/>
          </w:tcPr>
          <w:p>
            <w:pPr>
              <w:pStyle w:val="TableContents"/>
              <w:bidi w:val="0"/>
              <w:spacing w:before="0" w:after="283"/>
              <w:jc w:val="left"/>
              <w:rPr/>
            </w:pPr>
            <w:r>
              <w:rPr/>
              <w:t>)</w:t>
            </w:r>
          </w:p>
        </w:tc>
      </w:tr>
      <w:tr>
        <w:trPr/>
        <w:tc>
          <w:tcPr>
            <w:tcW w:w="27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716"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7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716"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2,524,930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pPr>
            <w:r>
              <w:rPr/>
              <w:t>2,524,930</w:t>
            </w:r>
          </w:p>
        </w:tc>
        <w:tc>
          <w:tcPr>
            <w:tcW w:w="114" w:type="dxa"/>
            <w:tcBorders/>
            <w:shd w:fill="CCEEFF" w:val="clear"/>
            <w:vAlign w:val="center"/>
          </w:tcPr>
          <w:p>
            <w:pPr>
              <w:pStyle w:val="TableContents"/>
              <w:bidi w:val="0"/>
              <w:spacing w:before="0" w:after="283"/>
              <w:jc w:val="left"/>
              <w:rPr/>
            </w:pPr>
            <w:r>
              <w:rPr/>
              <w:t> </w:t>
            </w:r>
          </w:p>
        </w:tc>
      </w:tr>
      <w:tr>
        <w:trPr/>
        <w:tc>
          <w:tcPr>
            <w:tcW w:w="2716"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3,588,548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750" w:type="dxa"/>
            <w:tcBorders/>
            <w:shd w:fill="FFFFFF" w:val="clear"/>
            <w:vAlign w:val="center"/>
          </w:tcPr>
          <w:p>
            <w:pPr>
              <w:pStyle w:val="TableContents"/>
              <w:bidi w:val="0"/>
              <w:spacing w:before="0" w:after="283"/>
              <w:jc w:val="right"/>
              <w:rPr/>
            </w:pPr>
            <w:r>
              <w:rPr/>
              <w:t>1,278,781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pPr>
            <w:r>
              <w:rPr/>
              <w:t>4,867,329</w:t>
            </w:r>
          </w:p>
        </w:tc>
        <w:tc>
          <w:tcPr>
            <w:tcW w:w="114" w:type="dxa"/>
            <w:tcBorders/>
            <w:shd w:fill="FFFFFF" w:val="clear"/>
            <w:vAlign w:val="center"/>
          </w:tcPr>
          <w:p>
            <w:pPr>
              <w:pStyle w:val="TableContents"/>
              <w:bidi w:val="0"/>
              <w:spacing w:before="0" w:after="283"/>
              <w:jc w:val="left"/>
              <w:rPr/>
            </w:pPr>
            <w:r>
              <w:rPr/>
              <w:t> </w:t>
            </w:r>
          </w:p>
        </w:tc>
      </w:tr>
      <w:tr>
        <w:trPr/>
        <w:tc>
          <w:tcPr>
            <w:tcW w:w="2716"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759,967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pPr>
            <w:r>
              <w:rPr/>
              <w:t>759,967</w:t>
            </w:r>
          </w:p>
        </w:tc>
        <w:tc>
          <w:tcPr>
            <w:tcW w:w="114" w:type="dxa"/>
            <w:tcBorders/>
            <w:shd w:fill="CCEEFF" w:val="clear"/>
            <w:vAlign w:val="center"/>
          </w:tcPr>
          <w:p>
            <w:pPr>
              <w:pStyle w:val="TableContents"/>
              <w:bidi w:val="0"/>
              <w:spacing w:before="0" w:after="283"/>
              <w:jc w:val="left"/>
              <w:rPr/>
            </w:pPr>
            <w:r>
              <w:rPr/>
              <w:t> </w:t>
            </w:r>
          </w:p>
        </w:tc>
      </w:tr>
      <w:tr>
        <w:trPr/>
        <w:tc>
          <w:tcPr>
            <w:tcW w:w="2716" w:type="dxa"/>
            <w:tcBorders/>
            <w:shd w:fill="FFFFFF" w:val="clear"/>
            <w:vAlign w:val="center"/>
          </w:tcPr>
          <w:p>
            <w:pPr>
              <w:pStyle w:val="TableContents"/>
              <w:bidi w:val="0"/>
              <w:spacing w:before="0" w:after="283"/>
              <w:jc w:val="left"/>
              <w:rPr/>
            </w:pPr>
            <w:r>
              <w:rPr/>
              <w:t>Franchise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50" w:type="dxa"/>
            <w:tcBorders>
              <w:bottom w:val="single" w:sz="12" w:space="0" w:color="000000"/>
            </w:tcBorders>
            <w:shd w:fill="FFFFFF" w:val="clear"/>
            <w:tcMar>
              <w:bottom w:w="28" w:type="dxa"/>
            </w:tcMar>
            <w:vAlign w:val="center"/>
          </w:tcPr>
          <w:p>
            <w:pPr>
              <w:pStyle w:val="TableContents"/>
              <w:bidi w:val="0"/>
              <w:spacing w:before="0" w:after="283"/>
              <w:jc w:val="right"/>
              <w:rPr/>
            </w:pPr>
            <w:r>
              <w:rPr/>
              <w:t>66,095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87" w:type="dxa"/>
            <w:tcBorders>
              <w:bottom w:val="single" w:sz="12" w:space="0" w:color="000000"/>
            </w:tcBorders>
            <w:shd w:fill="FFFFFF" w:val="clear"/>
            <w:tcMar>
              <w:bottom w:w="28" w:type="dxa"/>
            </w:tcMar>
            <w:vAlign w:val="center"/>
          </w:tcPr>
          <w:p>
            <w:pPr>
              <w:pStyle w:val="TableContents"/>
              <w:bidi w:val="0"/>
              <w:spacing w:before="0" w:after="283"/>
              <w:jc w:val="right"/>
              <w:rPr/>
            </w:pPr>
            <w:r>
              <w:rPr/>
              <w:t>66,095</w:t>
            </w:r>
          </w:p>
        </w:tc>
        <w:tc>
          <w:tcPr>
            <w:tcW w:w="114" w:type="dxa"/>
            <w:tcBorders/>
            <w:shd w:fill="FFFFFF" w:val="clear"/>
            <w:vAlign w:val="center"/>
          </w:tcPr>
          <w:p>
            <w:pPr>
              <w:pStyle w:val="TableContents"/>
              <w:bidi w:val="0"/>
              <w:spacing w:before="0" w:after="283"/>
              <w:jc w:val="left"/>
              <w:rPr/>
            </w:pPr>
            <w:r>
              <w:rPr/>
              <w:t> </w:t>
            </w:r>
          </w:p>
        </w:tc>
      </w:tr>
      <w:tr>
        <w:trPr/>
        <w:tc>
          <w:tcPr>
            <w:tcW w:w="2716" w:type="dxa"/>
            <w:tcBorders/>
            <w:shd w:fill="CCEEFF" w:val="clear"/>
            <w:vAlign w:val="center"/>
          </w:tcPr>
          <w:p>
            <w:pPr>
              <w:pStyle w:val="TableContents"/>
              <w:bidi w:val="0"/>
              <w:spacing w:before="0" w:after="283"/>
              <w:jc w:val="left"/>
              <w:rPr/>
            </w:pPr>
            <w:r>
              <w:rPr/>
              <w:t>Total operating expenses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6,873,445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50" w:type="dxa"/>
            <w:tcBorders>
              <w:bottom w:val="single" w:sz="12" w:space="0" w:color="000000"/>
            </w:tcBorders>
            <w:shd w:fill="CCEEFF" w:val="clear"/>
            <w:tcMar>
              <w:bottom w:w="28" w:type="dxa"/>
            </w:tcMar>
            <w:vAlign w:val="center"/>
          </w:tcPr>
          <w:p>
            <w:pPr>
              <w:pStyle w:val="TableContents"/>
              <w:bidi w:val="0"/>
              <w:spacing w:before="0" w:after="283"/>
              <w:jc w:val="right"/>
              <w:rPr/>
            </w:pPr>
            <w:r>
              <w:rPr/>
              <w:t>1,344,876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87" w:type="dxa"/>
            <w:tcBorders>
              <w:bottom w:val="single" w:sz="12" w:space="0" w:color="000000"/>
            </w:tcBorders>
            <w:shd w:fill="CCEEFF" w:val="clear"/>
            <w:tcMar>
              <w:bottom w:w="28" w:type="dxa"/>
            </w:tcMar>
            <w:vAlign w:val="center"/>
          </w:tcPr>
          <w:p>
            <w:pPr>
              <w:pStyle w:val="TableContents"/>
              <w:bidi w:val="0"/>
              <w:spacing w:before="0" w:after="283"/>
              <w:jc w:val="right"/>
              <w:rPr/>
            </w:pPr>
            <w:r>
              <w:rPr/>
              <w:t>8,218,321</w:t>
            </w:r>
          </w:p>
        </w:tc>
        <w:tc>
          <w:tcPr>
            <w:tcW w:w="114" w:type="dxa"/>
            <w:tcBorders/>
            <w:shd w:fill="CCEEFF" w:val="clear"/>
            <w:vAlign w:val="center"/>
          </w:tcPr>
          <w:p>
            <w:pPr>
              <w:pStyle w:val="TableContents"/>
              <w:bidi w:val="0"/>
              <w:spacing w:before="0" w:after="283"/>
              <w:jc w:val="left"/>
              <w:rPr/>
            </w:pPr>
            <w:r>
              <w:rPr/>
              <w:t> </w:t>
            </w:r>
          </w:p>
        </w:tc>
      </w:tr>
      <w:tr>
        <w:trPr/>
        <w:tc>
          <w:tcPr>
            <w:tcW w:w="2716" w:type="dxa"/>
            <w:tcBorders/>
            <w:shd w:fill="FFFFFF" w:val="clear"/>
            <w:vAlign w:val="center"/>
          </w:tcPr>
          <w:p>
            <w:pPr>
              <w:pStyle w:val="TableContents"/>
              <w:bidi w:val="0"/>
              <w:spacing w:before="0" w:after="283"/>
              <w:jc w:val="left"/>
              <w:rPr/>
            </w:pPr>
            <w:r>
              <w:rPr/>
              <w:t>Income (loss)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(7,044,673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50" w:type="dxa"/>
            <w:tcBorders>
              <w:bottom w:val="single" w:sz="12" w:space="0" w:color="000000"/>
            </w:tcBorders>
            <w:shd w:fill="FFFFFF" w:val="clear"/>
            <w:tcMar>
              <w:bottom w:w="28" w:type="dxa"/>
            </w:tcMar>
            <w:vAlign w:val="center"/>
          </w:tcPr>
          <w:p>
            <w:pPr>
              <w:pStyle w:val="TableContents"/>
              <w:bidi w:val="0"/>
              <w:spacing w:before="0" w:after="283"/>
              <w:jc w:val="right"/>
              <w:rPr/>
            </w:pPr>
            <w:r>
              <w:rPr/>
              <w:t>(1,344,876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87" w:type="dxa"/>
            <w:tcBorders>
              <w:bottom w:val="single" w:sz="12" w:space="0" w:color="000000"/>
            </w:tcBorders>
            <w:shd w:fill="FFFFFF" w:val="clear"/>
            <w:tcMar>
              <w:bottom w:w="28" w:type="dxa"/>
            </w:tcMar>
            <w:vAlign w:val="center"/>
          </w:tcPr>
          <w:p>
            <w:pPr>
              <w:pStyle w:val="TableContents"/>
              <w:bidi w:val="0"/>
              <w:spacing w:before="0" w:after="283"/>
              <w:jc w:val="right"/>
              <w:rPr/>
            </w:pPr>
            <w:r>
              <w:rPr/>
              <w:t>(8,389,549</w:t>
            </w:r>
          </w:p>
        </w:tc>
        <w:tc>
          <w:tcPr>
            <w:tcW w:w="114" w:type="dxa"/>
            <w:tcBorders/>
            <w:shd w:fill="FFFFFF" w:val="clear"/>
            <w:vAlign w:val="center"/>
          </w:tcPr>
          <w:p>
            <w:pPr>
              <w:pStyle w:val="TableContents"/>
              <w:bidi w:val="0"/>
              <w:spacing w:before="0" w:after="283"/>
              <w:jc w:val="left"/>
              <w:rPr/>
            </w:pPr>
            <w:r>
              <w:rPr/>
              <w:t>)</w:t>
            </w:r>
          </w:p>
        </w:tc>
      </w:tr>
      <w:tr>
        <w:trPr/>
        <w:tc>
          <w:tcPr>
            <w:tcW w:w="27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716" w:type="dxa"/>
            <w:tcBorders/>
            <w:shd w:fill="FFFFFF" w:val="clear"/>
            <w:vAlign w:val="center"/>
          </w:tcPr>
          <w:p>
            <w:pPr>
              <w:pStyle w:val="TableContents"/>
              <w:bidi w:val="0"/>
              <w:spacing w:before="0" w:after="283"/>
              <w:jc w:val="left"/>
              <w:rPr/>
            </w:pPr>
            <w:r>
              <w:rPr/>
              <w:t>Other income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7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716" w:type="dxa"/>
            <w:tcBorders/>
            <w:shd w:fill="CCEEFF" w:val="clear"/>
            <w:vAlign w:val="center"/>
          </w:tcPr>
          <w:p>
            <w:pPr>
              <w:pStyle w:val="TableContents"/>
              <w:bidi w:val="0"/>
              <w:spacing w:before="0" w:after="283"/>
              <w:jc w:val="left"/>
              <w:rPr/>
            </w:pPr>
            <w:r>
              <w:rPr/>
              <w:t>Interest income from operating account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11,574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pPr>
            <w:r>
              <w:rPr/>
              <w:t>11,574</w:t>
            </w:r>
          </w:p>
        </w:tc>
        <w:tc>
          <w:tcPr>
            <w:tcW w:w="114" w:type="dxa"/>
            <w:tcBorders/>
            <w:shd w:fill="CCEEFF" w:val="clear"/>
            <w:vAlign w:val="center"/>
          </w:tcPr>
          <w:p>
            <w:pPr>
              <w:pStyle w:val="TableContents"/>
              <w:bidi w:val="0"/>
              <w:spacing w:before="0" w:after="283"/>
              <w:jc w:val="left"/>
              <w:rPr/>
            </w:pPr>
            <w:r>
              <w:rPr/>
              <w:t> </w:t>
            </w:r>
          </w:p>
        </w:tc>
      </w:tr>
      <w:tr>
        <w:trPr/>
        <w:tc>
          <w:tcPr>
            <w:tcW w:w="2716" w:type="dxa"/>
            <w:tcBorders/>
            <w:shd w:fill="FFFFFF" w:val="clear"/>
            <w:vAlign w:val="center"/>
          </w:tcPr>
          <w:p>
            <w:pPr>
              <w:pStyle w:val="TableContents"/>
              <w:bidi w:val="0"/>
              <w:spacing w:before="0" w:after="283"/>
              <w:jc w:val="left"/>
              <w:rPr/>
            </w:pPr>
            <w:r>
              <w:rPr/>
              <w:t>Interest and penalties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750" w:type="dxa"/>
            <w:tcBorders/>
            <w:shd w:fill="FFFFFF" w:val="clear"/>
            <w:vAlign w:val="center"/>
          </w:tcPr>
          <w:p>
            <w:pPr>
              <w:pStyle w:val="TableContents"/>
              <w:bidi w:val="0"/>
              <w:spacing w:before="0" w:after="283"/>
              <w:jc w:val="right"/>
              <w:rPr/>
            </w:pPr>
            <w:r>
              <w:rPr/>
              <w:t>(330,967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pPr>
            <w:r>
              <w:rPr/>
              <w:t>(330,967</w:t>
            </w:r>
          </w:p>
        </w:tc>
        <w:tc>
          <w:tcPr>
            <w:tcW w:w="114" w:type="dxa"/>
            <w:tcBorders/>
            <w:shd w:fill="FFFFFF" w:val="clear"/>
            <w:vAlign w:val="center"/>
          </w:tcPr>
          <w:p>
            <w:pPr>
              <w:pStyle w:val="TableContents"/>
              <w:bidi w:val="0"/>
              <w:spacing w:before="0" w:after="283"/>
              <w:jc w:val="left"/>
              <w:rPr/>
            </w:pPr>
            <w:r>
              <w:rPr/>
              <w:t>)</w:t>
            </w:r>
          </w:p>
        </w:tc>
      </w:tr>
      <w:tr>
        <w:trPr/>
        <w:tc>
          <w:tcPr>
            <w:tcW w:w="2716" w:type="dxa"/>
            <w:tcBorders/>
            <w:shd w:fill="CCEEFF" w:val="clear"/>
            <w:vAlign w:val="center"/>
          </w:tcPr>
          <w:p>
            <w:pPr>
              <w:pStyle w:val="TableContents"/>
              <w:bidi w:val="0"/>
              <w:spacing w:before="0" w:after="283"/>
              <w:jc w:val="left"/>
              <w:rPr/>
            </w:pPr>
            <w:r>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(928,751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928,751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b/>
              </w:rPr>
            </w:pPr>
            <w:r>
              <w:rPr>
                <w:b/>
              </w:rPr>
              <w:t>V</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2716" w:type="dxa"/>
            <w:tcBorders/>
            <w:shd w:fill="FFFFFF" w:val="clear"/>
            <w:vAlign w:val="center"/>
          </w:tcPr>
          <w:p>
            <w:pPr>
              <w:pStyle w:val="TableContents"/>
              <w:bidi w:val="0"/>
              <w:spacing w:before="0" w:after="283"/>
              <w:jc w:val="left"/>
              <w:rPr/>
            </w:pPr>
            <w:r>
              <w:rPr/>
              <w:t>Income from cash and investments held in trust account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750" w:type="dxa"/>
            <w:tcBorders/>
            <w:shd w:fill="FFFFFF" w:val="clear"/>
            <w:vAlign w:val="center"/>
          </w:tcPr>
          <w:p>
            <w:pPr>
              <w:pStyle w:val="TableContents"/>
              <w:bidi w:val="0"/>
              <w:spacing w:before="0" w:after="283"/>
              <w:jc w:val="right"/>
              <w:rPr/>
            </w:pPr>
            <w:r>
              <w:rPr/>
              <w:t>690,591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(690,591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b/>
              </w:rPr>
            </w:pPr>
            <w:r>
              <w:rPr>
                <w:b/>
              </w:rPr>
              <w:t>W</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2716" w:type="dxa"/>
            <w:tcBorders/>
            <w:shd w:fill="CCEEFF" w:val="clear"/>
            <w:vAlign w:val="center"/>
          </w:tcPr>
          <w:p>
            <w:pPr>
              <w:pStyle w:val="TableContents"/>
              <w:bidi w:val="0"/>
              <w:spacing w:before="0" w:after="283"/>
              <w:jc w:val="left"/>
              <w:rPr/>
            </w:pPr>
            <w:r>
              <w:rPr/>
              <w:t>Change in fair value of SAFE agreements ITD Q2-2024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(14,492,176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CCEEFF" w:val="clear"/>
            <w:tcMar>
              <w:bottom w:w="28" w:type="dxa"/>
            </w:tcMar>
            <w:vAlign w:val="center"/>
          </w:tcPr>
          <w:p>
            <w:pPr>
              <w:pStyle w:val="TableContents"/>
              <w:bidi w:val="0"/>
              <w:spacing w:before="0" w:after="283"/>
              <w:jc w:val="right"/>
              <w:rPr/>
            </w:pPr>
            <w:r>
              <w:rPr/>
              <w:t>14,492,176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b/>
              </w:rPr>
            </w:pPr>
            <w:r>
              <w:rPr>
                <w:b/>
              </w:rPr>
              <w:t>X</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2716" w:type="dxa"/>
            <w:tcBorders/>
            <w:shd w:fill="FFFFFF" w:val="clear"/>
            <w:vAlign w:val="center"/>
          </w:tcPr>
          <w:p>
            <w:pPr>
              <w:pStyle w:val="TableContents"/>
              <w:bidi w:val="0"/>
              <w:spacing w:before="0" w:after="283"/>
              <w:jc w:val="left"/>
              <w:rPr/>
            </w:pPr>
            <w:r>
              <w:rPr/>
              <w:t>Total other income (loss),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(14,492,176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750" w:type="dxa"/>
            <w:tcBorders/>
            <w:shd w:fill="FFFFFF" w:val="clear"/>
            <w:vAlign w:val="center"/>
          </w:tcPr>
          <w:p>
            <w:pPr>
              <w:pStyle w:val="TableContents"/>
              <w:bidi w:val="0"/>
              <w:spacing w:before="0" w:after="283"/>
              <w:jc w:val="right"/>
              <w:rPr/>
            </w:pPr>
            <w:r>
              <w:rPr/>
              <w:t>(557,553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14,730,336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pPr>
            <w:r>
              <w:rPr/>
              <w:t>(319,393</w:t>
            </w:r>
          </w:p>
        </w:tc>
        <w:tc>
          <w:tcPr>
            <w:tcW w:w="114" w:type="dxa"/>
            <w:tcBorders/>
            <w:shd w:fill="FFFFFF" w:val="clear"/>
            <w:vAlign w:val="center"/>
          </w:tcPr>
          <w:p>
            <w:pPr>
              <w:pStyle w:val="TableContents"/>
              <w:bidi w:val="0"/>
              <w:spacing w:before="0" w:after="283"/>
              <w:jc w:val="left"/>
              <w:rPr/>
            </w:pPr>
            <w:r>
              <w:rPr/>
              <w:t>)</w:t>
            </w:r>
          </w:p>
        </w:tc>
      </w:tr>
      <w:tr>
        <w:trPr/>
        <w:tc>
          <w:tcPr>
            <w:tcW w:w="27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716" w:type="dxa"/>
            <w:tcBorders/>
            <w:shd w:fill="FFFFFF" w:val="clear"/>
            <w:vAlign w:val="center"/>
          </w:tcPr>
          <w:p>
            <w:pPr>
              <w:pStyle w:val="TableContents"/>
              <w:bidi w:val="0"/>
              <w:spacing w:before="0" w:after="283"/>
              <w:jc w:val="left"/>
              <w:rPr/>
            </w:pPr>
            <w:r>
              <w:rPr/>
              <w:t>Net income (loss)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(21,536,849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750" w:type="dxa"/>
            <w:tcBorders/>
            <w:shd w:fill="FFFFFF" w:val="clear"/>
            <w:vAlign w:val="center"/>
          </w:tcPr>
          <w:p>
            <w:pPr>
              <w:pStyle w:val="TableContents"/>
              <w:bidi w:val="0"/>
              <w:spacing w:before="0" w:after="283"/>
              <w:jc w:val="right"/>
              <w:rPr/>
            </w:pPr>
            <w:r>
              <w:rPr/>
              <w:t>(1,902,429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14,730,336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pPr>
            <w:r>
              <w:rPr/>
              <w:t>(8,708,942</w:t>
            </w:r>
          </w:p>
        </w:tc>
        <w:tc>
          <w:tcPr>
            <w:tcW w:w="114" w:type="dxa"/>
            <w:tcBorders/>
            <w:shd w:fill="FFFFFF" w:val="clear"/>
            <w:vAlign w:val="center"/>
          </w:tcPr>
          <w:p>
            <w:pPr>
              <w:pStyle w:val="TableContents"/>
              <w:bidi w:val="0"/>
              <w:spacing w:before="0" w:after="283"/>
              <w:jc w:val="left"/>
              <w:rPr/>
            </w:pPr>
            <w:r>
              <w:rPr/>
              <w:t>)</w:t>
            </w:r>
          </w:p>
        </w:tc>
      </w:tr>
      <w:tr>
        <w:trPr/>
        <w:tc>
          <w:tcPr>
            <w:tcW w:w="2716"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(133,575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133,575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b/>
              </w:rPr>
            </w:pPr>
            <w:r>
              <w:rPr>
                <w:b/>
              </w:rPr>
              <w:t>W</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pPr>
            <w:r>
              <w:rPr/>
              <w:t>(581</w:t>
            </w:r>
          </w:p>
        </w:tc>
        <w:tc>
          <w:tcPr>
            <w:tcW w:w="114" w:type="dxa"/>
            <w:tcBorders/>
            <w:shd w:fill="CCEEFF" w:val="clear"/>
            <w:vAlign w:val="center"/>
          </w:tcPr>
          <w:p>
            <w:pPr>
              <w:pStyle w:val="TableContents"/>
              <w:bidi w:val="0"/>
              <w:spacing w:before="0" w:after="283"/>
              <w:jc w:val="left"/>
              <w:rPr/>
            </w:pPr>
            <w:r>
              <w:rPr/>
              <w:t>)</w:t>
            </w:r>
          </w:p>
        </w:tc>
      </w:tr>
      <w:tr>
        <w:trPr/>
        <w:tc>
          <w:tcPr>
            <w:tcW w:w="27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5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87"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716"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(21,537,430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750" w:type="dxa"/>
            <w:tcBorders>
              <w:bottom w:val="double" w:sz="10" w:space="0" w:color="000000"/>
            </w:tcBorders>
            <w:shd w:fill="CCEEFF" w:val="clear"/>
            <w:tcMar>
              <w:bottom w:w="28" w:type="dxa"/>
            </w:tcMar>
            <w:vAlign w:val="center"/>
          </w:tcPr>
          <w:p>
            <w:pPr>
              <w:pStyle w:val="TableContents"/>
              <w:bidi w:val="0"/>
              <w:spacing w:before="0" w:after="283"/>
              <w:jc w:val="right"/>
              <w:rPr/>
            </w:pPr>
            <w:r>
              <w:rPr/>
              <w:t>(2,036,004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52" w:type="dxa"/>
            <w:tcBorders>
              <w:bottom w:val="double" w:sz="10" w:space="0" w:color="000000"/>
            </w:tcBorders>
            <w:shd w:fill="CCEEFF" w:val="clear"/>
            <w:tcMar>
              <w:bottom w:w="28" w:type="dxa"/>
            </w:tcMar>
            <w:vAlign w:val="center"/>
          </w:tcPr>
          <w:p>
            <w:pPr>
              <w:pStyle w:val="TableContents"/>
              <w:bidi w:val="0"/>
              <w:spacing w:before="0" w:after="283"/>
              <w:jc w:val="right"/>
              <w:rPr/>
            </w:pPr>
            <w:r>
              <w:rPr/>
              <w:t>14,863,911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87" w:type="dxa"/>
            <w:tcBorders>
              <w:bottom w:val="double" w:sz="10" w:space="0" w:color="000000"/>
            </w:tcBorders>
            <w:shd w:fill="CCEEFF" w:val="clear"/>
            <w:tcMar>
              <w:bottom w:w="28" w:type="dxa"/>
            </w:tcMar>
            <w:vAlign w:val="center"/>
          </w:tcPr>
          <w:p>
            <w:pPr>
              <w:pStyle w:val="TableContents"/>
              <w:bidi w:val="0"/>
              <w:spacing w:before="0" w:after="283"/>
              <w:jc w:val="right"/>
              <w:rPr/>
            </w:pPr>
            <w:r>
              <w:rPr/>
              <w:t>(8,709,523</w:t>
            </w:r>
          </w:p>
        </w:tc>
        <w:tc>
          <w:tcPr>
            <w:tcW w:w="114" w:type="dxa"/>
            <w:tcBorders/>
            <w:shd w:fill="CCEEFF" w:val="clear"/>
            <w:vAlign w:val="center"/>
          </w:tcPr>
          <w:p>
            <w:pPr>
              <w:pStyle w:val="TableContents"/>
              <w:bidi w:val="0"/>
              <w:spacing w:before="0" w:after="283"/>
              <w:jc w:val="left"/>
              <w:rPr/>
            </w:pPr>
            <w:r>
              <w:rPr/>
              <w:t>)</w:t>
            </w:r>
          </w:p>
        </w:tc>
      </w:tr>
      <w:tr>
        <w:trPr/>
        <w:tc>
          <w:tcPr>
            <w:tcW w:w="27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7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2716" w:type="dxa"/>
            <w:tcBorders/>
            <w:shd w:fill="CCEEFF" w:val="clear"/>
            <w:vAlign w:val="center"/>
          </w:tcPr>
          <w:p>
            <w:pPr>
              <w:pStyle w:val="TableContents"/>
              <w:bidi w:val="0"/>
              <w:spacing w:before="0" w:after="283"/>
              <w:jc w:val="left"/>
              <w:rPr/>
            </w:pPr>
            <w:r>
              <w:rPr/>
              <w:t>Weighted average Combined Company Common Stock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pPr>
            <w:r>
              <w:rPr/>
              <w:t>22,846,755</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2716" w:type="dxa"/>
            <w:tcBorders/>
            <w:shd w:fill="FFFFFF" w:val="clear"/>
            <w:vAlign w:val="center"/>
          </w:tcPr>
          <w:p>
            <w:pPr>
              <w:pStyle w:val="TableContents"/>
              <w:bidi w:val="0"/>
              <w:spacing w:before="0" w:after="283"/>
              <w:jc w:val="left"/>
              <w:rPr/>
            </w:pPr>
            <w:r>
              <w:rPr/>
              <w:t>Net loss per Combined Company Common Stock share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75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w:t>
            </w:r>
          </w:p>
        </w:tc>
        <w:tc>
          <w:tcPr>
            <w:tcW w:w="1487" w:type="dxa"/>
            <w:tcBorders/>
            <w:shd w:fill="FFFFFF" w:val="clear"/>
            <w:vAlign w:val="center"/>
          </w:tcPr>
          <w:p>
            <w:pPr>
              <w:pStyle w:val="TableContents"/>
              <w:bidi w:val="0"/>
              <w:spacing w:before="0" w:after="283"/>
              <w:jc w:val="right"/>
              <w:rPr/>
            </w:pPr>
            <w:r>
              <w:rPr/>
              <w:t>(0.38</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2716" w:type="dxa"/>
            <w:tcBorders/>
            <w:shd w:fill="CCEEFF" w:val="clear"/>
            <w:vAlign w:val="center"/>
          </w:tcPr>
          <w:p>
            <w:pPr>
              <w:pStyle w:val="TableContents"/>
              <w:bidi w:val="0"/>
              <w:spacing w:before="0" w:after="283"/>
              <w:jc w:val="left"/>
              <w:rPr/>
            </w:pPr>
            <w:r>
              <w:rPr/>
              <w:t>Weighted average See ID Common Stock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108,203,788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2716" w:type="dxa"/>
            <w:tcBorders/>
            <w:shd w:fill="FFFFFF" w:val="clear"/>
            <w:vAlign w:val="center"/>
          </w:tcPr>
          <w:p>
            <w:pPr>
              <w:pStyle w:val="TableContents"/>
              <w:bidi w:val="0"/>
              <w:spacing w:before="0" w:after="283"/>
              <w:jc w:val="left"/>
              <w:rPr/>
            </w:pPr>
            <w:r>
              <w:rPr/>
              <w:t>Net loss per See ID Common Stock share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75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2716" w:type="dxa"/>
            <w:tcBorders/>
            <w:shd w:fill="CCEEFF" w:val="clear"/>
            <w:vAlign w:val="center"/>
          </w:tcPr>
          <w:p>
            <w:pPr>
              <w:pStyle w:val="TableContents"/>
              <w:bidi w:val="0"/>
              <w:spacing w:before="0" w:after="283"/>
              <w:jc w:val="left"/>
              <w:rPr/>
            </w:pPr>
            <w:r>
              <w:rPr/>
              <w:t>Weighted average shares outstanding of Class A common stock,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1,243,542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2716" w:type="dxa"/>
            <w:tcBorders/>
            <w:shd w:fill="FFFFFF" w:val="clear"/>
            <w:vAlign w:val="center"/>
          </w:tcPr>
          <w:p>
            <w:pPr>
              <w:pStyle w:val="TableContents"/>
              <w:bidi w:val="0"/>
              <w:spacing w:before="0" w:after="283"/>
              <w:jc w:val="left"/>
              <w:rPr/>
            </w:pPr>
            <w:r>
              <w:rPr/>
              <w:t>Basic and diluted net income per share,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w:t>
            </w:r>
          </w:p>
        </w:tc>
        <w:tc>
          <w:tcPr>
            <w:tcW w:w="1750" w:type="dxa"/>
            <w:tcBorders/>
            <w:shd w:fill="FFFFFF" w:val="clear"/>
            <w:vAlign w:val="center"/>
          </w:tcPr>
          <w:p>
            <w:pPr>
              <w:pStyle w:val="TableContents"/>
              <w:bidi w:val="0"/>
              <w:spacing w:before="0" w:after="283"/>
              <w:jc w:val="right"/>
              <w:rPr/>
            </w:pPr>
            <w:r>
              <w:rPr/>
              <w:t>(0.16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2716" w:type="dxa"/>
            <w:tcBorders/>
            <w:shd w:fill="CCEEFF" w:val="clear"/>
            <w:vAlign w:val="center"/>
          </w:tcPr>
          <w:p>
            <w:pPr>
              <w:pStyle w:val="TableContents"/>
              <w:bidi w:val="0"/>
              <w:spacing w:before="0" w:after="283"/>
              <w:jc w:val="left"/>
              <w:rPr/>
            </w:pPr>
            <w:r>
              <w:rPr/>
              <w:t>Weighted average shares outstanding of Class B common stock,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11,800,000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2716" w:type="dxa"/>
            <w:tcBorders/>
            <w:shd w:fill="FFFFFF" w:val="clear"/>
            <w:vAlign w:val="center"/>
          </w:tcPr>
          <w:p>
            <w:pPr>
              <w:pStyle w:val="TableContents"/>
              <w:bidi w:val="0"/>
              <w:spacing w:before="0" w:after="283"/>
              <w:jc w:val="left"/>
              <w:rPr/>
            </w:pPr>
            <w:r>
              <w:rPr/>
              <w:t>Basic and diluted net income per share, Convertible Class B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w:t>
            </w:r>
          </w:p>
        </w:tc>
        <w:tc>
          <w:tcPr>
            <w:tcW w:w="1750" w:type="dxa"/>
            <w:tcBorders/>
            <w:shd w:fill="FFFFFF" w:val="clear"/>
            <w:vAlign w:val="center"/>
          </w:tcPr>
          <w:p>
            <w:pPr>
              <w:pStyle w:val="TableContents"/>
              <w:bidi w:val="0"/>
              <w:spacing w:before="0" w:after="283"/>
              <w:jc w:val="right"/>
              <w:rPr/>
            </w:pPr>
            <w:r>
              <w:rPr/>
              <w:t>(0.16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Pro Forma Condensed Combined Statements of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Reflects the reversal of the fair value adjustment on ShoulderUp Technology's Non-redemption agreements derivative liability as the agreements are considered fulfilled as if the Business Combination is considered effective on January 1, 2024.</w:t>
            </w:r>
          </w:p>
        </w:tc>
      </w:tr>
      <w:tr>
        <w:trPr/>
        <w:tc>
          <w:tcPr>
            <w:tcW w:w="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the elimination of investment income related to the investments in the ShoulderUp Technology Trust Account as of the beginning of the period and the corresponding income tax expense.</w:t>
            </w:r>
          </w:p>
        </w:tc>
      </w:tr>
      <w:tr>
        <w:trPr/>
        <w:tc>
          <w:tcPr>
            <w:tcW w:w="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Reflects the reversal of the fair value adjustment on See ID SAFE notes as of December 31, 2024 as the notes are considered converted into the common stock of See ID as of the beginning of the Business Combination considered effective on January 1,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“Closing Date”), ShoulderUp Technology Acquisition Corp. (“SUTA”), a Delaware corporation, completed the transactions contemplated by that certain business combination agreement, dated as of March 18, 2024 (the “Business Combination Agreement”), by and among CID Holdco, Inc., a Delaware corporation (“Holdings”) and a wholly-owned subsidiary of ShoulderUp, ShoulderUp Merger Sub, Inc., a Delaware corporation (“ShoulderUp Merger Sub”) and wholly-owned subsidiary of ShoulderUp, SEE ID Merger Sub, Inc., a Nevada corporation (“SEE ID Merger Sub”) and wholly-owned subsidiary of ShoulderUp, and SEE ID, Inc., a Nevada corporation (“SEE ID”), collectively,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transactions contemplated by the Business Combination Agreement (the “Closing”), (i) ShoulderUp Merger Sub, merged merge with and into ShoulderUp, with ShoulderUp continuing as the surviving company in the merger, and with the security holders of ShoulderUp receiving substantially equivalent securities of CID Holdco, and (ii) SEE ID Merger Sub, merged with and into SEE ID, with SEE ID continuing as the surviving company in the merger, and with the shareholders of SEE ID receiving shares of Holdings common stock, par value $0.0001 per share (the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original Business Combination Agreement, dated March 18, 2024, See ID shareholders were entitled to merger consideration of $130 million in the form of SUTA common A shares at per share price of $10.00 or 13 million shares. On June 17, 2025, a side letter was executed between the parties which increased the number of merger consideration shares by 3.103 million and increased merger consideration to $160 million. On June 20, 2025 an additional 1.125 million shares were allocated from the SUTA founder’s as compensation for the ShoulderUp and Holdings failure to consummate the PIPE Financing as contemplated in section 7.17 of the Business Combination Agreement, dated March 18, 2024. Under the amended terms of the Business Combination Agreement, the shareholders of See ID received from New ShoulderUP Acquisition Corp, in the aggregate, a number of shares of New ShoulderUP Acquisition Corp equal to (a) the See ID Value (as defined below) divided by (b) $10.00. The See ID Value will be equal to $171.2 million less net indebtedness (aggregate consolidated amount of indebtedness of See ID minus cash) (the “See ID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reverse recapitalization in accordance with ASC Topic 805, Business Combinations, whereby ShoulderUP Acquisition Corp is treated as the acquired company and See ID is treated as the acquirer. Accordingly, for accounting purposes, the Business Combination was treated as the equivalent of See ID issuing stock for the net assets of ShoulderUP Acquisition Corp, accompanied by a recapitalization. The net assets of ShoulderUP Acquisition Corp was stated at historical cost, with no goodwill or other intangible assets recorded. Subsequently, results of operations presented for the period prior to the Business Combination were those of See 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requirements to depict the accounting for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balance sheet as of March 31, 2025 gives pro forma effect to the Business Combination as if it had been consummated on March 31, 2025. The unaudited pro forma condensed combined statements of operations for the three months ended March 31, 2025 and year ended December 31, 2024 give pro forma effect to the Business Combination as if it had been consummated on January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March 31, 2025 has been prepared using, and should be read in conjunction with,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ShoulderUP Acquisition Corp’ unaudited condensed balance sheet as of March 31, 2025 and the related notes included elsewhere in this proxy statement/prospectus/information statement;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See ID’ unaudited condensed consolidated balance sheet as of March 31, 2025 and the related notes included elsewhere in this proxy statement/prospectus/information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statement of operations for the three months ended March 31, 2025 has been prepared using, and should be read in conjunction with,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ShoulderUP Acquisition Corp’ unaudited statement of operations for the three months ended March 31, 2025 and the related notes included elsewhere in this proxy statement/prospectus/information statement;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See ID’ unaudited consolidated statement of operations for the three months ended March 31, 2025 and the related notes included elsewhere in this proxy statement/prospectus/information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statement of operations for the year ended December 31, 2024 has been prepared using, and should be read in conjunction with,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ShoulderUP Acquisition Corp’ audited statement of operations for the year ended December 31, 2024 and the related notes included elsewhere in this proxy statement/prospectus/information statement;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See ID’ audited consolidated statement of operations for the year ended December 31, 2024 and the related notes included elsewhere in this proxy statement/prospectus/information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does not give effect to any synergies, operating efficiencies, tax savings or cost savings that may be associated with the Merger. Certain transactions, specifically the transaction expenses recognized by SUTA and See ID in the pro forma transaction accounting adjustments for the three months ended March 31, 2025 and year ended December 31, 2024 are not expected to recur in the statement of operations of the combined entity subsequent to the consummation of the business combination. Furthermore, while the Combined Company would be subject to tax at the corporate level subsequent to the consummation of the Business Combination, the Company would be in a net loss position which would result in a deferred tax asset which has been determined to not be more likely than not to be realized. Thus, the Combined Company would not have an income tax benefit. Accordingly, no adjustments for the income tax impact of any transaction accounting adjustments have been reflected.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reflecting the completion of the Business Combination are based on currently available information and assumptions and methodologies that management believes are reasonable under the circumstances. The unaudited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based on information available to management at the current time and that the proforma adjustments give appropriate effect to those assumptions and are properly applied in the unaudited pro forma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post-combination company. They should be read in conjunction with the historical financial statements and notes thereto of ShoulderUP Acquisition Corp and See 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Business Combination, management will perform a comprehensive review of ShoulderUP Acquisition Corp. and See ID accounting policies. As a result of the review, management may identify differences between the accounting policies of the two entities which, when conformed, could have a material impact on the financial statements of the post-combination company. Based on its initial analysis, management did not identify any differences that would have a material impact on the unaudited pro forma condensed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net loss attributable to ordinary shareholders per share calculated using the historical weighted average shares of ordinary shares outstanding, and the issuance of additional shares in connection with the Business Combination, assuming the shares were outstanding since January 1, 2024. As the Business Combination and related transactions are being reflected as if they had occurred at the beginning of the periods presented, the calculation of weighted average shares of ordinary shares outstanding for basic and diluted net loss attributable to ordinary shareholders per share assumes that the shares issuable relating to the Business Combination have been outstanding for the entire period presented. As the maximum number of shares were redeemed, this calculation was retroactively adjusted to eliminate such shares for the entire period. See ID options which rolled over to New See ID were excluded from the calculation of basic net loss per share as such shares are not outstanding. The calculation of diluted loss per ordinary shares does not consider the effect of the warrants issued in connection with the Initial Public Offering since the inclusion of such warrants would be anti-dilutive.</w:t>
      </w:r>
    </w:p>
    <w:p>
      <w:pPr>
        <w:pStyle w:val="TextBody"/>
        <w:bidi w:val="0"/>
        <w:spacing w:before="0" w:after="0"/>
        <w:ind w:left="0" w:right="0" w:hanging="0"/>
        <w:jc w:val="both"/>
        <w:rPr>
          <w:caps w:val="false"/>
          <w:smallCaps w:val="false"/>
        </w:rPr>
      </w:pPr>
      <w:r>
        <w:rPr>
          <w:caps w:val="false"/>
          <w:smallCaps w:val="false"/>
        </w:rPr>
        <w:t> </w:t>
      </w:r>
    </w:p>
    <w:tbl>
      <w:tblPr>
        <w:tblW w:w="8330" w:type="dxa"/>
        <w:jc w:val="left"/>
        <w:tblInd w:w="0" w:type="dxa"/>
        <w:tblLayout w:type="fixed"/>
        <w:tblCellMar>
          <w:top w:w="0" w:type="dxa"/>
          <w:left w:w="0" w:type="dxa"/>
          <w:bottom w:w="28" w:type="dxa"/>
          <w:right w:w="0" w:type="dxa"/>
        </w:tblCellMar>
      </w:tblPr>
      <w:tblGrid>
        <w:gridCol w:w="6920"/>
        <w:gridCol w:w="60"/>
        <w:gridCol w:w="140"/>
        <w:gridCol w:w="1100"/>
        <w:gridCol w:w="110"/>
      </w:tblGrid>
      <w:tr>
        <w:trPr/>
        <w:tc>
          <w:tcPr>
            <w:tcW w:w="6920" w:type="dxa"/>
            <w:tcBorders>
              <w:bottom w:val="single" w:sz="12" w:space="0" w:color="000000"/>
            </w:tcBorders>
            <w:vAlign w:val="center"/>
          </w:tcPr>
          <w:p>
            <w:pPr>
              <w:pStyle w:val="TableContents"/>
              <w:bidi w:val="0"/>
              <w:spacing w:before="0" w:after="283"/>
              <w:jc w:val="both"/>
              <w:rPr/>
            </w:pPr>
            <w:r>
              <w:rPr/>
              <w:t>For the three months  Ended March 31, 2025</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tcMar>
              <w:bottom w:w="0" w:type="dxa"/>
            </w:tcMar>
            <w:vAlign w:val="center"/>
          </w:tcPr>
          <w:p>
            <w:pPr>
              <w:pStyle w:val="TableContents"/>
              <w:bidi w:val="0"/>
              <w:spacing w:before="0" w:after="283"/>
              <w:jc w:val="both"/>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6920" w:type="dxa"/>
            <w:tcBorders/>
            <w:shd w:fill="CCEEFF" w:val="clear"/>
            <w:tcMar>
              <w:bottom w:w="0" w:type="dxa"/>
            </w:tcMar>
            <w:vAlign w:val="center"/>
          </w:tcPr>
          <w:p>
            <w:pPr>
              <w:pStyle w:val="TableContents"/>
              <w:bidi w:val="0"/>
              <w:spacing w:before="0" w:after="283"/>
              <w:jc w:val="both"/>
              <w:rPr/>
            </w:pPr>
            <w:r>
              <w:rPr/>
              <w:t>Weighted average Class A ordinary shares outstanding, basic and 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26,524,553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6920" w:type="dxa"/>
            <w:tcBorders/>
            <w:shd w:fill="FFFFFF" w:val="clear"/>
            <w:tcMar>
              <w:bottom w:w="0" w:type="dxa"/>
            </w:tcMar>
            <w:vAlign w:val="center"/>
          </w:tcPr>
          <w:p>
            <w:pPr>
              <w:pStyle w:val="TableContents"/>
              <w:bidi w:val="0"/>
              <w:spacing w:before="0" w:after="283"/>
              <w:jc w:val="both"/>
              <w:rPr/>
            </w:pPr>
            <w:r>
              <w:rPr/>
              <w:t>Net loss per share of Class A ordinary shares,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r>
              <w:rPr/>
              <w:t xml:space="preserve">(0.10 </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8180" w:type="dxa"/>
        <w:jc w:val="left"/>
        <w:tblInd w:w="0" w:type="dxa"/>
        <w:tblLayout w:type="fixed"/>
        <w:tblCellMar>
          <w:top w:w="0" w:type="dxa"/>
          <w:left w:w="0" w:type="dxa"/>
          <w:bottom w:w="28" w:type="dxa"/>
          <w:right w:w="0" w:type="dxa"/>
        </w:tblCellMar>
      </w:tblPr>
      <w:tblGrid>
        <w:gridCol w:w="6920"/>
        <w:gridCol w:w="60"/>
        <w:gridCol w:w="140"/>
        <w:gridCol w:w="950"/>
        <w:gridCol w:w="110"/>
      </w:tblGrid>
      <w:tr>
        <w:trPr/>
        <w:tc>
          <w:tcPr>
            <w:tcW w:w="6920" w:type="dxa"/>
            <w:tcBorders>
              <w:bottom w:val="single" w:sz="12" w:space="0" w:color="000000"/>
            </w:tcBorders>
            <w:vAlign w:val="center"/>
          </w:tcPr>
          <w:p>
            <w:pPr>
              <w:pStyle w:val="TableContents"/>
              <w:bidi w:val="0"/>
              <w:spacing w:before="0" w:after="283"/>
              <w:jc w:val="both"/>
              <w:rPr/>
            </w:pPr>
            <w:r>
              <w:rPr/>
              <w:t>For the Year Ended December 31, 2024</w:t>
            </w:r>
          </w:p>
        </w:tc>
        <w:tc>
          <w:tcPr>
            <w:tcW w:w="60" w:type="dxa"/>
            <w:tcBorders/>
            <w:tcMar>
              <w:bottom w:w="0" w:type="dxa"/>
            </w:tcMar>
            <w:vAlign w:val="center"/>
          </w:tcPr>
          <w:p>
            <w:pPr>
              <w:pStyle w:val="TableContents"/>
              <w:bidi w:val="0"/>
              <w:spacing w:before="0" w:after="283"/>
              <w:jc w:val="left"/>
              <w:rPr/>
            </w:pPr>
            <w:r>
              <w:rPr/>
              <w:t> </w:t>
            </w:r>
          </w:p>
        </w:tc>
        <w:tc>
          <w:tcPr>
            <w:tcW w:w="1090" w:type="dxa"/>
            <w:gridSpan w:val="2"/>
            <w:tcBorders/>
            <w:tcMar>
              <w:bottom w:w="0" w:type="dxa"/>
            </w:tcMar>
            <w:vAlign w:val="center"/>
          </w:tcPr>
          <w:p>
            <w:pPr>
              <w:pStyle w:val="TableContents"/>
              <w:bidi w:val="0"/>
              <w:spacing w:before="0" w:after="283"/>
              <w:jc w:val="both"/>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6920" w:type="dxa"/>
            <w:tcBorders/>
            <w:shd w:fill="CCEEFF" w:val="clear"/>
            <w:tcMar>
              <w:bottom w:w="0" w:type="dxa"/>
            </w:tcMar>
            <w:vAlign w:val="center"/>
          </w:tcPr>
          <w:p>
            <w:pPr>
              <w:pStyle w:val="TableContents"/>
              <w:bidi w:val="0"/>
              <w:spacing w:before="0" w:after="283"/>
              <w:jc w:val="both"/>
              <w:rPr/>
            </w:pPr>
            <w:r>
              <w:rPr/>
              <w:t>Weighted average Class A ordinary shares outstanding, basic and 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22,846,755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6920" w:type="dxa"/>
            <w:tcBorders/>
            <w:shd w:fill="FFFFFF" w:val="clear"/>
            <w:tcMar>
              <w:bottom w:w="0" w:type="dxa"/>
            </w:tcMar>
            <w:vAlign w:val="center"/>
          </w:tcPr>
          <w:p>
            <w:pPr>
              <w:pStyle w:val="TableContents"/>
              <w:bidi w:val="0"/>
              <w:spacing w:before="0" w:after="283"/>
              <w:jc w:val="both"/>
              <w:rPr/>
            </w:pPr>
            <w:r>
              <w:rPr/>
              <w:t>Net loss per share of Class A ordinary shares,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50" w:type="dxa"/>
            <w:tcBorders/>
            <w:shd w:fill="FFFFFF" w:val="clear"/>
            <w:tcMar>
              <w:bottom w:w="0" w:type="dxa"/>
            </w:tcMar>
            <w:vAlign w:val="center"/>
          </w:tcPr>
          <w:p>
            <w:pPr>
              <w:pStyle w:val="TableContents"/>
              <w:bidi w:val="0"/>
              <w:spacing w:before="0" w:after="283"/>
              <w:jc w:val="right"/>
              <w:rPr/>
            </w:pPr>
            <w:r>
              <w:rPr/>
              <w:t>(0.38</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jc w:val="center"/>
        <w:rPr>
          <w:caps/>
        </w:rPr>
      </w:pPr>
      <w:r>
        <w:rPr>
          <w:caps/>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p>
      <w:pPr>
        <w:pStyle w:val="TextBody"/>
        <w:bidi w:val="0"/>
        <w:jc w:val="left"/>
        <w:rPr>
          <w:bdr w:val="single" w:sz="12" w:space="1" w:color="000000"/>
        </w:rPr>
      </w:pPr>
      <w:r>
        <w:rPr>
          <w:bdr w:val="single" w:sz="12" w:space="1" w:color="000000"/>
        </w:rPr>
        <w:t> </w:t>
      </w:r>
    </w:p>
    <w:p>
      <w:pPr>
        <w:pStyle w:val="TextBody"/>
        <w:bidi w:val="0"/>
        <w:spacing w:before="0" w:after="0"/>
        <w:jc w:val="right"/>
        <w:rPr>
          <w:rFonts w:ascii="Times New Roman;Times;Serif" w:hAnsi="Times New Roman;Times;Serif"/>
          <w:b/>
          <w:i w:val="false"/>
          <w:caps w:val="false"/>
          <w:smallCaps w:val="false"/>
          <w:sz w:val="20"/>
        </w:rPr>
      </w:pPr>
      <w:bookmarkStart w:id="78" w:name="ea024660701ex99-6_cidhold.htm"/>
      <w:bookmarkStart w:id="79" w:name="ksea024660701ex996_cidhold"/>
      <w:bookmarkEnd w:id="78"/>
      <w:bookmarkEnd w:id="79"/>
      <w:r>
        <w:rPr>
          <w:rFonts w:ascii="Times New Roman;Times;Serif" w:hAnsi="Times New Roman;Times;Serif"/>
          <w:b/>
          <w:i w:val="false"/>
          <w:caps w:val="false"/>
          <w:smallCaps w:val="false"/>
          <w:sz w:val="20"/>
        </w:rPr>
        <w:t>Exhibit 99.6</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 OF SEE 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Please read the following discussion and analysis of our financial condition and results of operations together with our consolidated financial statements and related notes included in this filing. Some of the information contained in the following discussion and analysis, including information with respect to our plans and strategy for our business, includes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“Risks Relating to SEE ID” or included elsewhere in this Report.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These statements, like all statements in this report, speak only as of their date (unless another date is indicated), and we undertake no obligation to update or revise these statements in light of future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section generally discusses our financial condition and results of operations for fiscal years 2023 and 2024, and year-to-year comparisons between Q1 results in 2024 and 2025 in accordance with GAAP. A discussion of our financial condition and results of operations and our liquidity and capital resources for fiscal year 2024, and year-to-year comparisons between fiscal years 2023 and 2024 can be found under the heading “Management’s Discussion and Analysis of Financial Condition and Results of Operations” for the fiscal year ended December 31, 2024 and for Q1 of our Fiscal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 Nevada corporation, helps businesses digitally transform their operations using IoT and AI technology. With significant innovations in radio frequency networking, use of vision system overlays and a cloud-based AI engine, the company offers a differentiated asset tracking and workflow management solution for operations intensive enterprises.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is based on the application of AI to the complex problem sets encountered in enterprise logistics, leveraging our inventions in real-time IoT networking and cloud-based software to power the intelligence of the system. AI not only learns where the bottlenecks and failures in the system are, it can intervene in critical workflows to smooth out issues before they become barriers to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Dot Cloud consolidates data from the IoT devices deployed with our customers. The core of our value is in this software, with the ability to interface to existing systems easily, collect data from multiple sources and consolidate those inputs into a single intelligent view. In addition to our open interface flexibility, we provide a unique value using passive transponders, active beacons, camera feeds, and manual inputs for a comprehensive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leverage the capabilities of a strong global distribution and value-added reseller (“</w:t>
      </w:r>
      <w:r>
        <w:rPr>
          <w:rFonts w:ascii="Times New Roman;Times;Serif" w:hAnsi="Times New Roman;Times;Serif"/>
          <w:b/>
          <w:i/>
          <w:caps w:val="false"/>
          <w:smallCaps w:val="false"/>
          <w:sz w:val="20"/>
        </w:rPr>
        <w:t>VAR</w:t>
      </w:r>
      <w:r>
        <w:rPr>
          <w:rFonts w:ascii="Times New Roman;Times;Serif" w:hAnsi="Times New Roman;Times;Serif"/>
          <w:b w:val="false"/>
          <w:i w:val="false"/>
          <w:caps w:val="false"/>
          <w:smallCaps w:val="false"/>
          <w:sz w:val="20"/>
        </w:rPr>
        <w:t>”) channel to provide local customer support and source many complementary third-party hardware devices to satisfy the diverse needs of the applications. Some of our channels specialize in particular vertical industries, such as Health Care, Entertainment, Construction, Mining, Manufacturing etc. Other partners have specialties in core technologies, such as enterprise resource planning (“</w:t>
      </w:r>
      <w:r>
        <w:rPr>
          <w:rFonts w:ascii="Times New Roman;Times;Serif" w:hAnsi="Times New Roman;Times;Serif"/>
          <w:b/>
          <w:i/>
          <w:caps w:val="false"/>
          <w:smallCaps w:val="false"/>
          <w:sz w:val="20"/>
        </w:rPr>
        <w:t>ERP</w:t>
      </w:r>
      <w:r>
        <w:rPr>
          <w:rFonts w:ascii="Times New Roman;Times;Serif" w:hAnsi="Times New Roman;Times;Serif"/>
          <w:b w:val="false"/>
          <w:i w:val="false"/>
          <w:caps w:val="false"/>
          <w:smallCaps w:val="false"/>
          <w:sz w:val="20"/>
        </w:rPr>
        <w:t>”)/warehouse management systems (“</w:t>
      </w:r>
      <w:r>
        <w:rPr>
          <w:rFonts w:ascii="Times New Roman;Times;Serif" w:hAnsi="Times New Roman;Times;Serif"/>
          <w:b/>
          <w:i/>
          <w:caps w:val="false"/>
          <w:smallCaps w:val="false"/>
          <w:sz w:val="20"/>
        </w:rPr>
        <w:t>WMS</w:t>
      </w:r>
      <w:r>
        <w:rPr>
          <w:rFonts w:ascii="Times New Roman;Times;Serif" w:hAnsi="Times New Roman;Times;Serif"/>
          <w:b w:val="false"/>
          <w:i w:val="false"/>
          <w:caps w:val="false"/>
          <w:smallCaps w:val="false"/>
          <w:sz w:val="20"/>
        </w:rPr>
        <w:t>”)/manufacturing execution systems (“</w:t>
      </w:r>
      <w:r>
        <w:rPr>
          <w:rFonts w:ascii="Times New Roman;Times;Serif" w:hAnsi="Times New Roman;Times;Serif"/>
          <w:b/>
          <w:i/>
          <w:caps w:val="false"/>
          <w:smallCaps w:val="false"/>
          <w:sz w:val="20"/>
        </w:rPr>
        <w:t>MES</w:t>
      </w:r>
      <w:r>
        <w:rPr>
          <w:rFonts w:ascii="Times New Roman;Times;Serif" w:hAnsi="Times New Roman;Times;Serif"/>
          <w:b w:val="false"/>
          <w:i w:val="false"/>
          <w:caps w:val="false"/>
          <w:smallCaps w:val="false"/>
          <w:sz w:val="20"/>
        </w:rPr>
        <w:t>”), auto-ID, vision systems or IT where they add complementary skills and services. Our VARs also add specialty user interfaces to suit the needs of the industry or to automate workflows for a customer. We are committed to maintaining a single code base for all subscribers, which is regularly enhanced with new features, and do not intend to create custom branches that are difficult to maintain and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in 2021 and have achieved significant progress since our inception. We began as a small team developing our core cloud engine and integrating commercial-off-the-shelf (“</w:t>
      </w:r>
      <w:r>
        <w:rPr>
          <w:rFonts w:ascii="Times New Roman;Times;Serif" w:hAnsi="Times New Roman;Times;Serif"/>
          <w:b/>
          <w:i/>
          <w:caps w:val="false"/>
          <w:smallCaps w:val="false"/>
          <w:sz w:val="20"/>
        </w:rPr>
        <w:t>COTS</w:t>
      </w:r>
      <w:r>
        <w:rPr>
          <w:rFonts w:ascii="Times New Roman;Times;Serif" w:hAnsi="Times New Roman;Times;Serif"/>
          <w:b w:val="false"/>
          <w:i w:val="false"/>
          <w:caps w:val="false"/>
          <w:smallCaps w:val="false"/>
          <w:sz w:val="20"/>
        </w:rPr>
        <w:t>”) hardware to produce our trackable data. Working with several lighthouse customers, including Caterpillar and the USAF, we refined our concepts and technology, entering 2024 with a fully functional enterprise class software application that includes an initial Rules Engine AI feature.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Seeing the limitation of COTS devices and an opportunity to differentiate our technology, we began our first hardware project at the end of 2023, developing a unique, patent pending RF (radio frequency) bridge to gather data and enhance productivity at the edge. This platform is due for release in the third quarter of 2025, with 5 of the 52 SKUs on the roadmap being offered in the initial promotions. Note that this new hardware platform is a next step in our road map, adding additional capabilities to the first generation solution previously installed and in use. To be clear, the first generation system was installed at Nellis AFB for the U.S. Air Force, Thompson Caterpillar, Celenease-Dupont and the Defense Logistics Agency (“</w:t>
      </w:r>
      <w:r>
        <w:rPr>
          <w:rFonts w:ascii="Times New Roman;Times;Serif" w:hAnsi="Times New Roman;Times;Serif"/>
          <w:b/>
          <w:i/>
          <w:caps w:val="false"/>
          <w:smallCaps w:val="false"/>
          <w:sz w:val="20"/>
        </w:rPr>
        <w:t>DLA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technology development continues in earnest, we have shifted our resources to the front end of the business in 2024, beginning to promote our solution and build an aggressive sales pipeline. It is notable that we already have orders in hand for these devices and are building the demand with pre-release communications now. Details on that progress are outlined below (Sales Pipeline) with our order book poised to grow rapidly in the latter half of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headquartered in Las Vegas, Nevada, where we also host a Customer Experience Center in the warehouse area of one of our channel partners. Our management and administrative staff are in Bethesda, MD where we maintain an office for east coast customer engagement, government meetings and supporting lobbying activity. Our embedded development team and DFM capability is built around our CTO in Worcester, MA and our core software team is in Bangalore India. On July 31, 2024, the Company incorporated Dot Works, Inc., a Puerto Rico corporation, as a wholly-owned subsidiary to operate a manufacturing business with assembly and test lines in Puerto Rico.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31, 2024 and 2023, our total revenue was $612,301. In these years, revenue was earned primarily from the delivery of feasibility study reports to customers seeking to gain insight into how data driven tracking could improve their business. The three months ended March 31, 2024 contributed $352,498 in revenue, while we began to invest more heavily in sales and marketing, driving a sales cycle that will take 9-12 months to mature. We anticipate closing the year 2025 with first adoption revenues as we sell solutions with early capabilities and continue development of our software as a service (“</w:t>
      </w:r>
      <w:r>
        <w:rPr>
          <w:rFonts w:ascii="Times New Roman;Times;Serif" w:hAnsi="Times New Roman;Times;Serif"/>
          <w:b/>
          <w:i/>
          <w:caps w:val="false"/>
          <w:smallCaps w:val="false"/>
          <w:sz w:val="20"/>
        </w:rPr>
        <w:t>SAAS</w:t>
      </w:r>
      <w:r>
        <w:rPr>
          <w:rFonts w:ascii="Times New Roman;Times;Serif" w:hAnsi="Times New Roman;Times;Serif"/>
          <w:b w:val="false"/>
          <w:i w:val="false"/>
          <w:caps w:val="false"/>
          <w:smallCaps w:val="false"/>
          <w:sz w:val="20"/>
        </w:rPr>
        <w:t>”) and develop our Zero Infrastructure Mesh (“</w:t>
      </w:r>
      <w:r>
        <w:rPr>
          <w:rFonts w:ascii="Times New Roman;Times;Serif" w:hAnsi="Times New Roman;Times;Serif"/>
          <w:b/>
          <w:i/>
          <w:caps w:val="false"/>
          <w:smallCaps w:val="false"/>
          <w:sz w:val="20"/>
        </w:rPr>
        <w:t>ZIM</w:t>
      </w:r>
      <w:r>
        <w:rPr>
          <w:rFonts w:ascii="Times New Roman;Times;Serif" w:hAnsi="Times New Roman;Times;Serif"/>
          <w:b w:val="false"/>
          <w:i w:val="false"/>
          <w:caps w:val="false"/>
          <w:smallCaps w:val="false"/>
          <w:sz w:val="20"/>
        </w:rPr>
        <w:t>”) technology software protocols.</w:t>
      </w:r>
    </w:p>
    <w:p>
      <w:pPr>
        <w:pStyle w:val="TextBody"/>
        <w:bidi w:val="0"/>
        <w:spacing w:before="0" w:after="0"/>
        <w:ind w:left="0" w:right="0" w:hanging="0"/>
        <w:jc w:val="both"/>
        <w:rPr>
          <w:caps w:val="false"/>
          <w:smallCaps w:val="false"/>
        </w:rPr>
      </w:pPr>
      <w:r>
        <w:rPr>
          <w:caps w:val="false"/>
          <w:smallCaps w:val="false"/>
        </w:rPr>
        <w:t> </w:t>
      </w:r>
    </w:p>
    <w:tbl>
      <w:tblPr>
        <w:tblW w:w="3869" w:type="dxa"/>
        <w:jc w:val="left"/>
        <w:tblInd w:w="0" w:type="dxa"/>
        <w:tblLayout w:type="fixed"/>
        <w:tblCellMar>
          <w:top w:w="0" w:type="dxa"/>
          <w:left w:w="0" w:type="dxa"/>
          <w:bottom w:w="0" w:type="dxa"/>
          <w:right w:w="0" w:type="dxa"/>
        </w:tblCellMar>
      </w:tblPr>
      <w:tblGrid>
        <w:gridCol w:w="545"/>
        <w:gridCol w:w="60"/>
        <w:gridCol w:w="159"/>
        <w:gridCol w:w="910"/>
        <w:gridCol w:w="60"/>
        <w:gridCol w:w="60"/>
        <w:gridCol w:w="140"/>
        <w:gridCol w:w="800"/>
        <w:gridCol w:w="60"/>
        <w:gridCol w:w="60"/>
        <w:gridCol w:w="140"/>
        <w:gridCol w:w="800"/>
        <w:gridCol w:w="75"/>
      </w:tblGrid>
      <w:tr>
        <w:trPr/>
        <w:tc>
          <w:tcPr>
            <w:tcW w:w="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For the</w:t>
              <w:br/>
              <w:t>three</w:t>
              <w:br/>
              <w:t xml:space="preserve">months </w:t>
              <w:br/>
              <w:t xml:space="preserve">ended </w:t>
              <w:b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7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545" w:type="dxa"/>
            <w:tcBorders/>
            <w:shd w:fill="CCEEFF" w:val="clear"/>
            <w:vAlign w:val="center"/>
          </w:tcPr>
          <w:p>
            <w:pPr>
              <w:pStyle w:val="TableContents"/>
              <w:bidi w:val="0"/>
              <w:spacing w:before="0" w:after="283"/>
              <w:jc w:val="left"/>
              <w:rPr>
                <w:b/>
              </w:rPr>
            </w:pPr>
            <w:r>
              <w:rPr>
                <w:b/>
              </w:rPr>
              <w:t>Sales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352,498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172,661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439,640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of the past two fiscal years, we generated revenues from sales of hardware and implementation services for experimental projects. As we emerge aggressively from initial development into the market, we are shifting to the intended subscriptions model and emphasizing subscriber acquisition. With a strategy of avoiding hardware sales, software customizations and legacy interfaces (we leverage channel partners for these elements of the solution), we expect to continue to realize very high margins on our revenue going forward.</w:t>
      </w:r>
    </w:p>
    <w:p>
      <w:pPr>
        <w:pStyle w:val="TextBody"/>
        <w:bidi w:val="0"/>
        <w:spacing w:before="0" w:after="0"/>
        <w:ind w:left="0" w:right="0" w:hanging="0"/>
        <w:jc w:val="both"/>
        <w:rPr>
          <w:caps w:val="false"/>
          <w:smallCaps w:val="false"/>
        </w:rPr>
      </w:pPr>
      <w:r>
        <w:rPr>
          <w:caps w:val="false"/>
          <w:smallCaps w:val="false"/>
        </w:rPr>
        <w:t> </w:t>
      </w:r>
    </w:p>
    <w:tbl>
      <w:tblPr>
        <w:tblW w:w="5879" w:type="dxa"/>
        <w:jc w:val="left"/>
        <w:tblInd w:w="0" w:type="dxa"/>
        <w:tblLayout w:type="fixed"/>
        <w:tblCellMar>
          <w:top w:w="0" w:type="dxa"/>
          <w:left w:w="0" w:type="dxa"/>
          <w:bottom w:w="0" w:type="dxa"/>
          <w:right w:w="0" w:type="dxa"/>
        </w:tblCellMar>
      </w:tblPr>
      <w:tblGrid>
        <w:gridCol w:w="1940"/>
        <w:gridCol w:w="60"/>
        <w:gridCol w:w="159"/>
        <w:gridCol w:w="910"/>
        <w:gridCol w:w="215"/>
        <w:gridCol w:w="60"/>
        <w:gridCol w:w="140"/>
        <w:gridCol w:w="875"/>
        <w:gridCol w:w="290"/>
        <w:gridCol w:w="60"/>
        <w:gridCol w:w="140"/>
        <w:gridCol w:w="800"/>
        <w:gridCol w:w="230"/>
      </w:tblGrid>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For the</w:t>
              <w:br/>
              <w:t>three</w:t>
              <w:br/>
              <w:t>months</w:t>
              <w:br/>
              <w:t>ended</w:t>
              <w:br/>
              <w:t>March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23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b/>
              </w:rPr>
            </w:pPr>
            <w:r>
              <w:rPr>
                <w:b/>
              </w:rPr>
              <w:t>Sales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352,498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172,661</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439,640</w:t>
            </w:r>
          </w:p>
        </w:tc>
        <w:tc>
          <w:tcPr>
            <w:tcW w:w="230"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b/>
              </w:rPr>
            </w:pPr>
            <w:r>
              <w:rPr>
                <w:b/>
              </w:rPr>
              <w:t>Cost of Sales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910" w:type="dxa"/>
            <w:tcBorders/>
            <w:shd w:fill="FFFFFF" w:val="clear"/>
            <w:vAlign w:val="center"/>
          </w:tcPr>
          <w:p>
            <w:pPr>
              <w:pStyle w:val="TableContents"/>
              <w:bidi w:val="0"/>
              <w:spacing w:before="0" w:after="283"/>
              <w:jc w:val="right"/>
              <w:rPr/>
            </w:pPr>
            <w:r>
              <w:rPr/>
              <w:t>327,238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343,889</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86,888</w:t>
            </w:r>
          </w:p>
        </w:tc>
        <w:tc>
          <w:tcPr>
            <w:tcW w:w="230"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b/>
              </w:rPr>
            </w:pPr>
            <w:r>
              <w:rPr>
                <w:b/>
              </w:rPr>
              <w:t>Gross Profit (Loss)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25,260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(171,228</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352,752</w:t>
            </w:r>
          </w:p>
        </w:tc>
        <w:tc>
          <w:tcPr>
            <w:tcW w:w="230"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b/>
              </w:rPr>
            </w:pPr>
            <w:r>
              <w:rPr>
                <w:b/>
              </w:rPr>
              <w:t>Gross Margin</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7.2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(99.2</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80.2</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development of our core hosted application is being capitalized, in accordance with ASC 350-40, Intangibles — Goodwill and Other — General Intangibles Other than Goodwill. At March 31, 2025, the capitalized value of our software is now more than $2.0 million.</w:t>
      </w:r>
    </w:p>
    <w:p>
      <w:pPr>
        <w:pStyle w:val="TextBody"/>
        <w:bidi w:val="0"/>
        <w:spacing w:before="0" w:after="0"/>
        <w:ind w:left="0" w:right="0" w:hanging="0"/>
        <w:jc w:val="both"/>
        <w:rPr>
          <w:caps w:val="false"/>
          <w:smallCaps w:val="false"/>
        </w:rPr>
      </w:pPr>
      <w:r>
        <w:rPr>
          <w:caps w:val="false"/>
          <w:smallCaps w:val="false"/>
        </w:rPr>
        <w:t> </w:t>
      </w:r>
    </w:p>
    <w:tbl>
      <w:tblPr>
        <w:tblW w:w="7505" w:type="dxa"/>
        <w:jc w:val="left"/>
        <w:tblInd w:w="0" w:type="dxa"/>
        <w:tblLayout w:type="fixed"/>
        <w:tblCellMar>
          <w:top w:w="0" w:type="dxa"/>
          <w:left w:w="0" w:type="dxa"/>
          <w:bottom w:w="0" w:type="dxa"/>
          <w:right w:w="0" w:type="dxa"/>
        </w:tblCellMar>
      </w:tblPr>
      <w:tblGrid>
        <w:gridCol w:w="3770"/>
        <w:gridCol w:w="60"/>
        <w:gridCol w:w="140"/>
        <w:gridCol w:w="980"/>
        <w:gridCol w:w="60"/>
        <w:gridCol w:w="60"/>
        <w:gridCol w:w="140"/>
        <w:gridCol w:w="980"/>
        <w:gridCol w:w="60"/>
        <w:gridCol w:w="60"/>
        <w:gridCol w:w="140"/>
        <w:gridCol w:w="980"/>
        <w:gridCol w:w="75"/>
      </w:tblGrid>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344,902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721,032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605,760</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5,305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50,264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4,778</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69,876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65,248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Advances to supplier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37,748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33,576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80,548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133,975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155,845</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538,379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1,004,095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766,383</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b/>
              </w:rPr>
            </w:pPr>
            <w:r>
              <w:rPr>
                <w:b/>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Right-of-use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295,650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307,892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Capitalized software development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2,039,809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1,761,396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927,176</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23,389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23,389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Total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2,358,848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2,092,677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927,176</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2,897,227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3,096,772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1,693,559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made significant adjustments to our operating expense investments year over year. We have placed a heavy emphasis on our go-to-market resources, working with outsource firms for demand generation, public relations and marketing services. Our sales team has increased significantly, with two senior executives running the department, three account reps and two sales engineers in place to date. We expect this spend to increase in each quarterly report throughout the 2025 year as we continue to deploy significant resources in this area.</w:t>
      </w:r>
    </w:p>
    <w:p>
      <w:pPr>
        <w:pStyle w:val="TextBody"/>
        <w:bidi w:val="0"/>
        <w:spacing w:before="0" w:after="0"/>
        <w:ind w:left="0" w:right="0" w:hanging="0"/>
        <w:jc w:val="both"/>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2585"/>
        <w:gridCol w:w="60"/>
        <w:gridCol w:w="203"/>
        <w:gridCol w:w="1160"/>
        <w:gridCol w:w="87"/>
        <w:gridCol w:w="87"/>
        <w:gridCol w:w="203"/>
        <w:gridCol w:w="1160"/>
        <w:gridCol w:w="75"/>
      </w:tblGrid>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9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March 31,</w:t>
            </w:r>
          </w:p>
        </w:tc>
        <w:tc>
          <w:tcPr>
            <w:tcW w:w="75" w:type="dxa"/>
            <w:tcBorders/>
            <w:vAlign w:val="center"/>
          </w:tcPr>
          <w:p>
            <w:pPr>
              <w:pStyle w:val="TableContents"/>
              <w:bidi w:val="0"/>
              <w:spacing w:before="0" w:after="283"/>
              <w:jc w:val="center"/>
              <w:rPr/>
            </w:pPr>
            <w:r>
              <w:rPr/>
              <w:t> </w:t>
            </w:r>
          </w:p>
        </w:tc>
      </w:tr>
      <w:tr>
        <w:trPr/>
        <w:tc>
          <w:tcPr>
            <w:tcW w:w="2585" w:type="dxa"/>
            <w:tcBorders>
              <w:bottom w:val="single" w:sz="12" w:space="0" w:color="000000"/>
            </w:tcBorders>
            <w:tcMar>
              <w:bottom w:w="28" w:type="dxa"/>
            </w:tcMar>
            <w:vAlign w:val="center"/>
          </w:tcPr>
          <w:p>
            <w:pPr>
              <w:pStyle w:val="TableContents"/>
              <w:bidi w:val="0"/>
              <w:spacing w:before="0" w:after="283"/>
              <w:jc w:val="left"/>
              <w:rPr>
                <w:b/>
              </w:rPr>
            </w:pPr>
            <w:r>
              <w:rPr>
                <w:b/>
              </w:rPr>
              <w:t>Operating expenses</w:t>
            </w:r>
          </w:p>
        </w:tc>
        <w:tc>
          <w:tcPr>
            <w:tcW w:w="60" w:type="dxa"/>
            <w:tcBorders/>
            <w:vAlign w:val="center"/>
          </w:tcPr>
          <w:p>
            <w:pPr>
              <w:pStyle w:val="TableContents"/>
              <w:bidi w:val="0"/>
              <w:spacing w:before="0" w:after="283"/>
              <w:jc w:val="center"/>
              <w:rPr/>
            </w:pPr>
            <w:r>
              <w:rPr/>
              <w:t> </w:t>
            </w:r>
          </w:p>
        </w:tc>
        <w:tc>
          <w:tcPr>
            <w:tcW w:w="13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7" w:type="dxa"/>
            <w:tcBorders/>
            <w:vAlign w:val="center"/>
          </w:tcPr>
          <w:p>
            <w:pPr>
              <w:pStyle w:val="TableContents"/>
              <w:bidi w:val="0"/>
              <w:spacing w:before="0" w:after="283"/>
              <w:jc w:val="center"/>
              <w:rPr/>
            </w:pPr>
            <w:r>
              <w:rPr/>
              <w:t> </w:t>
            </w:r>
          </w:p>
        </w:tc>
        <w:tc>
          <w:tcPr>
            <w:tcW w:w="87" w:type="dxa"/>
            <w:tcBorders/>
            <w:vAlign w:val="center"/>
          </w:tcPr>
          <w:p>
            <w:pPr>
              <w:pStyle w:val="TableContents"/>
              <w:bidi w:val="0"/>
              <w:spacing w:before="0" w:after="283"/>
              <w:jc w:val="center"/>
              <w:rPr/>
            </w:pPr>
            <w:r>
              <w:rPr/>
              <w:t> </w:t>
            </w:r>
          </w:p>
        </w:tc>
        <w:tc>
          <w:tcPr>
            <w:tcW w:w="13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center"/>
              <w:rPr/>
            </w:pPr>
            <w:r>
              <w:rPr/>
              <w:t> </w:t>
            </w:r>
          </w:p>
        </w:tc>
      </w:tr>
      <w:tr>
        <w:trPr/>
        <w:tc>
          <w:tcPr>
            <w:tcW w:w="2585" w:type="dxa"/>
            <w:tcBorders/>
            <w:shd w:fill="CCEEFF" w:val="clear"/>
            <w:vAlign w:val="center"/>
          </w:tcPr>
          <w:p>
            <w:pPr>
              <w:pStyle w:val="TableContents"/>
              <w:bidi w:val="0"/>
              <w:spacing w:before="0" w:after="283"/>
              <w:jc w:val="both"/>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748,513</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853,599</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both"/>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w:t>
            </w:r>
          </w:p>
        </w:tc>
        <w:tc>
          <w:tcPr>
            <w:tcW w:w="1160" w:type="dxa"/>
            <w:tcBorders/>
            <w:shd w:fill="FFFFFF" w:val="clear"/>
            <w:vAlign w:val="center"/>
          </w:tcPr>
          <w:p>
            <w:pPr>
              <w:pStyle w:val="TableContents"/>
              <w:bidi w:val="0"/>
              <w:spacing w:before="0" w:after="283"/>
              <w:jc w:val="right"/>
              <w:rPr/>
            </w:pPr>
            <w:r>
              <w:rPr/>
              <w:t>484,482</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w:t>
            </w:r>
          </w:p>
        </w:tc>
        <w:tc>
          <w:tcPr>
            <w:tcW w:w="1160" w:type="dxa"/>
            <w:tcBorders/>
            <w:shd w:fill="FFFFFF" w:val="clear"/>
            <w:vAlign w:val="center"/>
          </w:tcPr>
          <w:p>
            <w:pPr>
              <w:pStyle w:val="TableContents"/>
              <w:bidi w:val="0"/>
              <w:spacing w:before="0" w:after="283"/>
              <w:jc w:val="right"/>
              <w:rPr/>
            </w:pPr>
            <w:r>
              <w:rPr/>
              <w:t>393,966</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both"/>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528,526</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120,846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Research and Development, we have moved a significant cohort of our engineering team offshore, recognizing that our Indian development team is much more cost efficient than the US-based team and continues to be a very productive resource for us. We will maintain only our core architectural and DFM resources in the USA going forward with the exception of supplementary product teams being formed locally upon more substantial private or public sector contract awards that would justify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G&amp;A spend is affected by costs relating to the Business Combination and SEC compliance, as we work to complete the Business Combination and become publicly traded. These overheads will level out once the transaction has been completed, but with the cost of public compliance we will continue to spend at a much higher level than in past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utilized SAFE notes as our means of financing the enterprise to date. As of March 31, 2025, we have issued SAFE notes for proceeds totaling $8.5 million that have an estimated fair value of $22.7 million. No other significant liabilities are being carried at the present time.</w:t>
      </w:r>
    </w:p>
    <w:p>
      <w:pPr>
        <w:pStyle w:val="TextBody"/>
        <w:bidi w:val="0"/>
        <w:spacing w:before="0" w:after="0"/>
        <w:ind w:left="0" w:right="0" w:hanging="0"/>
        <w:jc w:val="both"/>
        <w:rPr>
          <w:caps w:val="false"/>
          <w:smallCaps w:val="false"/>
        </w:rPr>
      </w:pPr>
      <w:r>
        <w:rPr>
          <w:caps w:val="false"/>
          <w:smallCaps w:val="false"/>
        </w:rPr>
        <w:t> </w:t>
      </w:r>
    </w:p>
    <w:tbl>
      <w:tblPr>
        <w:tblW w:w="7775" w:type="dxa"/>
        <w:jc w:val="left"/>
        <w:tblInd w:w="0" w:type="dxa"/>
        <w:tblLayout w:type="fixed"/>
        <w:tblCellMar>
          <w:top w:w="0" w:type="dxa"/>
          <w:left w:w="0" w:type="dxa"/>
          <w:bottom w:w="0" w:type="dxa"/>
          <w:right w:w="0" w:type="dxa"/>
        </w:tblCellMar>
      </w:tblPr>
      <w:tblGrid>
        <w:gridCol w:w="3800"/>
        <w:gridCol w:w="60"/>
        <w:gridCol w:w="140"/>
        <w:gridCol w:w="1100"/>
        <w:gridCol w:w="60"/>
        <w:gridCol w:w="60"/>
        <w:gridCol w:w="140"/>
        <w:gridCol w:w="1100"/>
        <w:gridCol w:w="60"/>
        <w:gridCol w:w="60"/>
        <w:gridCol w:w="140"/>
        <w:gridCol w:w="980"/>
        <w:gridCol w:w="75"/>
      </w:tblGrid>
      <w:tr>
        <w:trPr/>
        <w:tc>
          <w:tcPr>
            <w:tcW w:w="3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b/>
              </w:rPr>
            </w:pPr>
            <w:r>
              <w:rPr>
                <w:b/>
              </w:rPr>
              <w:t>Current liabilities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832,879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770,276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1,734</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11,946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24,219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23,505</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Payroll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179,016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246,720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18,868</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Deferred Revenue,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1,144,774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1,142,643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Bridge loans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1,600,000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Lease liability,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52,458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36,225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3,981,073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2,220,083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44,107</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b/>
              </w:rPr>
            </w:pPr>
            <w:r>
              <w:rPr>
                <w:b/>
              </w:rPr>
              <w:t>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SAFE agreements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22,746,675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23,334,626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4,602,950</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Deferred revenue,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1,472,411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1,570,572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265,543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265,413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24,484,629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25,170,611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4,602,950</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28,465,702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27,390,694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4,647,057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SAFE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Nature of the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of SAFE agreements increased from $4,602,950 as of December 31, 2023, to $23,334,626 as of December 31, 2024, reflecting increases of $18,731,676. This increase is attributable to the following components: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New Issuances:  During the year ended December 31, 2024, the company issued additional SAFE agreements for cash proceeds of $4,239,500.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Change in Fair Value:  During the year ended December 31, 2024, the fair value of existing SAFE agreements increased by $14,492,176. This revaluation reflects updated market conditions and company-specific factors.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Factors Impacting the Change in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revaluation of SAFE agreements was driven by the following significant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Increased Probability of SPAC Transaction Closing: The estimated likelihood of the SPAC transaction closing increased during the nine-month period. This adjustment impacted the probability-weighted expected return method used in the fair value estimation.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Increased Estimated Fair Value of the Company: The company’s estimated fair value increased due to positive developments, including: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Anticipated completion of key agreements with Wurth, which enhanced the company’s growth prospects and market positioning.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Strengthened financial performance and operational metrics during the period, contributing to a higher enterprise value.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Shortened Time to Liquidity Events: As the anticipated SPAC transaction approaches, the time to a potential liquidity event has shortened, thereby reducing the discount applied in the valuation model.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Summary of Safe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the SAFE agreements activity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6300" w:type="dxa"/>
        <w:jc w:val="left"/>
        <w:tblInd w:w="0" w:type="dxa"/>
        <w:tblLayout w:type="fixed"/>
        <w:tblCellMar>
          <w:top w:w="0" w:type="dxa"/>
          <w:left w:w="0" w:type="dxa"/>
          <w:bottom w:w="28" w:type="dxa"/>
          <w:right w:w="0" w:type="dxa"/>
        </w:tblCellMar>
      </w:tblPr>
      <w:tblGrid>
        <w:gridCol w:w="4925"/>
        <w:gridCol w:w="60"/>
        <w:gridCol w:w="140"/>
        <w:gridCol w:w="1100"/>
        <w:gridCol w:w="75"/>
      </w:tblGrid>
      <w:tr>
        <w:trPr/>
        <w:tc>
          <w:tcPr>
            <w:tcW w:w="4925" w:type="dxa"/>
            <w:tcBorders>
              <w:bottom w:val="single" w:sz="12" w:space="0" w:color="000000"/>
            </w:tcBorders>
            <w:vAlign w:val="center"/>
          </w:tcPr>
          <w:p>
            <w:pPr>
              <w:pStyle w:val="TableContents"/>
              <w:bidi w:val="0"/>
              <w:spacing w:before="0" w:after="283"/>
              <w:jc w:val="both"/>
              <w:rPr>
                <w:b/>
              </w:rPr>
            </w:pPr>
            <w:r>
              <w:rPr>
                <w:b/>
              </w:rPr>
              <w:t>Activity Description</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283"/>
              <w:jc w:val="center"/>
              <w:rPr>
                <w:b/>
              </w:rPr>
            </w:pPr>
            <w:r>
              <w:rPr>
                <w:b/>
              </w:rPr>
              <w:t>Amount</w:t>
              <w:br/>
              <w:t>($)</w:t>
            </w:r>
          </w:p>
        </w:tc>
        <w:tc>
          <w:tcPr>
            <w:tcW w:w="75" w:type="dxa"/>
            <w:tcBorders/>
            <w:tcMar>
              <w:bottom w:w="0" w:type="dxa"/>
            </w:tcMar>
            <w:vAlign w:val="center"/>
          </w:tcPr>
          <w:p>
            <w:pPr>
              <w:pStyle w:val="TableContents"/>
              <w:bidi w:val="0"/>
              <w:spacing w:before="0" w:after="283"/>
              <w:jc w:val="left"/>
              <w:rPr/>
            </w:pPr>
            <w:r>
              <w:rPr/>
              <w:t> </w:t>
            </w:r>
          </w:p>
        </w:tc>
      </w:tr>
      <w:tr>
        <w:trPr/>
        <w:tc>
          <w:tcPr>
            <w:tcW w:w="4925" w:type="dxa"/>
            <w:tcBorders/>
            <w:shd w:fill="CCEEFF" w:val="clear"/>
            <w:tcMar>
              <w:bottom w:w="0" w:type="dxa"/>
            </w:tcMar>
            <w:vAlign w:val="center"/>
          </w:tcPr>
          <w:p>
            <w:pPr>
              <w:pStyle w:val="TableContents"/>
              <w:bidi w:val="0"/>
              <w:spacing w:before="0" w:after="283"/>
              <w:jc w:val="both"/>
              <w:rPr/>
            </w:pPr>
            <w:r>
              <w:rPr/>
              <w:t>SAFE agreements at fair value, December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4,602,950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25" w:type="dxa"/>
            <w:tcBorders/>
            <w:shd w:fill="FFFFFF" w:val="clear"/>
            <w:tcMar>
              <w:bottom w:w="0" w:type="dxa"/>
            </w:tcMar>
            <w:vAlign w:val="center"/>
          </w:tcPr>
          <w:p>
            <w:pPr>
              <w:pStyle w:val="TableContents"/>
              <w:bidi w:val="0"/>
              <w:spacing w:before="0" w:after="283"/>
              <w:jc w:val="both"/>
              <w:rPr/>
            </w:pPr>
            <w:r>
              <w:rPr/>
              <w:t>Plus: SAFE agreements issued for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r>
              <w:rPr/>
              <w:t>4,239,500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25" w:type="dxa"/>
            <w:tcBorders/>
            <w:shd w:fill="CCEEFF" w:val="clear"/>
            <w:tcMar>
              <w:bottom w:w="0" w:type="dxa"/>
            </w:tcMar>
            <w:vAlign w:val="center"/>
          </w:tcPr>
          <w:p>
            <w:pPr>
              <w:pStyle w:val="TableContents"/>
              <w:bidi w:val="0"/>
              <w:spacing w:before="0" w:after="283"/>
              <w:jc w:val="both"/>
              <w:rPr/>
            </w:pPr>
            <w:r>
              <w:rPr/>
              <w:t>Plus: Change in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14,492,176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25" w:type="dxa"/>
            <w:tcBorders/>
            <w:shd w:fill="FFFFFF" w:val="clear"/>
            <w:tcMar>
              <w:bottom w:w="0" w:type="dxa"/>
            </w:tcMar>
            <w:vAlign w:val="center"/>
          </w:tcPr>
          <w:p>
            <w:pPr>
              <w:pStyle w:val="TableContents"/>
              <w:bidi w:val="0"/>
              <w:spacing w:before="0" w:after="283"/>
              <w:jc w:val="both"/>
              <w:rPr/>
            </w:pPr>
            <w:r>
              <w:rPr/>
              <w:t>SAFE agreements at fair value, December 31,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r>
              <w:rPr/>
              <w:t>23,334,626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the balance of SAFE agreements was primarily driven by new issuances of $4,239,500 and a significant revaluation of $14,492,176 due to an increased probability of the SPAC transaction closing, a higher estimated fair value of the company, and other market and company-specific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the SAFE agreements activity for the three months ended March 31, 2025:</w:t>
      </w:r>
    </w:p>
    <w:p>
      <w:pPr>
        <w:pStyle w:val="TextBody"/>
        <w:bidi w:val="0"/>
        <w:spacing w:before="0" w:after="0"/>
        <w:ind w:left="0" w:right="0" w:hanging="0"/>
        <w:jc w:val="both"/>
        <w:rPr>
          <w:caps w:val="false"/>
          <w:smallCaps w:val="false"/>
        </w:rPr>
      </w:pPr>
      <w:r>
        <w:rPr>
          <w:caps w:val="false"/>
          <w:smallCaps w:val="false"/>
        </w:rPr>
        <w:t> </w:t>
      </w:r>
    </w:p>
    <w:tbl>
      <w:tblPr>
        <w:tblW w:w="6335" w:type="dxa"/>
        <w:jc w:val="left"/>
        <w:tblInd w:w="0" w:type="dxa"/>
        <w:tblLayout w:type="fixed"/>
        <w:tblCellMar>
          <w:top w:w="0" w:type="dxa"/>
          <w:left w:w="0" w:type="dxa"/>
          <w:bottom w:w="28" w:type="dxa"/>
          <w:right w:w="0" w:type="dxa"/>
        </w:tblCellMar>
      </w:tblPr>
      <w:tblGrid>
        <w:gridCol w:w="4925"/>
        <w:gridCol w:w="60"/>
        <w:gridCol w:w="140"/>
        <w:gridCol w:w="1100"/>
        <w:gridCol w:w="110"/>
      </w:tblGrid>
      <w:tr>
        <w:trPr/>
        <w:tc>
          <w:tcPr>
            <w:tcW w:w="4925" w:type="dxa"/>
            <w:tcBorders>
              <w:bottom w:val="single" w:sz="12" w:space="0" w:color="000000"/>
            </w:tcBorders>
            <w:vAlign w:val="center"/>
          </w:tcPr>
          <w:p>
            <w:pPr>
              <w:pStyle w:val="TableContents"/>
              <w:bidi w:val="0"/>
              <w:spacing w:before="0" w:after="283"/>
              <w:jc w:val="both"/>
              <w:rPr>
                <w:b/>
              </w:rPr>
            </w:pPr>
            <w:r>
              <w:rPr>
                <w:b/>
              </w:rPr>
              <w:t>Activity Description</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283"/>
              <w:jc w:val="center"/>
              <w:rPr>
                <w:b/>
              </w:rPr>
            </w:pPr>
            <w:r>
              <w:rPr>
                <w:b/>
              </w:rPr>
              <w:t>Amount</w:t>
              <w:br/>
              <w:t>($)</w:t>
            </w:r>
          </w:p>
        </w:tc>
        <w:tc>
          <w:tcPr>
            <w:tcW w:w="110" w:type="dxa"/>
            <w:tcBorders/>
            <w:tcMar>
              <w:bottom w:w="0" w:type="dxa"/>
            </w:tcMar>
            <w:vAlign w:val="center"/>
          </w:tcPr>
          <w:p>
            <w:pPr>
              <w:pStyle w:val="TableContents"/>
              <w:bidi w:val="0"/>
              <w:spacing w:before="0" w:after="283"/>
              <w:jc w:val="left"/>
              <w:rPr/>
            </w:pPr>
            <w:r>
              <w:rPr/>
              <w:t> </w:t>
            </w:r>
          </w:p>
        </w:tc>
      </w:tr>
      <w:tr>
        <w:trPr/>
        <w:tc>
          <w:tcPr>
            <w:tcW w:w="4925" w:type="dxa"/>
            <w:tcBorders/>
            <w:shd w:fill="CCEEFF" w:val="clear"/>
            <w:tcMar>
              <w:bottom w:w="0" w:type="dxa"/>
            </w:tcMar>
            <w:vAlign w:val="center"/>
          </w:tcPr>
          <w:p>
            <w:pPr>
              <w:pStyle w:val="TableContents"/>
              <w:bidi w:val="0"/>
              <w:spacing w:before="0" w:after="283"/>
              <w:jc w:val="both"/>
              <w:rPr/>
            </w:pPr>
            <w:r>
              <w:rPr/>
              <w:t>SAFE agreements at fair value, December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23,334,626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925" w:type="dxa"/>
            <w:tcBorders/>
            <w:shd w:fill="FFFFFF" w:val="clear"/>
            <w:tcMar>
              <w:bottom w:w="0" w:type="dxa"/>
            </w:tcMar>
            <w:vAlign w:val="center"/>
          </w:tcPr>
          <w:p>
            <w:pPr>
              <w:pStyle w:val="TableContents"/>
              <w:bidi w:val="0"/>
              <w:spacing w:before="0" w:after="283"/>
              <w:jc w:val="both"/>
              <w:rPr/>
            </w:pPr>
            <w:r>
              <w:rPr/>
              <w:t>Plus: SAFE agreements issued for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r>
              <w:rPr/>
              <w:t>23,752</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925" w:type="dxa"/>
            <w:tcBorders/>
            <w:shd w:fill="CCEEFF" w:val="clear"/>
            <w:tcMar>
              <w:bottom w:w="0" w:type="dxa"/>
            </w:tcMar>
            <w:vAlign w:val="center"/>
          </w:tcPr>
          <w:p>
            <w:pPr>
              <w:pStyle w:val="TableContents"/>
              <w:bidi w:val="0"/>
              <w:spacing w:before="0" w:after="283"/>
              <w:jc w:val="both"/>
              <w:rPr/>
            </w:pPr>
            <w:r>
              <w:rPr/>
              <w:t>Less: Change in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(611,703</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925" w:type="dxa"/>
            <w:tcBorders/>
            <w:shd w:fill="FFFFFF" w:val="clear"/>
            <w:tcMar>
              <w:bottom w:w="0" w:type="dxa"/>
            </w:tcMar>
            <w:vAlign w:val="center"/>
          </w:tcPr>
          <w:p>
            <w:pPr>
              <w:pStyle w:val="TableContents"/>
              <w:bidi w:val="0"/>
              <w:spacing w:before="0" w:after="283"/>
              <w:jc w:val="both"/>
              <w:rPr/>
            </w:pPr>
            <w:r>
              <w:rPr/>
              <w:t>SAFE agreements at fair value, December 31,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r>
              <w:rPr/>
              <w:t>22,746,675</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the balance of SAFE agreements was primarily driven by an increased probability of the SPAC transaction closing from 90% at December 31, 2024 to 99% at March 31, 2025, as this scenario has a lower calculated value than the other possible scenarios considered in the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Approach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subscription to our Dot Cloud includes IoT data collection. We generally price our subscriptions on a per enrolled asset basis and with an application multiplier. For example, an enterprise using our Inventory application that also installed a Security module would count as two subscriptions. If the assets are being tracked and the AI engine is being used to manage them, then the enrollment fee pre asset is increased.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installed, our system becomes a critical part of the operations of the enterprise, typically expanding in scope as the users become familiar with the capabilities and look for additional ways to use the system in their operations. We expect a high rate of retention amongst our subscribers. We share a small portion of the subscription with the channel partner who supplies Level 2 support for the customer and cultivates them for future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was earned primarily from the delivery of feasibility study reports to customers seeking to gain insight into how data driven tracking could improve their business. We recognize revenue upon acceptance of our feasibility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go-to-market strategy is focused on landing new customers and expanding their adoption of our solution to have an ever-increasing share of customers. We are committed to selling through channel partners to enable faster growth and avoid the entanglements of stocking, hardware support and regional support presence. Our partner program is emerging but will expand rapidly through the remainder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working to offer self-service and low-touch inbound sales to attract a broad range of smaller customers onto our platform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 is used by businesses of varying sizes across a broad range of industries which depend on logistics operations. This includes transportation, construction, wholesale and retail trade, field services, logistics, utilities and energy, government, healthcare and education, manufacturing, food and beverage, and others. Our industry-agnostic approach and the horizontal applicability of our solution enable us to deploy our platform in virtually any business and use case.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target small to medium-sized businesses ($50 million up to $1 billion) who have a large volume of assets but may not have an optimal solution to manage them. When we encounter these targets, we assess the fiscal opportunity and also their technological maturity to quickly filter the most attractive prospects. Initial deal sizes typically range from $150,000 to $250,000 for the first application, with potential of expanding to an annual recurring revenue (“</w:t>
      </w:r>
      <w:r>
        <w:rPr>
          <w:rFonts w:ascii="Times New Roman;Times;Serif" w:hAnsi="Times New Roman;Times;Serif"/>
          <w:b/>
          <w:i/>
          <w:caps w:val="false"/>
          <w:smallCaps w:val="false"/>
          <w:sz w:val="20"/>
        </w:rPr>
        <w:t>ARR</w:t>
      </w:r>
      <w:r>
        <w:rPr>
          <w:rFonts w:ascii="Times New Roman;Times;Serif" w:hAnsi="Times New Roman;Times;Serif"/>
          <w:b w:val="false"/>
          <w:i w:val="false"/>
          <w:caps w:val="false"/>
          <w:smallCaps w:val="false"/>
          <w:sz w:val="20"/>
        </w:rPr>
        <w:t>”) of $1 million – $3 million at maturity across the enterprise. As our business scales, we expect to increasingly focus our sales efforts on larger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 sales focus is multi-application adoption. We often start solving a local problem within one division and expand both application and geographic adoption over time. Regardless of how our customers begin, we focus on expanding their usage by working with our channel partners to cultivate full-scale rollouts across their geographies and divisions.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Zero Infrastructure Mesh (ZIM) Software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preference is to use COTS hardware in our solution whenever possible and focus our resources on adding value in our software (AI) solution; however, some of our innovations in RF and cooperative IoT have been difficult to implement over the existing commercially available devices. As a result, we began in 2023 to create our own patent-pending ZIM Software Network, which is designed to scan Bluetooth low energy (BLE) tags and provide item-level visibility.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enable our ZIM Software Network, we also began designing a ZIM Bridge platform. This platform fully implements the power of our ZIM software protocol with the long-range (up to 15 miles) capability of our Long Range Locating (“</w:t>
      </w:r>
      <w:r>
        <w:rPr>
          <w:rFonts w:ascii="Times New Roman;Times;Serif" w:hAnsi="Times New Roman;Times;Serif"/>
          <w:b/>
          <w:i/>
          <w:caps w:val="false"/>
          <w:smallCaps w:val="false"/>
          <w:sz w:val="20"/>
        </w:rPr>
        <w:t>LRL</w:t>
      </w:r>
      <w:r>
        <w:rPr>
          <w:rFonts w:ascii="Times New Roman;Times;Serif" w:hAnsi="Times New Roman;Times;Serif"/>
          <w:b w:val="false"/>
          <w:i w:val="false"/>
          <w:caps w:val="false"/>
          <w:smallCaps w:val="false"/>
          <w:sz w:val="20"/>
        </w:rPr>
        <w:t>”) backhaul. In addition to this core innovation, several other optimizations and innovations are built into the platform making it a key component of our SaaS product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initially quoted production of this design via contract manufacturing, but in assessing the resultant data we have chosen to assemble and test this platform ourselves through a wholly-owned subsidiary in Puerto Rico we formed in Q3 of 2024 called “Dot Works.” All hardware manufacturing will be accomplished within this subsidiary. Dot Works will enable a significantly lower cost point and retain the inherent advantages of our unique flexibility to adapt inventories to opportunities. Under Puerto Rico Incentive Code 60 (“</w:t>
      </w:r>
      <w:r>
        <w:rPr>
          <w:rFonts w:ascii="Times New Roman;Times;Serif" w:hAnsi="Times New Roman;Times;Serif"/>
          <w:b/>
          <w:i/>
          <w:caps w:val="false"/>
          <w:smallCaps w:val="false"/>
          <w:sz w:val="20"/>
        </w:rPr>
        <w:t>Act 60</w:t>
      </w:r>
      <w:r>
        <w:rPr>
          <w:rFonts w:ascii="Times New Roman;Times;Serif" w:hAnsi="Times New Roman;Times;Serif"/>
          <w:b w:val="false"/>
          <w:i w:val="false"/>
          <w:caps w:val="false"/>
          <w:smallCaps w:val="false"/>
          <w:sz w:val="20"/>
        </w:rPr>
        <w:t>”), the local authorities in Puerto Rico have offered significant incentives, subsidizing machinery, equipment and labor, and providing tax credits for us going forward from the already low corporate tax rate of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excellent cost basis, this location also enables us to claim “Made in the USA” status for government and military sales, highly differentiating us from our typical “Made in China” competitors. The plastics, stamped parts, and printed circuit board assemblies will still be made by contract manufacturers. This subsidiary’s operations began during the fourth quarter of 2024. We ordered the components and equipment necessary to build this hardware in Q4 2024. We also began the firmware development in Q4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Anticipated Subsidiaries or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 — We have been operating in the Bangalore region of India for almost 3 years with many of the same staff being paid as contractors during that time. We anticipate that in the second half of 2025 we will form a subsidiary there to meet local statutory requirements of maintaining a software development team for the long term. We also anticipate adding online support resources to this location to enable 24/7 support capability to our contracts around the world. Sales in the India, SEA and Middle East region will initially be driven from this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 — Many of our current prospects have operations in Europe and at least two major channel partners have already been engaged to begin to prepare European sales activity. We anticipate that at some time in 2025 we will form a sales office to support these customers and activities, likely in a central European location such as southern Germany or 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Forecasts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prepared the following financial projections as an integral component of our strategic planning process, informing critical decisions related to budgetary allocations, human resource management, and expansion initiatives. While the following projections are not derived from historical financial results or operational track records, they have been meticulously developed based on a comprehensive analysis of our current sales pipeline and market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projections incorporate management’s best estimates and judgments regarding future market conditions, industry trends, and company-specific factors that may impact our financial performance. It is important to note that these forward-looking projections are inherently subject to uncertainties and may differ materially from actual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projections serve as a strategic tool for internal planning purposes and should not be regarded as a guarantee of future performance. They reflect management’s vision for the company’s growth trajectory and operational objectives, taking into account various assumptions and potential scenarios.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other stakeholders should exercise caution when interpreting these projections, as they are based on current expectations and beliefs, which may change as new information becomes available or as market conditions evolve.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potential revenue amounts in our sales pipeline stages, the material assumptions that were used by managements, include, but are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Pipeline Conversion Rates: The progression from each stage of the sales pipeline to the next is assumed to follow historical conversion rates, with a focus on maximizing the transition from “Contract Negotiation” to “Closed Won.”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Revenue Recognition: Revenue will be primarily recognized from the delivery of subscription services and related professional services through a hosted cloud (SaaS) environment and hardware sales.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Market Conditions: Assumes stable market conditions that support the projected bookings and billings growth, with no significant economic downturns affecting client budgets or spending.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Sales Cycle Duration: The time taken for prospects to move through the pipeline stages is consistent with past trends, allowing for accurate forecasting of revenue realization within fiscal periods.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Product and Service Demand: The demand for hardware (“</w:t>
            </w:r>
            <w:r>
              <w:rPr>
                <w:b/>
                <w:i/>
              </w:rPr>
              <w:t>HW</w:t>
            </w:r>
            <w:r>
              <w:rPr/>
              <w:t>”), ARR, and services will align with projections, driven by current market trends and customer needs.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Operational Capacity: The company has sufficient resources and operational capacity to handle increased sales volumes as projected, without compromising service quality or delivery timelines.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Pricing Strategy: Pricing remains competitive and consistent with current strategies, ensuring that projected margins are achievable across all product lines.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Customer Retention and Acquisition: Assumes steady customer retention rates and successful acquisition of new clients, contributing to sustained growth in bookings and billings.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assumptions are critical for achieving the projected financial outcomes and are subject to change based on evolving business conditions and market dynamics.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Projections: Sales Pipeline and Contract Backlog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projections provided for fiscal year 2024 and fiscal year 2025 are primarily based on two significant factors: the sales pipeline and contract backlog. These elements represent anticipated revenue sources over the next few years, based on a robust analysis of customer demand, potential new customer acquisitions, and recurring revenue from existing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Sales Pipeline:</w:t>
      </w:r>
      <w:r>
        <w:rPr>
          <w:rFonts w:ascii="Times New Roman;Times;Serif" w:hAnsi="Times New Roman;Times;Serif"/>
          <w:b w:val="false"/>
          <w:i w:val="false"/>
          <w:caps w:val="false"/>
          <w:smallCaps w:val="false"/>
          <w:sz w:val="20"/>
        </w:rPr>
        <w:t xml:space="preserve"> Our sales pipeline includes multiple stages of customer engagement, from initial contact to final contract negotiation. We closely monitor each stage, focusing particularly on the “Contract Negotiation” and “Verbal Commit” stages as leading indicators of near-term revenue. Historically, these stages have shown a higher likelihood of successful conversion, which supports our revenue assumptions. Our emphasis on ARR through multi-year contracts further strengthens our revenue projections, as it provides predictable revenue streams that align with our growth targets.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Contract Backlog:</w:t>
      </w:r>
      <w:r>
        <w:rPr>
          <w:rFonts w:ascii="Times New Roman;Times;Serif" w:hAnsi="Times New Roman;Times;Serif"/>
          <w:b w:val="false"/>
          <w:i w:val="false"/>
          <w:caps w:val="false"/>
          <w:smallCaps w:val="false"/>
          <w:sz w:val="20"/>
        </w:rPr>
        <w:t xml:space="preserve"> The contract backlog represents existing, multi-year agreements that are not yet fully billed or recognized as revenue. These contracts contribute significantly to our revenue forecast, as they involve predictable revenue from existing commitments, reducing reliance on new sales alone. Our projections assume a steady realization of this backlog, in line with contract terms. By leveraging this backlog, we aim to maintain a stable revenue base, despite potential market fluctuations.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Potential and Associated Costs for Projects in Contract Negotiation Phase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balanced disclosure, we recognize that the anticipated opportunities in the “Contract Negotiation” phase also carry the potential for net loss. While these projects contribute significantly to our projected bookings and billings, there are inherent risks related to cost structure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Cost of Sales and Direct Expenses:</w:t>
      </w:r>
      <w:r>
        <w:rPr>
          <w:rFonts w:ascii="Times New Roman;Times;Serif" w:hAnsi="Times New Roman;Times;Serif"/>
          <w:b w:val="false"/>
          <w:i w:val="false"/>
          <w:caps w:val="false"/>
          <w:smallCaps w:val="false"/>
          <w:sz w:val="20"/>
        </w:rPr>
        <w:t xml:space="preserve"> Each contract, particularly in the HW and services segments, will incur significant direct expenses, including manufacturing, logistics, and deployment costs. Hardware revenues, which will be recognized upon shipment, require upfront investment in materials and production, impacting short-term cash flow. For service-related projects, we anticipate ongoing labor and resource costs, including salaries for specialized personnel and potential subcontractor fees for installation and maintenance. Fluctuations in supplier pricing or labor rates may impact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Operating Expenses:</w:t>
      </w:r>
      <w:r>
        <w:rPr>
          <w:rFonts w:ascii="Times New Roman;Times;Serif" w:hAnsi="Times New Roman;Times;Serif"/>
          <w:b w:val="false"/>
          <w:i w:val="false"/>
          <w:caps w:val="false"/>
          <w:smallCaps w:val="false"/>
          <w:sz w:val="20"/>
        </w:rPr>
        <w:t xml:space="preserve"> We expect to incur additional operating expenses, including R&amp;D costs, sales and marketing expenses, and administrative overhead, as we continue to develop our product offerings and expand our sales team to support anticipated growth. These expenses are vital to sustaining our growth trajectory and enhancing our competitive positioning but may result in increased net losses, particularly if revenue from new contracts falls short of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Uncertainty in Profitability for Contract Negotiations:</w:t>
      </w:r>
      <w:r>
        <w:rPr>
          <w:rFonts w:ascii="Times New Roman;Times;Serif" w:hAnsi="Times New Roman;Times;Serif"/>
          <w:b w:val="false"/>
          <w:i w:val="false"/>
          <w:caps w:val="false"/>
          <w:smallCaps w:val="false"/>
          <w:sz w:val="20"/>
        </w:rPr>
        <w:t xml:space="preserve"> While we aim to maximize conversions at the “Contract Negotiation” phase, there is no guarantee of profitability for each project. The profitability of these contracts depends on the terms negotiated, including pricing, contract duration, and customer-specific requirements. Projects in negotiation phases may also face delays in execution or changes in scope, impacting our ability to recognize revenue as projected. In such cases, our cost structure may exceed anticipated revenue, resulting in net losses for certain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Risk of Increased Variable Costs:</w:t>
      </w:r>
      <w:r>
        <w:rPr>
          <w:rFonts w:ascii="Times New Roman;Times;Serif" w:hAnsi="Times New Roman;Times;Serif"/>
          <w:b w:val="false"/>
          <w:i w:val="false"/>
          <w:caps w:val="false"/>
          <w:smallCaps w:val="false"/>
          <w:sz w:val="20"/>
        </w:rPr>
        <w:t xml:space="preserve"> As our operations scale, certain variable costs—such as production costs for hardware, subcontractor fees for service projects, and customer support expenses for ARR contracts—may increase. If we cannot secure favorable pricing from suppliers or maintain operational efficiency, our gross margin percentages may be adversely affected. This increase in variable costs could result in lower-than-expected gross profits, impacting our ability to achieve net income in the near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Impact on Cash Flow and Financial Stability:</w:t>
      </w:r>
      <w:r>
        <w:rPr>
          <w:rFonts w:ascii="Times New Roman;Times;Serif" w:hAnsi="Times New Roman;Times;Serif"/>
          <w:b w:val="false"/>
          <w:i w:val="false"/>
          <w:caps w:val="false"/>
          <w:smallCaps w:val="false"/>
          <w:sz w:val="20"/>
        </w:rPr>
        <w:t xml:space="preserve"> The costs associated with ramping up for larger contracts, including pre-negotiated equipment purchases, hiring to expand operational capacity, and potential customer onboarding incentives, will have an upfront impact on cash flow. While these investments are anticipated to drive long-term growth, they introduce short-term cash flow challenges. As a result, there is a risk of incurring net losses, especially during periods of rapid expansion when we may be required to fulfill large, resource-intensive contracts without immediate revenue realization.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sales pipeline and contract backlog provide a foundation for growth, the costs associated with realizing this growth, coupled with the risks of revenue delays, could lead to net losses, particularly for opportunities in the “Contract Negotiation” phase. Investors should be aware that our projections rely on multiple assumptions regarding revenue realization, cost control, and market stability. Any adverse changes to these assumptions could materially impact our financial performance and delay our path to profitability. These projections represent management’s best estimates based on current information and expectations, yet they remain subject to significant uncertainty as market conditions and operational factors evolve.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current data and opportunities, as well as the resources we are seeking to capitalize through our market offering, and subject to the risk factors discussed throughout this registration statement, we estimate the following results for the upcoming reporting periods.</w:t>
      </w:r>
    </w:p>
    <w:p>
      <w:pPr>
        <w:pStyle w:val="TextBody"/>
        <w:bidi w:val="0"/>
        <w:spacing w:before="0" w:after="0"/>
        <w:ind w:left="0" w:right="0" w:hanging="0"/>
        <w:jc w:val="both"/>
        <w:rPr>
          <w:caps w:val="false"/>
          <w:smallCaps w:val="false"/>
        </w:rPr>
      </w:pPr>
      <w:r>
        <w:rPr>
          <w:caps w:val="false"/>
          <w:smallCaps w:val="false"/>
        </w:rPr>
        <w:t> </w:t>
      </w:r>
    </w:p>
    <w:tbl>
      <w:tblPr>
        <w:tblW w:w="5940" w:type="dxa"/>
        <w:jc w:val="left"/>
        <w:tblInd w:w="0" w:type="dxa"/>
        <w:tblLayout w:type="fixed"/>
        <w:tblCellMar>
          <w:top w:w="0" w:type="dxa"/>
          <w:left w:w="0" w:type="dxa"/>
          <w:bottom w:w="0" w:type="dxa"/>
          <w:right w:w="0" w:type="dxa"/>
        </w:tblCellMar>
      </w:tblPr>
      <w:tblGrid>
        <w:gridCol w:w="1745"/>
        <w:gridCol w:w="60"/>
        <w:gridCol w:w="60"/>
        <w:gridCol w:w="560"/>
        <w:gridCol w:w="215"/>
        <w:gridCol w:w="60"/>
        <w:gridCol w:w="60"/>
        <w:gridCol w:w="680"/>
        <w:gridCol w:w="215"/>
        <w:gridCol w:w="60"/>
        <w:gridCol w:w="81"/>
        <w:gridCol w:w="764"/>
        <w:gridCol w:w="215"/>
        <w:gridCol w:w="60"/>
        <w:gridCol w:w="67"/>
        <w:gridCol w:w="763"/>
        <w:gridCol w:w="275"/>
      </w:tblGrid>
      <w:tr>
        <w:trPr/>
        <w:tc>
          <w:tcPr>
            <w:tcW w:w="1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FY2025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FY2025</w:t>
            </w:r>
          </w:p>
        </w:tc>
        <w:tc>
          <w:tcPr>
            <w:tcW w:w="2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HW</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ARR</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Services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275" w:type="dxa"/>
            <w:tcBorders/>
            <w:vAlign w:val="center"/>
          </w:tcPr>
          <w:p>
            <w:pPr>
              <w:pStyle w:val="TableContents"/>
              <w:bidi w:val="0"/>
              <w:spacing w:before="0" w:after="283"/>
              <w:jc w:val="left"/>
              <w:rPr/>
            </w:pPr>
            <w:r>
              <w:rPr/>
              <w:t> </w:t>
            </w:r>
          </w:p>
        </w:tc>
      </w:tr>
      <w:tr>
        <w:trPr/>
        <w:tc>
          <w:tcPr>
            <w:tcW w:w="174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pPr>
            <w:r>
              <w:rPr/>
              <w:t>20%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pPr>
            <w:r>
              <w:rPr/>
              <w:t>65%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pPr>
            <w:r>
              <w:rPr/>
              <w:t>15%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left"/>
              <w:rPr>
                <w:b/>
              </w:rPr>
            </w:pPr>
            <w:r>
              <w:rPr>
                <w:b/>
              </w:rPr>
              <w:t>Bookings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19,500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4,500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b/>
              </w:rPr>
            </w:pPr>
            <w:r>
              <w:rPr>
                <w:b/>
              </w:rPr>
              <w:t>30,000</w:t>
            </w:r>
          </w:p>
        </w:tc>
        <w:tc>
          <w:tcPr>
            <w:tcW w:w="275"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b/>
              </w:rPr>
            </w:pPr>
            <w:r>
              <w:rPr>
                <w:b/>
              </w:rPr>
              <w:t>Billings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3,600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4,800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4,000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b/>
              </w:rPr>
            </w:pPr>
            <w:r>
              <w:rPr>
                <w:b/>
              </w:rPr>
              <w:t>12,400</w:t>
            </w:r>
          </w:p>
        </w:tc>
        <w:tc>
          <w:tcPr>
            <w:tcW w:w="27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3,600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3,200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b/>
              </w:rPr>
            </w:pPr>
            <w:r>
              <w:rPr>
                <w:b/>
              </w:rPr>
              <w:t>10,800</w:t>
            </w:r>
          </w:p>
        </w:tc>
        <w:tc>
          <w:tcPr>
            <w:tcW w:w="275"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b/>
              </w:rPr>
            </w:pPr>
            <w:r>
              <w:rPr>
                <w:b/>
              </w:rPr>
              <w:t>Gross Margin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2,340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3,680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2,080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b/>
              </w:rPr>
            </w:pPr>
            <w:r>
              <w:rPr>
                <w:b/>
              </w:rPr>
              <w:t>8,100</w:t>
            </w:r>
          </w:p>
        </w:tc>
        <w:tc>
          <w:tcPr>
            <w:tcW w:w="27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left"/>
              <w:rPr>
                <w:b/>
              </w:rPr>
            </w:pPr>
            <w:r>
              <w:rPr>
                <w:b/>
              </w:rPr>
              <w:t>Gross Margin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65.0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92.0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65.0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b/>
              </w:rPr>
            </w:pPr>
            <w:r>
              <w:rPr>
                <w:b/>
              </w:rPr>
              <w:t>75.0</w:t>
            </w:r>
          </w:p>
        </w:tc>
        <w:tc>
          <w:tcPr>
            <w:tcW w:w="27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forecast reflects that our bookings are going to be typically 3 – 5 year contracts with only a portion of the contract to be billed in the period. Revenue lags billings in ARR and services, as we have typically experienced a percentage of prepaids that are not fully earned by the period close. HW revenues are transactional and fully earned when billed on shipment. Gross Margin calculations are consistent with our current experience and pricing but may vary as we expand our operations and customer base. All forecasts are subject to risks described herein. including in the section “</w:t>
      </w:r>
      <w:r>
        <w:rPr>
          <w:rFonts w:ascii="Times New Roman;Times;Serif" w:hAnsi="Times New Roman;Times;Serif"/>
          <w:b w:val="false"/>
          <w:i/>
          <w:caps w:val="false"/>
          <w:smallCaps w:val="false"/>
          <w:sz w:val="20"/>
        </w:rPr>
        <w:t>Risks Related to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these periods are important to establish initial commercial traction, they are equally important as a foundational transition in our corporate operations, as we mature our sales pipeline and establish our brand. These numbers represent the best estimates of management based on current metrics, but results may vary significantly. These projections still reflect the views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Business Metrics (GAAP and Non-GAAP)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Recurring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ARR is a key indicator of the trajectory of our business performance, enables measurement of the progress of our business initiatives, and serves as an indicator of future growth. We define ARR as the annualized value of subscription contracts that have commenced revenue recognition as of the measurement date. ARR highlights trends that may be less visible from our financial statements due to ratable revenue recognition. ARR is a non-GAAP measure and does not have a standardized meaning and is not necessarily comparable to similarly titled measures presented by other companies. ARR should be viewed independently of revenue and is not intended to be combined with or replace it. ARR is not a forecast, and the active contracts at the date used in calculating ARR may or may not be extended or renewed. As we are in the first year of our commercial offering in the market, this metric has almost no value presently and will begin to be reported in the third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Assets Enrolled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core offering is the AI value we add from our Dot Cloud software. As such, one of the best proxies for adoption is the growth in the count of “Assets Enrolled” in our software. Our subscription contracts scale based on the number of assets under management, making this a leading indicator of revenue growth. At present, we have only initial Asset Enrollment as a result of pilot programs or test sites being operated to close larger customer opportunities. As we are in the first year of our commercial offering in the market, this metric has almost no value presently and will begin to be reported in the second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Customer Acquisition &amp; Retention (CAR)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drive new customer acquisition by continuing to invest significantly in sales and marketing to engage our prospective customers, increase brand awareness, and drive adoption of our Dot Cloud. Our ability to attract new customers depends on a number of factors, including the effectiveness of our sales and marketing efforts, macroeconomic factors and their impact on our customers’ businesses, and the success of our efforts to expand across verticals and internationally. We measure overall new bookings (purchase orders received in the period) as well as the ordinal count of new customers placing purchase orders. As we are in the first year of our commercial offering in the market, this metric has almost no value presently and will begin to be reported in the second quarter. CAR is a non-GAAP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access to our Dot Cloud through subscription arrangements, where the customer is charged a per-subscription fee for access for a specified term. Subscription agreements will contain multiple service elements for one or more of our cloud-based Applications via mobile app(s) or a website that enable data collection and provide access to the cellular network, IoT devices (which we also refer to as connected devices), and support services delivered over the term of the arrangement. Our subscription contracts will typically have an initial term of three to five years and are generally non-cancelable and non-refundable, subject to limited exceptions under our standard terms of service and other exceptions for public sector customers, who are often subject to annual budget appropriations cycles. Our Connected Dot Cloud and IoT devices are highly integrated with the subscription service and together will represent a single performance obligation. Revenues attributable to this combined performance obligation are recognized over time as the services are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provide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revenues are primarily related to the delivery of feasibility study reports to customers seeking to gain insight into how data driven tracking could improve their business, which is recognized upon acceptance of the feasibility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Allocation of Overhead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Overhead costs that are not substantially dedicated for use by a specific functional group are allocated based on headcount. Such costs include costs associated with office facilities, depreciation of property and equipment, IT and security expenses, and other expenses, such as corporate software, subscription services, and insurance. Manufacturing overheads are allocated to production based on volume.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will consists primarily of the amortization of IoT device costs associated with subscription agreements, cellular-related costs, third-party cloud infrastructure expenses, customer support costs, warranty charges, employee-related costs directly associated with our customer support and operations, including salaries, employee benefits and stock-based compensation, amortization of internal-use software development, certain cloud computing implementation costs, expenses related to shipping and handling, packaging, fulfillment, warehousing, write-downs of excess and obsolete inventory, and allocated overhead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customers expand and increase, the use of our Dot Cloud driven by additional IoT devices and Applications, our cost of revenue may vary from quarter to quarter as a percentage of our revenue due to the timing and extent of these expenses. We intend to continue to invest additional resources in our Dot Cloud and customer support and operations personnel as we grow our business. The level and timing of investment in these areas will affect our cost of revenue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employee-related costs, including salaries, employee benefits and stock-based compensation, depreciation and other expenses related to prototyping IoT devices, product initiatives, software subscriptions, hosting used in research and development, and allocated overhead costs. We continue to focus our research and development efforts on adding new features and products and enhancing the utility of our Dot Cloud. We capitalize the portion of our internal-use software development costs that meets the criteria for capitalization. We expect our research and development expenses to generally increase in absolute dollars for the foreseeable future as we continue to invest in research and development efforts to enhance our Dot Cloud. Our research and development expenses may fluctuate as a percentage of our revenue from period to period due to the timing and extent of these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consist primarily of employee-related costs directly associated with our sales and marketing activities, including salaries, employee benefits and stock-based compensation, and sales commissions. Sales and marketing expenses also include expenditures related to advertising, media, marketing, promotional costs, free trial expenses, brand awareness activities, business development, corporate partnerships, travel, conferences and events, professional services, and allocated overhead costs. We also have a heavy reliance on contracted services in these areas which are reflected in the department spend. We plan to continue to invest in sales and marketing to grow our customer base and increase our brand awareness. As a result, we expect our sales and marketing expenses to increase in absolute dollars for the foreseeable future. Our sales and marketing expenses may fluctuate as a percentage of our revenue from period to period due to the timing and extent of these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of employee-related costs for executive, finance, legal, human resources, facilities, and certain IT personnel, including salaries, employee benefits and stock-based compensation, professional fees for external legal, accounting, recruiting and other consulting services, bad debt, allocated overhead costs, and unallocated lease costs. We expect our general and administrative expenses to continue to increase in absolute dollars for the foreseeable future to support our growth and because of additional costs associated with legal, accounting, compliance, insurance, investor relations, and other areas associated with being a public company. Our general and administrative expenses may fluctuate as a percentage of our revenue from period to period due to the timing and extent of these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quarters ended March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Cost of Sales, Gross Profit, and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revenue has been transactional in nature, related to Research and Development grants or paid Proof of Concept installations which we refer to as Feasibility Studies. Our costs related to these activities do not necessarily reflect future costs of sales following the deployment of our Dot Cloud SaaS solution. In the three months ended March 31, 2024, we had only begun our investment in the sales and marketing ramp up and the results reflect the historical small pilot activities we have done as we productize our emerging technology.</w:t>
      </w:r>
    </w:p>
    <w:p>
      <w:pPr>
        <w:pStyle w:val="TextBody"/>
        <w:bidi w:val="0"/>
        <w:spacing w:before="0" w:after="0"/>
        <w:ind w:left="0" w:right="0" w:hanging="0"/>
        <w:jc w:val="both"/>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2495"/>
        <w:gridCol w:w="60"/>
        <w:gridCol w:w="191"/>
        <w:gridCol w:w="1092"/>
        <w:gridCol w:w="355"/>
        <w:gridCol w:w="81"/>
        <w:gridCol w:w="191"/>
        <w:gridCol w:w="930"/>
        <w:gridCol w:w="260"/>
        <w:gridCol w:w="60"/>
        <w:gridCol w:w="140"/>
        <w:gridCol w:w="800"/>
        <w:gridCol w:w="335"/>
        <w:gridCol w:w="60"/>
        <w:gridCol w:w="83"/>
        <w:gridCol w:w="1032"/>
        <w:gridCol w:w="350"/>
      </w:tblGrid>
      <w:tr>
        <w:trPr/>
        <w:tc>
          <w:tcPr>
            <w:tcW w:w="24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March 31,</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vAlign w:val="center"/>
          </w:tcPr>
          <w:p>
            <w:pPr>
              <w:pStyle w:val="TableContents"/>
              <w:bidi w:val="0"/>
              <w:spacing w:before="0" w:after="283"/>
              <w:jc w:val="center"/>
              <w:rPr/>
            </w:pPr>
            <w:r>
              <w:rPr/>
              <w:t> </w:t>
            </w:r>
          </w:p>
        </w:tc>
        <w:tc>
          <w:tcPr>
            <w:tcW w:w="3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 </w:t>
            </w:r>
          </w:p>
        </w:tc>
        <w:tc>
          <w:tcPr>
            <w:tcW w:w="350" w:type="dxa"/>
            <w:tcBorders/>
            <w:vAlign w:val="center"/>
          </w:tcPr>
          <w:p>
            <w:pPr>
              <w:pStyle w:val="TableContents"/>
              <w:bidi w:val="0"/>
              <w:spacing w:before="0" w:after="283"/>
              <w:jc w:val="center"/>
              <w:rPr/>
            </w:pPr>
            <w:r>
              <w:rPr/>
              <w:t> </w:t>
            </w:r>
          </w:p>
        </w:tc>
      </w:tr>
      <w:tr>
        <w:trPr/>
        <w:tc>
          <w:tcPr>
            <w:tcW w:w="2495" w:type="dxa"/>
            <w:tcBorders>
              <w:bottom w:val="single" w:sz="12" w:space="0" w:color="000000"/>
            </w:tcBorders>
            <w:tcMar>
              <w:bottom w:w="28" w:type="dxa"/>
            </w:tcMar>
            <w:vAlign w:val="center"/>
          </w:tcPr>
          <w:p>
            <w:pPr>
              <w:pStyle w:val="TableContents"/>
              <w:bidi w:val="0"/>
              <w:spacing w:before="0" w:after="283"/>
              <w:jc w:val="left"/>
              <w:rPr>
                <w:b/>
              </w:rPr>
            </w:pPr>
            <w:r>
              <w:rPr>
                <w:b/>
              </w:rPr>
              <w:t>Q1  – YOY Comparison</w:t>
            </w:r>
          </w:p>
        </w:tc>
        <w:tc>
          <w:tcPr>
            <w:tcW w:w="60" w:type="dxa"/>
            <w:tcBorders/>
            <w:vAlign w:val="center"/>
          </w:tcPr>
          <w:p>
            <w:pPr>
              <w:pStyle w:val="TableContents"/>
              <w:bidi w:val="0"/>
              <w:spacing w:before="0" w:after="283"/>
              <w:jc w:val="center"/>
              <w:rPr/>
            </w:pPr>
            <w:r>
              <w:rPr/>
              <w:t> </w:t>
            </w:r>
          </w:p>
        </w:tc>
        <w:tc>
          <w:tcPr>
            <w:tcW w:w="12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55"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center"/>
              <w:rPr/>
            </w:pPr>
            <w:r>
              <w:rPr/>
              <w:t> </w:t>
            </w:r>
          </w:p>
        </w:tc>
        <w:tc>
          <w:tcPr>
            <w:tcW w:w="11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50" w:type="dxa"/>
            <w:tcBorders/>
            <w:vAlign w:val="center"/>
          </w:tcPr>
          <w:p>
            <w:pPr>
              <w:pStyle w:val="TableContents"/>
              <w:bidi w:val="0"/>
              <w:spacing w:before="0" w:after="283"/>
              <w:jc w:val="center"/>
              <w:rPr/>
            </w:pPr>
            <w:r>
              <w:rPr/>
              <w:t> </w:t>
            </w:r>
          </w:p>
        </w:tc>
      </w:tr>
      <w:tr>
        <w:trPr/>
        <w:tc>
          <w:tcPr>
            <w:tcW w:w="2495" w:type="dxa"/>
            <w:tcBorders/>
            <w:shd w:fill="CCEEFF" w:val="clear"/>
            <w:vAlign w:val="center"/>
          </w:tcPr>
          <w:p>
            <w:pPr>
              <w:pStyle w:val="TableContents"/>
              <w:bidi w:val="0"/>
              <w:spacing w:before="0" w:after="283"/>
              <w:jc w:val="both"/>
              <w:rPr/>
            </w:pPr>
            <w:r>
              <w:rPr/>
              <w:t>Revenue</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092" w:type="dxa"/>
            <w:tcBorders/>
            <w:shd w:fill="CCEEFF" w:val="clear"/>
            <w:vAlign w:val="center"/>
          </w:tcPr>
          <w:p>
            <w:pPr>
              <w:pStyle w:val="TableContents"/>
              <w:bidi w:val="0"/>
              <w:spacing w:before="0" w:after="283"/>
              <w:jc w:val="right"/>
              <w:rPr/>
            </w:pPr>
            <w:r>
              <w:rPr/>
              <w:t>352,498</w:t>
            </w:r>
          </w:p>
        </w:tc>
        <w:tc>
          <w:tcPr>
            <w:tcW w:w="35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930" w:type="dxa"/>
            <w:tcBorders/>
            <w:shd w:fill="CCEEFF" w:val="clear"/>
            <w:vAlign w:val="center"/>
          </w:tcPr>
          <w:p>
            <w:pPr>
              <w:pStyle w:val="TableContents"/>
              <w:bidi w:val="0"/>
              <w:spacing w:before="0" w:after="283"/>
              <w:jc w:val="right"/>
              <w:rPr/>
            </w:pPr>
            <w:r>
              <w:rPr/>
              <w:t>78,553</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273,945</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348.7</w:t>
            </w:r>
          </w:p>
        </w:tc>
        <w:tc>
          <w:tcPr>
            <w:tcW w:w="350" w:type="dxa"/>
            <w:tcBorders/>
            <w:shd w:fill="CCEEFF" w:val="clear"/>
            <w:vAlign w:val="center"/>
          </w:tcPr>
          <w:p>
            <w:pPr>
              <w:pStyle w:val="TableContents"/>
              <w:bidi w:val="0"/>
              <w:spacing w:before="0" w:after="283"/>
              <w:jc w:val="left"/>
              <w:rPr/>
            </w:pPr>
            <w:r>
              <w:rPr/>
              <w:t>%</w:t>
            </w:r>
          </w:p>
        </w:tc>
      </w:tr>
      <w:tr>
        <w:trPr/>
        <w:tc>
          <w:tcPr>
            <w:tcW w:w="2495" w:type="dxa"/>
            <w:tcBorders/>
            <w:shd w:fill="FFFFFF" w:val="clear"/>
            <w:vAlign w:val="center"/>
          </w:tcPr>
          <w:p>
            <w:pPr>
              <w:pStyle w:val="TableContents"/>
              <w:bidi w:val="0"/>
              <w:spacing w:before="0" w:after="283"/>
              <w:jc w:val="both"/>
              <w:rPr/>
            </w:pPr>
            <w:r>
              <w:rPr/>
              <w:t>Cost of Sales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w:t>
            </w:r>
          </w:p>
        </w:tc>
        <w:tc>
          <w:tcPr>
            <w:tcW w:w="1092" w:type="dxa"/>
            <w:tcBorders/>
            <w:shd w:fill="FFFFFF" w:val="clear"/>
            <w:vAlign w:val="center"/>
          </w:tcPr>
          <w:p>
            <w:pPr>
              <w:pStyle w:val="TableContents"/>
              <w:bidi w:val="0"/>
              <w:spacing w:before="0" w:after="283"/>
              <w:jc w:val="right"/>
              <w:rPr/>
            </w:pPr>
            <w:r>
              <w:rPr/>
              <w:t>327,238</w:t>
            </w:r>
          </w:p>
        </w:tc>
        <w:tc>
          <w:tcPr>
            <w:tcW w:w="35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w:t>
            </w:r>
          </w:p>
        </w:tc>
        <w:tc>
          <w:tcPr>
            <w:tcW w:w="930" w:type="dxa"/>
            <w:tcBorders/>
            <w:shd w:fill="FFFFFF" w:val="clear"/>
            <w:vAlign w:val="center"/>
          </w:tcPr>
          <w:p>
            <w:pPr>
              <w:pStyle w:val="TableContents"/>
              <w:bidi w:val="0"/>
              <w:spacing w:before="0" w:after="283"/>
              <w:jc w:val="right"/>
              <w:rPr/>
            </w:pPr>
            <w:r>
              <w:rPr/>
              <w:t>3,567</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323,671</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9,074.0</w:t>
            </w:r>
          </w:p>
        </w:tc>
        <w:tc>
          <w:tcPr>
            <w:tcW w:w="350" w:type="dxa"/>
            <w:tcBorders/>
            <w:shd w:fill="FFFFFF" w:val="clear"/>
            <w:vAlign w:val="center"/>
          </w:tcPr>
          <w:p>
            <w:pPr>
              <w:pStyle w:val="TableContents"/>
              <w:bidi w:val="0"/>
              <w:spacing w:before="0" w:after="283"/>
              <w:jc w:val="left"/>
              <w:rPr/>
            </w:pPr>
            <w:r>
              <w:rPr/>
              <w:t>%</w:t>
            </w:r>
          </w:p>
        </w:tc>
      </w:tr>
      <w:tr>
        <w:trPr/>
        <w:tc>
          <w:tcPr>
            <w:tcW w:w="2495" w:type="dxa"/>
            <w:tcBorders/>
            <w:shd w:fill="CCEEFF" w:val="clear"/>
            <w:vAlign w:val="center"/>
          </w:tcPr>
          <w:p>
            <w:pPr>
              <w:pStyle w:val="TableContents"/>
              <w:bidi w:val="0"/>
              <w:spacing w:before="0" w:after="283"/>
              <w:jc w:val="both"/>
              <w:rPr/>
            </w:pPr>
            <w:r>
              <w:rPr/>
              <w:t>Gross (Loss) Profit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092" w:type="dxa"/>
            <w:tcBorders/>
            <w:shd w:fill="CCEEFF" w:val="clear"/>
            <w:vAlign w:val="center"/>
          </w:tcPr>
          <w:p>
            <w:pPr>
              <w:pStyle w:val="TableContents"/>
              <w:bidi w:val="0"/>
              <w:spacing w:before="0" w:after="283"/>
              <w:jc w:val="right"/>
              <w:rPr/>
            </w:pPr>
            <w:r>
              <w:rPr/>
              <w:t>25,260</w:t>
            </w:r>
          </w:p>
        </w:tc>
        <w:tc>
          <w:tcPr>
            <w:tcW w:w="35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930" w:type="dxa"/>
            <w:tcBorders/>
            <w:shd w:fill="CCEEFF" w:val="clear"/>
            <w:vAlign w:val="center"/>
          </w:tcPr>
          <w:p>
            <w:pPr>
              <w:pStyle w:val="TableContents"/>
              <w:bidi w:val="0"/>
              <w:spacing w:before="0" w:after="283"/>
              <w:jc w:val="right"/>
              <w:rPr/>
            </w:pPr>
            <w:r>
              <w:rPr/>
              <w:t>74,986</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(49,726</w:t>
            </w:r>
          </w:p>
        </w:tc>
        <w:tc>
          <w:tcPr>
            <w:tcW w:w="33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(66.3</w:t>
            </w:r>
          </w:p>
        </w:tc>
        <w:tc>
          <w:tcPr>
            <w:tcW w:w="350" w:type="dxa"/>
            <w:tcBorders/>
            <w:shd w:fill="CCEEFF" w:val="clear"/>
            <w:vAlign w:val="center"/>
          </w:tcPr>
          <w:p>
            <w:pPr>
              <w:pStyle w:val="TableContents"/>
              <w:bidi w:val="0"/>
              <w:spacing w:before="0" w:after="283"/>
              <w:jc w:val="left"/>
              <w:rPr/>
            </w:pPr>
            <w:r>
              <w:rPr/>
              <w:t>)%</w:t>
            </w:r>
          </w:p>
        </w:tc>
      </w:tr>
      <w:tr>
        <w:trPr/>
        <w:tc>
          <w:tcPr>
            <w:tcW w:w="2495" w:type="dxa"/>
            <w:tcBorders/>
            <w:shd w:fill="FFFFFF" w:val="clear"/>
            <w:vAlign w:val="center"/>
          </w:tcPr>
          <w:p>
            <w:pPr>
              <w:pStyle w:val="TableContents"/>
              <w:bidi w:val="0"/>
              <w:spacing w:before="0" w:after="283"/>
              <w:jc w:val="both"/>
              <w:rPr>
                <w:b/>
              </w:rPr>
            </w:pPr>
            <w:r>
              <w:rPr>
                <w:b/>
              </w:rPr>
              <w:t>Margin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b/>
              </w:rPr>
            </w:pPr>
            <w:r>
              <w:rPr>
                <w:b/>
              </w:rPr>
              <w:t>7.2</w:t>
            </w:r>
          </w:p>
        </w:tc>
        <w:tc>
          <w:tcPr>
            <w:tcW w:w="355" w:type="dxa"/>
            <w:tcBorders/>
            <w:shd w:fill="FFFFFF" w:val="clear"/>
            <w:vAlign w:val="center"/>
          </w:tcPr>
          <w:p>
            <w:pPr>
              <w:pStyle w:val="TableContents"/>
              <w:bidi w:val="0"/>
              <w:spacing w:before="0" w:after="283"/>
              <w:jc w:val="left"/>
              <w:rPr>
                <w:b/>
              </w:rPr>
            </w:pPr>
            <w:r>
              <w:rPr>
                <w:b/>
              </w:rPr>
              <w:t>%</w:t>
            </w:r>
          </w:p>
        </w:tc>
        <w:tc>
          <w:tcPr>
            <w:tcW w:w="8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b/>
              </w:rPr>
            </w:pPr>
            <w:r>
              <w:rPr>
                <w:b/>
              </w:rPr>
              <w:t>95.5</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(88.3</w:t>
            </w:r>
          </w:p>
        </w:tc>
        <w:tc>
          <w:tcPr>
            <w:tcW w:w="33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b/>
              </w:rPr>
            </w:pPr>
            <w:r>
              <w:rPr>
                <w:b/>
              </w:rPr>
              <w:t>(92.5</w:t>
            </w:r>
          </w:p>
        </w:tc>
        <w:tc>
          <w:tcPr>
            <w:tcW w:w="35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 in Innovation and Future Growth (Strategic OPEX Investment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performance is driven by continuous innovation on our Dot Cloud, our innovations in IoT data collection and our advances in applying AI to our customer problem sets. Our investments in Sales and Marketing drive brand and solution awareness and generate demand. We will continuously invest in adding new applications and methods to our solution and presence over time. Our performance is also impacted by our ability to scale our headcount across our business to support our growth. We remain committed to aggressively investing in our Sales and Marketing capacity and maintaining our Research and Development organization, and to driving revenue growth globally.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Spending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spend for the three months ended March 31, 2025 reflects the significant pivot towards the market, with Sales and Marketing spend increasing by $90,516 or 22.98% year over year. We expect to increase this further in the following quarter to take advantage of additional public investment to build this department as the tip of the spear for growth.</w:t>
      </w:r>
    </w:p>
    <w:p>
      <w:pPr>
        <w:pStyle w:val="TextBody"/>
        <w:bidi w:val="0"/>
        <w:spacing w:before="0" w:after="0"/>
        <w:ind w:left="0" w:right="0" w:hanging="0"/>
        <w:jc w:val="both"/>
        <w:rPr>
          <w:caps w:val="false"/>
          <w:smallCaps w:val="false"/>
        </w:rPr>
      </w:pPr>
      <w:r>
        <w:rPr>
          <w:caps w:val="false"/>
          <w:smallCaps w:val="false"/>
        </w:rPr>
        <w:t> </w:t>
      </w:r>
    </w:p>
    <w:tbl>
      <w:tblPr>
        <w:tblW w:w="7685" w:type="dxa"/>
        <w:jc w:val="left"/>
        <w:tblInd w:w="0" w:type="dxa"/>
        <w:tblLayout w:type="fixed"/>
        <w:tblCellMar>
          <w:top w:w="0" w:type="dxa"/>
          <w:left w:w="0" w:type="dxa"/>
          <w:bottom w:w="0" w:type="dxa"/>
          <w:right w:w="0" w:type="dxa"/>
        </w:tblCellMar>
      </w:tblPr>
      <w:tblGrid>
        <w:gridCol w:w="2225"/>
        <w:gridCol w:w="60"/>
        <w:gridCol w:w="184"/>
        <w:gridCol w:w="1054"/>
        <w:gridCol w:w="283"/>
        <w:gridCol w:w="79"/>
        <w:gridCol w:w="184"/>
        <w:gridCol w:w="1056"/>
        <w:gridCol w:w="215"/>
        <w:gridCol w:w="60"/>
        <w:gridCol w:w="140"/>
        <w:gridCol w:w="680"/>
        <w:gridCol w:w="60"/>
        <w:gridCol w:w="60"/>
        <w:gridCol w:w="133"/>
        <w:gridCol w:w="982"/>
        <w:gridCol w:w="230"/>
      </w:tblGrid>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March 31,</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r>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83" w:type="dxa"/>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both"/>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jc w:val="right"/>
              <w:rPr/>
            </w:pPr>
            <w:r>
              <w:rPr/>
              <w:t>484,482</w:t>
            </w:r>
          </w:p>
        </w:tc>
        <w:tc>
          <w:tcPr>
            <w:tcW w:w="283"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393,966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90,516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23.0</w:t>
            </w:r>
          </w:p>
        </w:tc>
        <w:tc>
          <w:tcPr>
            <w:tcW w:w="23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both"/>
              <w:rPr/>
            </w:pPr>
            <w:r>
              <w:rPr/>
              <w:t>Percentage of Revenue</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137.4</w:t>
            </w:r>
          </w:p>
        </w:tc>
        <w:tc>
          <w:tcPr>
            <w:tcW w:w="283"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501.5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spend for the three months ended March 31, 2025 in Research and Development reflects some of the changes we made in offshoring more of our team, while still growing capacity through hiring overseas and contracting strategic resources. While we reduced our expense, we actually grew our capacity by the equivalent of 12 man-years of effort. This has allowed us to add a hardware team and expand our AI team while still controlling costs.</w:t>
      </w:r>
    </w:p>
    <w:p>
      <w:pPr>
        <w:pStyle w:val="TextBody"/>
        <w:bidi w:val="0"/>
        <w:spacing w:before="0" w:after="0"/>
        <w:ind w:left="0" w:right="0" w:hanging="0"/>
        <w:jc w:val="both"/>
        <w:rPr>
          <w:caps w:val="false"/>
          <w:smallCaps w:val="false"/>
        </w:rPr>
      </w:pPr>
      <w:r>
        <w:rPr>
          <w:caps w:val="false"/>
          <w:smallCaps w:val="false"/>
        </w:rPr>
        <w:t> </w:t>
      </w:r>
    </w:p>
    <w:tbl>
      <w:tblPr>
        <w:tblW w:w="8225" w:type="dxa"/>
        <w:jc w:val="left"/>
        <w:tblInd w:w="0" w:type="dxa"/>
        <w:tblLayout w:type="fixed"/>
        <w:tblCellMar>
          <w:top w:w="0" w:type="dxa"/>
          <w:left w:w="0" w:type="dxa"/>
          <w:bottom w:w="0" w:type="dxa"/>
          <w:right w:w="0" w:type="dxa"/>
        </w:tblCellMar>
      </w:tblPr>
      <w:tblGrid>
        <w:gridCol w:w="2645"/>
        <w:gridCol w:w="60"/>
        <w:gridCol w:w="184"/>
        <w:gridCol w:w="1054"/>
        <w:gridCol w:w="283"/>
        <w:gridCol w:w="79"/>
        <w:gridCol w:w="184"/>
        <w:gridCol w:w="1056"/>
        <w:gridCol w:w="215"/>
        <w:gridCol w:w="60"/>
        <w:gridCol w:w="140"/>
        <w:gridCol w:w="800"/>
        <w:gridCol w:w="60"/>
        <w:gridCol w:w="60"/>
        <w:gridCol w:w="107"/>
        <w:gridCol w:w="1008"/>
        <w:gridCol w:w="230"/>
      </w:tblGrid>
      <w:tr>
        <w:trPr/>
        <w:tc>
          <w:tcPr>
            <w:tcW w:w="26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March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83"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both"/>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jc w:val="right"/>
              <w:rPr/>
            </w:pPr>
            <w:r>
              <w:rPr/>
              <w:t>528,526</w:t>
            </w:r>
          </w:p>
        </w:tc>
        <w:tc>
          <w:tcPr>
            <w:tcW w:w="283"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120,846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407,680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337.4</w:t>
            </w:r>
          </w:p>
        </w:tc>
        <w:tc>
          <w:tcPr>
            <w:tcW w:w="230" w:type="dxa"/>
            <w:tcBorders/>
            <w:shd w:fill="CCEEFF" w:val="clear"/>
            <w:vAlign w:val="center"/>
          </w:tcPr>
          <w:p>
            <w:pPr>
              <w:pStyle w:val="TableContents"/>
              <w:bidi w:val="0"/>
              <w:spacing w:before="0" w:after="283"/>
              <w:jc w:val="left"/>
              <w:rPr/>
            </w:pPr>
            <w:r>
              <w:rPr/>
              <w:t>%</w:t>
            </w:r>
          </w:p>
        </w:tc>
      </w:tr>
      <w:tr>
        <w:trPr/>
        <w:tc>
          <w:tcPr>
            <w:tcW w:w="2645" w:type="dxa"/>
            <w:tcBorders/>
            <w:shd w:fill="FFFFFF" w:val="clear"/>
            <w:vAlign w:val="center"/>
          </w:tcPr>
          <w:p>
            <w:pPr>
              <w:pStyle w:val="TableContents"/>
              <w:bidi w:val="0"/>
              <w:spacing w:before="0" w:after="283"/>
              <w:jc w:val="both"/>
              <w:rPr/>
            </w:pPr>
            <w:r>
              <w:rPr/>
              <w:t>Percentage of Revenue</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149.9</w:t>
            </w:r>
          </w:p>
        </w:tc>
        <w:tc>
          <w:tcPr>
            <w:tcW w:w="283"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153.8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Expanding Within Our Existing Customer Base (Share of Subscribers)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there is a significant opportunity to expand sales to existing customers following their initial adoption of our Dot Cloud. We will expand our customer base by selling more applications and expanding use of existing applications across geographies and divisions. Our ability to expand within our customer base will depend on a number of factors, including our customers’ satisfaction, pricing, competition, macroeconomic factors, and changes in our customers’ spending levels. While there are many factors involved in this expansion, the Customer Success department will be the key internal driver to retention and expansion of customer revenue. At this juncture it is not a significant part of our operational expense, but will be built out as our bookings increase and our channel support requirements come online.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the costs of regulatory compliance will be evident in our spend on general and administrative. The change in period expense is entirely comprised of costs from this activity.</w:t>
      </w:r>
    </w:p>
    <w:p>
      <w:pPr>
        <w:pStyle w:val="TextBody"/>
        <w:bidi w:val="0"/>
        <w:spacing w:before="0" w:after="0"/>
        <w:ind w:left="0" w:right="0" w:hanging="0"/>
        <w:jc w:val="both"/>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2645"/>
        <w:gridCol w:w="60"/>
        <w:gridCol w:w="184"/>
        <w:gridCol w:w="1054"/>
        <w:gridCol w:w="283"/>
        <w:gridCol w:w="79"/>
        <w:gridCol w:w="184"/>
        <w:gridCol w:w="1056"/>
        <w:gridCol w:w="215"/>
        <w:gridCol w:w="60"/>
        <w:gridCol w:w="140"/>
        <w:gridCol w:w="875"/>
        <w:gridCol w:w="95"/>
        <w:gridCol w:w="60"/>
        <w:gridCol w:w="116"/>
        <w:gridCol w:w="999"/>
        <w:gridCol w:w="305"/>
      </w:tblGrid>
      <w:tr>
        <w:trPr/>
        <w:tc>
          <w:tcPr>
            <w:tcW w:w="26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March 31,</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center"/>
              <w:rPr/>
            </w:pPr>
            <w:r>
              <w:rPr/>
              <w:t> </w:t>
            </w:r>
          </w:p>
        </w:tc>
      </w:tr>
      <w:tr>
        <w:trPr/>
        <w:tc>
          <w:tcPr>
            <w:tcW w:w="26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83" w:type="dxa"/>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center"/>
              <w:rPr/>
            </w:pPr>
            <w:r>
              <w:rPr/>
              <w:t> </w:t>
            </w:r>
          </w:p>
        </w:tc>
      </w:tr>
      <w:tr>
        <w:trPr/>
        <w:tc>
          <w:tcPr>
            <w:tcW w:w="2645" w:type="dxa"/>
            <w:tcBorders/>
            <w:shd w:fill="CCEEFF" w:val="clear"/>
            <w:vAlign w:val="center"/>
          </w:tcPr>
          <w:p>
            <w:pPr>
              <w:pStyle w:val="TableContents"/>
              <w:bidi w:val="0"/>
              <w:spacing w:before="0" w:after="283"/>
              <w:jc w:val="both"/>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jc w:val="right"/>
              <w:rPr/>
            </w:pPr>
            <w:r>
              <w:rPr/>
              <w:t>748,513</w:t>
            </w:r>
          </w:p>
        </w:tc>
        <w:tc>
          <w:tcPr>
            <w:tcW w:w="283"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853,599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(105,086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(12.3</w:t>
            </w:r>
          </w:p>
        </w:tc>
        <w:tc>
          <w:tcPr>
            <w:tcW w:w="305" w:type="dxa"/>
            <w:tcBorders/>
            <w:shd w:fill="CCEEFF" w:val="clear"/>
            <w:vAlign w:val="center"/>
          </w:tcPr>
          <w:p>
            <w:pPr>
              <w:pStyle w:val="TableContents"/>
              <w:bidi w:val="0"/>
              <w:spacing w:before="0" w:after="283"/>
              <w:jc w:val="left"/>
              <w:rPr/>
            </w:pPr>
            <w:r>
              <w:rPr/>
              <w:t>)%</w:t>
            </w:r>
          </w:p>
        </w:tc>
      </w:tr>
      <w:tr>
        <w:trPr/>
        <w:tc>
          <w:tcPr>
            <w:tcW w:w="2645" w:type="dxa"/>
            <w:tcBorders/>
            <w:shd w:fill="FFFFFF" w:val="clear"/>
            <w:vAlign w:val="center"/>
          </w:tcPr>
          <w:p>
            <w:pPr>
              <w:pStyle w:val="TableContents"/>
              <w:bidi w:val="0"/>
              <w:spacing w:before="0" w:after="283"/>
              <w:jc w:val="both"/>
              <w:rPr/>
            </w:pPr>
            <w:r>
              <w:rPr/>
              <w:t>Percentage of Revenue</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212.4</w:t>
            </w:r>
          </w:p>
        </w:tc>
        <w:tc>
          <w:tcPr>
            <w:tcW w:w="283"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1,086.7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years ended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Cost of Sales, Gross Profit, and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revenue has been transactional in nature, related to Research and Development grants or paid Proof of Concept installations which we refer to as Feasibility Studies. Our costs related to these activities do not necessarily reflect future costs of sales following the deployment of our Dot Cloud SaaS solution.</w:t>
      </w:r>
    </w:p>
    <w:p>
      <w:pPr>
        <w:pStyle w:val="TextBody"/>
        <w:bidi w:val="0"/>
        <w:spacing w:before="0" w:after="0"/>
        <w:ind w:left="0" w:right="0" w:hanging="0"/>
        <w:jc w:val="both"/>
        <w:rPr>
          <w:caps w:val="false"/>
          <w:smallCaps w:val="false"/>
        </w:rPr>
      </w:pPr>
      <w:r>
        <w:rPr>
          <w:caps w:val="false"/>
          <w:smallCaps w:val="false"/>
        </w:rPr>
        <w:t> </w:t>
      </w:r>
    </w:p>
    <w:tbl>
      <w:tblPr>
        <w:tblW w:w="7380" w:type="dxa"/>
        <w:jc w:val="left"/>
        <w:tblInd w:w="0" w:type="dxa"/>
        <w:tblLayout w:type="fixed"/>
        <w:tblCellMar>
          <w:top w:w="0" w:type="dxa"/>
          <w:left w:w="0" w:type="dxa"/>
          <w:bottom w:w="28" w:type="dxa"/>
          <w:right w:w="0" w:type="dxa"/>
        </w:tblCellMar>
      </w:tblPr>
      <w:tblGrid>
        <w:gridCol w:w="1895"/>
        <w:gridCol w:w="60"/>
        <w:gridCol w:w="140"/>
        <w:gridCol w:w="875"/>
        <w:gridCol w:w="260"/>
        <w:gridCol w:w="60"/>
        <w:gridCol w:w="140"/>
        <w:gridCol w:w="800"/>
        <w:gridCol w:w="260"/>
        <w:gridCol w:w="60"/>
        <w:gridCol w:w="140"/>
        <w:gridCol w:w="875"/>
        <w:gridCol w:w="335"/>
        <w:gridCol w:w="60"/>
        <w:gridCol w:w="96"/>
        <w:gridCol w:w="1019"/>
        <w:gridCol w:w="305"/>
      </w:tblGrid>
      <w:tr>
        <w:trPr/>
        <w:tc>
          <w:tcPr>
            <w:tcW w:w="1895" w:type="dxa"/>
            <w:tcBorders>
              <w:bottom w:val="single" w:sz="12" w:space="0" w:color="000000"/>
            </w:tcBorders>
            <w:vAlign w:val="center"/>
          </w:tcPr>
          <w:p>
            <w:pPr>
              <w:pStyle w:val="TableContents"/>
              <w:bidi w:val="0"/>
              <w:spacing w:before="0" w:after="283"/>
              <w:jc w:val="both"/>
              <w:rPr>
                <w:b/>
              </w:rPr>
            </w:pPr>
            <w:r>
              <w:rPr>
                <w:b/>
              </w:rPr>
              <w:t>YOY Comparison</w:t>
            </w:r>
          </w:p>
        </w:tc>
        <w:tc>
          <w:tcPr>
            <w:tcW w:w="60" w:type="dxa"/>
            <w:tcBorders/>
            <w:tcMar>
              <w:bottom w:w="0" w:type="dxa"/>
            </w:tcMar>
            <w:vAlign w:val="center"/>
          </w:tcPr>
          <w:p>
            <w:pPr>
              <w:pStyle w:val="TableContents"/>
              <w:bidi w:val="0"/>
              <w:spacing w:before="0" w:after="283"/>
              <w:jc w:val="center"/>
              <w:rPr/>
            </w:pPr>
            <w:r>
              <w:rPr/>
              <w:t> </w:t>
            </w:r>
          </w:p>
        </w:tc>
        <w:tc>
          <w:tcPr>
            <w:tcW w:w="1015" w:type="dxa"/>
            <w:gridSpan w:val="2"/>
            <w:tcBorders>
              <w:bottom w:val="single" w:sz="12" w:space="0" w:color="000000"/>
            </w:tcBorders>
            <w:vAlign w:val="center"/>
          </w:tcPr>
          <w:p>
            <w:pPr>
              <w:pStyle w:val="TableContents"/>
              <w:bidi w:val="0"/>
              <w:spacing w:before="0" w:after="283"/>
              <w:jc w:val="center"/>
              <w:rPr>
                <w:b/>
              </w:rPr>
            </w:pPr>
            <w:r>
              <w:rPr>
                <w:b/>
              </w:rPr>
              <w:t>2024</w:t>
            </w:r>
          </w:p>
        </w:tc>
        <w:tc>
          <w:tcPr>
            <w:tcW w:w="2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2023</w:t>
            </w:r>
          </w:p>
        </w:tc>
        <w:tc>
          <w:tcPr>
            <w:tcW w:w="2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15" w:type="dxa"/>
            <w:gridSpan w:val="2"/>
            <w:tcBorders>
              <w:bottom w:val="single" w:sz="12" w:space="0" w:color="000000"/>
            </w:tcBorders>
            <w:vAlign w:val="center"/>
          </w:tcPr>
          <w:p>
            <w:pPr>
              <w:pStyle w:val="TableContents"/>
              <w:bidi w:val="0"/>
              <w:spacing w:before="0" w:after="283"/>
              <w:jc w:val="center"/>
              <w:rPr>
                <w:b/>
              </w:rPr>
            </w:pPr>
            <w:r>
              <w:rPr>
                <w:b/>
              </w:rPr>
              <w:t>Change</w:t>
            </w:r>
          </w:p>
        </w:tc>
        <w:tc>
          <w:tcPr>
            <w:tcW w:w="3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 Change</w:t>
            </w:r>
          </w:p>
        </w:tc>
        <w:tc>
          <w:tcPr>
            <w:tcW w:w="305" w:type="dxa"/>
            <w:tcBorders/>
            <w:tcMar>
              <w:bottom w:w="0" w:type="dxa"/>
            </w:tcMar>
            <w:vAlign w:val="center"/>
          </w:tcPr>
          <w:p>
            <w:pPr>
              <w:pStyle w:val="TableContents"/>
              <w:bidi w:val="0"/>
              <w:spacing w:before="0" w:after="283"/>
              <w:jc w:val="center"/>
              <w:rPr/>
            </w:pPr>
            <w:r>
              <w:rPr/>
              <w:t> </w:t>
            </w:r>
          </w:p>
        </w:tc>
      </w:tr>
      <w:tr>
        <w:trPr/>
        <w:tc>
          <w:tcPr>
            <w:tcW w:w="1895" w:type="dxa"/>
            <w:tcBorders/>
            <w:shd w:fill="CCEEFF" w:val="clear"/>
            <w:tcMar>
              <w:bottom w:w="0" w:type="dxa"/>
            </w:tcMar>
            <w:vAlign w:val="center"/>
          </w:tcPr>
          <w:p>
            <w:pPr>
              <w:pStyle w:val="TableContents"/>
              <w:bidi w:val="0"/>
              <w:spacing w:before="0" w:after="283"/>
              <w:jc w:val="both"/>
              <w:rPr/>
            </w:pPr>
            <w:r>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jc w:val="right"/>
              <w:rPr/>
            </w:pPr>
            <w:r>
              <w:rPr/>
              <w:t>172,661</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439,640</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jc w:val="right"/>
              <w:rPr/>
            </w:pPr>
            <w:r>
              <w:rPr/>
              <w:t>(266,979</w:t>
            </w:r>
          </w:p>
        </w:tc>
        <w:tc>
          <w:tcPr>
            <w:tcW w:w="33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019" w:type="dxa"/>
            <w:tcBorders/>
            <w:shd w:fill="CCEEFF" w:val="clear"/>
            <w:tcMar>
              <w:bottom w:w="0" w:type="dxa"/>
            </w:tcMar>
            <w:vAlign w:val="center"/>
          </w:tcPr>
          <w:p>
            <w:pPr>
              <w:pStyle w:val="TableContents"/>
              <w:bidi w:val="0"/>
              <w:spacing w:before="0" w:after="283"/>
              <w:jc w:val="right"/>
              <w:rPr/>
            </w:pPr>
            <w:r>
              <w:rPr/>
              <w:t>(60.7</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1895" w:type="dxa"/>
            <w:tcBorders/>
            <w:shd w:fill="FFFFFF" w:val="clear"/>
            <w:tcMar>
              <w:bottom w:w="0" w:type="dxa"/>
            </w:tcMar>
            <w:vAlign w:val="center"/>
          </w:tcPr>
          <w:p>
            <w:pPr>
              <w:pStyle w:val="TableContents"/>
              <w:bidi w:val="0"/>
              <w:spacing w:before="0" w:after="283"/>
              <w:jc w:val="both"/>
              <w:rPr/>
            </w:pPr>
            <w:r>
              <w:rPr/>
              <w:t>Cost of Sales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jc w:val="right"/>
              <w:rPr/>
            </w:pPr>
            <w:r>
              <w:rPr/>
              <w:t>343,889</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86,888</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jc w:val="right"/>
              <w:rPr/>
            </w:pPr>
            <w:r>
              <w:rPr/>
              <w:t>257,001</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019" w:type="dxa"/>
            <w:tcBorders/>
            <w:shd w:fill="FFFFFF" w:val="clear"/>
            <w:tcMar>
              <w:bottom w:w="0" w:type="dxa"/>
            </w:tcMar>
            <w:vAlign w:val="center"/>
          </w:tcPr>
          <w:p>
            <w:pPr>
              <w:pStyle w:val="TableContents"/>
              <w:bidi w:val="0"/>
              <w:spacing w:before="0" w:after="283"/>
              <w:jc w:val="right"/>
              <w:rPr/>
            </w:pPr>
            <w:r>
              <w:rPr/>
              <w:t>(295.8</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1895" w:type="dxa"/>
            <w:tcBorders/>
            <w:shd w:fill="CCEEFF" w:val="clear"/>
            <w:tcMar>
              <w:bottom w:w="0" w:type="dxa"/>
            </w:tcMar>
            <w:vAlign w:val="center"/>
          </w:tcPr>
          <w:p>
            <w:pPr>
              <w:pStyle w:val="TableContents"/>
              <w:bidi w:val="0"/>
              <w:spacing w:before="0" w:after="283"/>
              <w:jc w:val="both"/>
              <w:rPr/>
            </w:pPr>
            <w:r>
              <w:rPr/>
              <w:t>Gross (Loss)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jc w:val="right"/>
              <w:rPr/>
            </w:pPr>
            <w:r>
              <w:rPr/>
              <w:t>(171,228</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352,752</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jc w:val="right"/>
              <w:rPr/>
            </w:pPr>
            <w:r>
              <w:rPr/>
              <w:t>(523,980</w:t>
            </w:r>
          </w:p>
        </w:tc>
        <w:tc>
          <w:tcPr>
            <w:tcW w:w="33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019" w:type="dxa"/>
            <w:tcBorders/>
            <w:shd w:fill="CCEEFF" w:val="clear"/>
            <w:tcMar>
              <w:bottom w:w="0" w:type="dxa"/>
            </w:tcMar>
            <w:vAlign w:val="center"/>
          </w:tcPr>
          <w:p>
            <w:pPr>
              <w:pStyle w:val="TableContents"/>
              <w:bidi w:val="0"/>
              <w:spacing w:before="0" w:after="283"/>
              <w:jc w:val="right"/>
              <w:rPr/>
            </w:pPr>
            <w:r>
              <w:rPr/>
              <w:t>(148.5</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1895" w:type="dxa"/>
            <w:tcBorders/>
            <w:shd w:fill="FFFFFF" w:val="clear"/>
            <w:tcMar>
              <w:bottom w:w="0" w:type="dxa"/>
            </w:tcMar>
            <w:vAlign w:val="center"/>
          </w:tcPr>
          <w:p>
            <w:pPr>
              <w:pStyle w:val="TableContents"/>
              <w:bidi w:val="0"/>
              <w:spacing w:before="0" w:after="283"/>
              <w:jc w:val="both"/>
              <w:rPr>
                <w:b/>
              </w:rPr>
            </w:pPr>
            <w:r>
              <w:rPr>
                <w:b/>
              </w:rPr>
              <w:t>Margin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b/>
              </w:rPr>
            </w:pPr>
            <w:r>
              <w:rPr>
                <w:b/>
              </w:rPr>
              <w:t>99.2</w:t>
            </w:r>
          </w:p>
        </w:tc>
        <w:tc>
          <w:tcPr>
            <w:tcW w:w="260"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b/>
              </w:rPr>
            </w:pPr>
            <w:r>
              <w:rPr>
                <w:b/>
              </w:rPr>
              <w:t>80.2</w:t>
            </w:r>
          </w:p>
        </w:tc>
        <w:tc>
          <w:tcPr>
            <w:tcW w:w="260"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b/>
              </w:rPr>
            </w:pPr>
            <w:r>
              <w:rPr>
                <w:b/>
              </w:rPr>
              <w:t>(18.9</w:t>
            </w:r>
          </w:p>
        </w:tc>
        <w:tc>
          <w:tcPr>
            <w:tcW w:w="33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019" w:type="dxa"/>
            <w:tcBorders/>
            <w:shd w:fill="FFFFFF" w:val="clear"/>
            <w:tcMar>
              <w:bottom w:w="0" w:type="dxa"/>
            </w:tcMar>
            <w:vAlign w:val="center"/>
          </w:tcPr>
          <w:p>
            <w:pPr>
              <w:pStyle w:val="TableContents"/>
              <w:bidi w:val="0"/>
              <w:spacing w:before="0" w:after="283"/>
              <w:jc w:val="right"/>
              <w:rPr>
                <w:b/>
              </w:rPr>
            </w:pPr>
            <w:r>
              <w:rPr>
                <w:b/>
              </w:rPr>
              <w:t>23.6</w:t>
            </w:r>
          </w:p>
        </w:tc>
        <w:tc>
          <w:tcPr>
            <w:tcW w:w="305" w:type="dxa"/>
            <w:tcBorders/>
            <w:shd w:fill="FFFF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 in Future Growth (Strategic OPEX Investment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 leadership is supported by continuous innovation on our Dot Cloud, our inventions in IoT data collection and our advances in applying AI to our customer problem sets. We continuously invest in adding new applications and methods to our solution. As such, spending on research and development will always be an important part of our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driving force that will fuel our company is market growth. Our recent pivot to move most of our spending to Sales and Marketing shows a commitment to our go-to-market strategy. We recognize the need to grow adoption and expand brand awareness as we rise in the space. This fiscal year is a critical period to add productive resources to ensure success is sustained.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Adding additional compliance and oversight resources as we grow and especially as we make a public offering, is a natural and essential step. In addition, our small operations team will continue to grow as the demand increases from our maturing sales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Spending</w:t>
      </w:r>
    </w:p>
    <w:p>
      <w:pPr>
        <w:pStyle w:val="TextBody"/>
        <w:bidi w:val="0"/>
        <w:spacing w:before="0" w:after="0"/>
        <w:ind w:left="0" w:right="0" w:hanging="0"/>
        <w:jc w:val="both"/>
        <w:rPr>
          <w:caps w:val="false"/>
          <w:smallCaps w:val="false"/>
        </w:rPr>
      </w:pPr>
      <w:r>
        <w:rPr>
          <w:caps w:val="false"/>
          <w:smallCaps w:val="false"/>
        </w:rPr>
        <w:t> </w:t>
      </w:r>
    </w:p>
    <w:tbl>
      <w:tblPr>
        <w:tblW w:w="7880" w:type="dxa"/>
        <w:jc w:val="left"/>
        <w:tblInd w:w="0" w:type="dxa"/>
        <w:tblLayout w:type="fixed"/>
        <w:tblCellMar>
          <w:top w:w="0" w:type="dxa"/>
          <w:left w:w="0" w:type="dxa"/>
          <w:bottom w:w="28" w:type="dxa"/>
          <w:right w:w="0" w:type="dxa"/>
        </w:tblCellMar>
      </w:tblPr>
      <w:tblGrid>
        <w:gridCol w:w="2645"/>
        <w:gridCol w:w="60"/>
        <w:gridCol w:w="140"/>
        <w:gridCol w:w="980"/>
        <w:gridCol w:w="60"/>
        <w:gridCol w:w="60"/>
        <w:gridCol w:w="140"/>
        <w:gridCol w:w="980"/>
        <w:gridCol w:w="60"/>
        <w:gridCol w:w="60"/>
        <w:gridCol w:w="140"/>
        <w:gridCol w:w="980"/>
        <w:gridCol w:w="95"/>
        <w:gridCol w:w="60"/>
        <w:gridCol w:w="107"/>
        <w:gridCol w:w="1008"/>
        <w:gridCol w:w="305"/>
      </w:tblGrid>
      <w:tr>
        <w:trPr/>
        <w:tc>
          <w:tcPr>
            <w:tcW w:w="2645" w:type="dxa"/>
            <w:tcBorders>
              <w:bottom w:val="single" w:sz="12" w:space="0" w:color="000000"/>
            </w:tcBorders>
            <w:vAlign w:val="center"/>
          </w:tcPr>
          <w:p>
            <w:pPr>
              <w:pStyle w:val="TableContents"/>
              <w:bidi w:val="0"/>
              <w:spacing w:before="0" w:after="283"/>
              <w:jc w:val="left"/>
              <w:rPr>
                <w:b/>
              </w:rPr>
            </w:pPr>
            <w:r>
              <w:rPr>
                <w:b/>
              </w:rPr>
              <w:t>YOY Comparison</w:t>
            </w:r>
          </w:p>
        </w:tc>
        <w:tc>
          <w:tcPr>
            <w:tcW w:w="60" w:type="dxa"/>
            <w:tcBorders/>
            <w:tcMar>
              <w:bottom w:w="0" w:type="dxa"/>
            </w:tcMar>
            <w:vAlign w:val="center"/>
          </w:tcPr>
          <w:p>
            <w:pPr>
              <w:pStyle w:val="TableContents"/>
              <w:bidi w:val="0"/>
              <w:spacing w:before="0" w:after="283"/>
              <w:jc w:val="center"/>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2024</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2023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Change</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 Change</w:t>
            </w:r>
          </w:p>
        </w:tc>
        <w:tc>
          <w:tcPr>
            <w:tcW w:w="305" w:type="dxa"/>
            <w:tcBorders/>
            <w:tcMar>
              <w:bottom w:w="0" w:type="dxa"/>
            </w:tcMar>
            <w:vAlign w:val="center"/>
          </w:tcPr>
          <w:p>
            <w:pPr>
              <w:pStyle w:val="TableContents"/>
              <w:bidi w:val="0"/>
              <w:spacing w:before="0" w:after="283"/>
              <w:jc w:val="center"/>
              <w:rPr/>
            </w:pPr>
            <w:r>
              <w:rPr/>
              <w:t> </w:t>
            </w:r>
          </w:p>
        </w:tc>
      </w:tr>
      <w:tr>
        <w:trPr/>
        <w:tc>
          <w:tcPr>
            <w:tcW w:w="2645" w:type="dxa"/>
            <w:tcBorders/>
            <w:shd w:fill="CCEEFF" w:val="clear"/>
            <w:tcMar>
              <w:bottom w:w="0" w:type="dxa"/>
            </w:tcMar>
            <w:vAlign w:val="center"/>
          </w:tcPr>
          <w:p>
            <w:pPr>
              <w:pStyle w:val="TableContents"/>
              <w:bidi w:val="0"/>
              <w:spacing w:before="0" w:after="283"/>
              <w:jc w:val="both"/>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759,967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837,453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(77,486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(9.3</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2645" w:type="dxa"/>
            <w:tcBorders/>
            <w:shd w:fill="FFFFFF" w:val="clear"/>
            <w:tcMar>
              <w:bottom w:w="0" w:type="dxa"/>
            </w:tcMar>
            <w:vAlign w:val="center"/>
          </w:tcPr>
          <w:p>
            <w:pPr>
              <w:pStyle w:val="TableContents"/>
              <w:bidi w:val="0"/>
              <w:spacing w:before="0" w:after="283"/>
              <w:jc w:val="both"/>
              <w:rPr/>
            </w:pPr>
            <w:r>
              <w:rPr/>
              <w:t>Sales and 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2,524,930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449,936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2,074,994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461.2</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2645" w:type="dxa"/>
            <w:tcBorders/>
            <w:shd w:fill="CCEEFF" w:val="clear"/>
            <w:tcMar>
              <w:bottom w:w="0" w:type="dxa"/>
            </w:tcMar>
            <w:vAlign w:val="center"/>
          </w:tcPr>
          <w:p>
            <w:pPr>
              <w:pStyle w:val="TableContents"/>
              <w:bidi w:val="0"/>
              <w:spacing w:before="0" w:after="283"/>
              <w:jc w:val="both"/>
              <w:rPr/>
            </w:pPr>
            <w:r>
              <w:rPr/>
              <w:t>General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980" w:type="dxa"/>
            <w:tcBorders>
              <w:bottom w:val="single" w:sz="12" w:space="0" w:color="000000"/>
            </w:tcBorders>
            <w:shd w:fill="CCEEFF" w:val="clear"/>
            <w:vAlign w:val="center"/>
          </w:tcPr>
          <w:p>
            <w:pPr>
              <w:pStyle w:val="TableContents"/>
              <w:bidi w:val="0"/>
              <w:spacing w:before="0" w:after="283"/>
              <w:jc w:val="right"/>
              <w:rPr/>
            </w:pPr>
            <w:r>
              <w:rPr/>
              <w:t>3,588,548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980" w:type="dxa"/>
            <w:tcBorders>
              <w:bottom w:val="single" w:sz="12" w:space="0" w:color="000000"/>
            </w:tcBorders>
            <w:shd w:fill="CCEEFF" w:val="clear"/>
            <w:vAlign w:val="center"/>
          </w:tcPr>
          <w:p>
            <w:pPr>
              <w:pStyle w:val="TableContents"/>
              <w:bidi w:val="0"/>
              <w:spacing w:before="0" w:after="283"/>
              <w:jc w:val="right"/>
              <w:rPr/>
            </w:pPr>
            <w:r>
              <w:rPr/>
              <w:t>742,041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980" w:type="dxa"/>
            <w:tcBorders>
              <w:bottom w:val="single" w:sz="12" w:space="0" w:color="000000"/>
            </w:tcBorders>
            <w:shd w:fill="CCEEFF" w:val="clear"/>
            <w:vAlign w:val="center"/>
          </w:tcPr>
          <w:p>
            <w:pPr>
              <w:pStyle w:val="TableContents"/>
              <w:bidi w:val="0"/>
              <w:spacing w:before="0" w:after="283"/>
              <w:jc w:val="right"/>
              <w:rPr/>
            </w:pPr>
            <w:r>
              <w:rPr/>
              <w:t>2,846,507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bottom w:val="single" w:sz="12" w:space="0" w:color="000000"/>
            </w:tcBorders>
            <w:shd w:fill="CCEEFF" w:val="clear"/>
            <w:vAlign w:val="center"/>
          </w:tcPr>
          <w:p>
            <w:pPr>
              <w:pStyle w:val="TableContents"/>
              <w:bidi w:val="0"/>
              <w:spacing w:before="0" w:after="283"/>
              <w:jc w:val="left"/>
              <w:rPr/>
            </w:pPr>
            <w:r>
              <w:rPr/>
              <w:t> </w:t>
            </w:r>
          </w:p>
        </w:tc>
        <w:tc>
          <w:tcPr>
            <w:tcW w:w="1008" w:type="dxa"/>
            <w:tcBorders>
              <w:bottom w:val="single" w:sz="12" w:space="0" w:color="000000"/>
            </w:tcBorders>
            <w:shd w:fill="CCEEFF" w:val="clear"/>
            <w:vAlign w:val="center"/>
          </w:tcPr>
          <w:p>
            <w:pPr>
              <w:pStyle w:val="TableContents"/>
              <w:bidi w:val="0"/>
              <w:spacing w:before="0" w:after="283"/>
              <w:jc w:val="right"/>
              <w:rPr/>
            </w:pPr>
            <w:r>
              <w:rPr/>
              <w:t>383.6</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2645" w:type="dxa"/>
            <w:tcBorders/>
            <w:shd w:fill="FFFFFF" w:val="clear"/>
            <w:tcMar>
              <w:bottom w:w="0" w:type="dxa"/>
            </w:tcMar>
            <w:vAlign w:val="center"/>
          </w:tcPr>
          <w:p>
            <w:pPr>
              <w:pStyle w:val="TableContents"/>
              <w:bidi w:val="0"/>
              <w:spacing w:before="0" w:after="283"/>
              <w:jc w:val="both"/>
              <w:rPr>
                <w:b/>
              </w:rPr>
            </w:pPr>
            <w:r>
              <w:rPr>
                <w:b/>
              </w:rPr>
              <w:t>Total OPEX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980" w:type="dxa"/>
            <w:tcBorders>
              <w:bottom w:val="double" w:sz="10" w:space="0" w:color="000000"/>
            </w:tcBorders>
            <w:shd w:fill="FFFFFF" w:val="clear"/>
            <w:vAlign w:val="center"/>
          </w:tcPr>
          <w:p>
            <w:pPr>
              <w:pStyle w:val="TableContents"/>
              <w:bidi w:val="0"/>
              <w:spacing w:before="0" w:after="283"/>
              <w:jc w:val="right"/>
              <w:rPr>
                <w:b/>
              </w:rPr>
            </w:pPr>
            <w:r>
              <w:rPr>
                <w:b/>
              </w:rPr>
              <w:t>6,873,445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980" w:type="dxa"/>
            <w:tcBorders>
              <w:bottom w:val="double" w:sz="10" w:space="0" w:color="000000"/>
            </w:tcBorders>
            <w:shd w:fill="FFFFFF" w:val="clear"/>
            <w:vAlign w:val="center"/>
          </w:tcPr>
          <w:p>
            <w:pPr>
              <w:pStyle w:val="TableContents"/>
              <w:bidi w:val="0"/>
              <w:spacing w:before="0" w:after="283"/>
              <w:jc w:val="right"/>
              <w:rPr>
                <w:b/>
              </w:rPr>
            </w:pPr>
            <w:r>
              <w:rPr>
                <w:b/>
              </w:rPr>
              <w:t>2,029,430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980" w:type="dxa"/>
            <w:tcBorders>
              <w:bottom w:val="double" w:sz="10" w:space="0" w:color="000000"/>
            </w:tcBorders>
            <w:shd w:fill="FFFFFF" w:val="clear"/>
            <w:vAlign w:val="center"/>
          </w:tcPr>
          <w:p>
            <w:pPr>
              <w:pStyle w:val="TableContents"/>
              <w:bidi w:val="0"/>
              <w:spacing w:before="0" w:after="283"/>
              <w:jc w:val="right"/>
              <w:rPr>
                <w:b/>
              </w:rPr>
            </w:pPr>
            <w:r>
              <w:rPr>
                <w:b/>
              </w:rPr>
              <w:t>4,844,015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bottom w:val="double" w:sz="10" w:space="0" w:color="000000"/>
            </w:tcBorders>
            <w:shd w:fill="FFFFFF" w:val="clear"/>
            <w:vAlign w:val="center"/>
          </w:tcPr>
          <w:p>
            <w:pPr>
              <w:pStyle w:val="TableContents"/>
              <w:bidi w:val="0"/>
              <w:spacing w:before="0" w:after="283"/>
              <w:jc w:val="left"/>
              <w:rPr/>
            </w:pPr>
            <w:r>
              <w:rPr/>
              <w:t> </w:t>
            </w:r>
          </w:p>
        </w:tc>
        <w:tc>
          <w:tcPr>
            <w:tcW w:w="1008" w:type="dxa"/>
            <w:tcBorders>
              <w:bottom w:val="double" w:sz="10" w:space="0" w:color="000000"/>
            </w:tcBorders>
            <w:shd w:fill="FFFFFF" w:val="clear"/>
            <w:vAlign w:val="center"/>
          </w:tcPr>
          <w:p>
            <w:pPr>
              <w:pStyle w:val="TableContents"/>
              <w:bidi w:val="0"/>
              <w:spacing w:before="0" w:after="283"/>
              <w:jc w:val="right"/>
              <w:rPr>
                <w:b/>
              </w:rPr>
            </w:pPr>
            <w:r>
              <w:rPr>
                <w:b/>
              </w:rPr>
              <w:t>238.7</w:t>
            </w:r>
          </w:p>
        </w:tc>
        <w:tc>
          <w:tcPr>
            <w:tcW w:w="305" w:type="dxa"/>
            <w:tcBorders/>
            <w:shd w:fill="FFFF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expenses</w:t>
      </w:r>
    </w:p>
    <w:p>
      <w:pPr>
        <w:pStyle w:val="TextBody"/>
        <w:bidi w:val="0"/>
        <w:spacing w:before="0" w:after="0"/>
        <w:ind w:left="0" w:right="0" w:hanging="0"/>
        <w:jc w:val="both"/>
        <w:rPr>
          <w:caps w:val="false"/>
          <w:smallCaps w:val="false"/>
        </w:rPr>
      </w:pPr>
      <w:r>
        <w:rPr>
          <w:caps w:val="false"/>
          <w:smallCaps w:val="false"/>
        </w:rPr>
        <w:t> </w:t>
      </w:r>
    </w:p>
    <w:tbl>
      <w:tblPr>
        <w:tblW w:w="10092" w:type="dxa"/>
        <w:jc w:val="left"/>
        <w:tblInd w:w="0" w:type="dxa"/>
        <w:tblLayout w:type="fixed"/>
        <w:tblCellMar>
          <w:top w:w="0" w:type="dxa"/>
          <w:left w:w="0" w:type="dxa"/>
          <w:bottom w:w="0" w:type="dxa"/>
          <w:right w:w="0" w:type="dxa"/>
        </w:tblCellMar>
      </w:tblPr>
      <w:tblGrid>
        <w:gridCol w:w="3995"/>
        <w:gridCol w:w="60"/>
        <w:gridCol w:w="214"/>
        <w:gridCol w:w="1688"/>
        <w:gridCol w:w="92"/>
        <w:gridCol w:w="92"/>
        <w:gridCol w:w="214"/>
        <w:gridCol w:w="1227"/>
        <w:gridCol w:w="60"/>
        <w:gridCol w:w="60"/>
        <w:gridCol w:w="140"/>
        <w:gridCol w:w="1100"/>
        <w:gridCol w:w="60"/>
        <w:gridCol w:w="60"/>
        <w:gridCol w:w="60"/>
        <w:gridCol w:w="740"/>
        <w:gridCol w:w="230"/>
      </w:tblGrid>
      <w:tr>
        <w:trPr/>
        <w:tc>
          <w:tcPr>
            <w:tcW w:w="39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52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230"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2" w:type="dxa"/>
            <w:tcBorders/>
            <w:vAlign w:val="center"/>
          </w:tcPr>
          <w:p>
            <w:pPr>
              <w:pStyle w:val="TableContents"/>
              <w:bidi w:val="0"/>
              <w:spacing w:before="0" w:after="283"/>
              <w:jc w:val="center"/>
              <w:rPr/>
            </w:pPr>
            <w:r>
              <w:rPr/>
              <w:t> </w:t>
            </w:r>
          </w:p>
        </w:tc>
        <w:tc>
          <w:tcPr>
            <w:tcW w:w="92" w:type="dxa"/>
            <w:tcBorders/>
            <w:vAlign w:val="center"/>
          </w:tcPr>
          <w:p>
            <w:pPr>
              <w:pStyle w:val="TableContents"/>
              <w:bidi w:val="0"/>
              <w:spacing w:before="0" w:after="283"/>
              <w:jc w:val="center"/>
              <w:rPr/>
            </w:pPr>
            <w:r>
              <w:rPr/>
              <w:t> </w:t>
            </w:r>
          </w:p>
        </w:tc>
        <w:tc>
          <w:tcPr>
            <w:tcW w:w="14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center"/>
              <w:rPr/>
            </w:pPr>
            <w:r>
              <w:rPr/>
              <w:t> </w:t>
            </w:r>
          </w:p>
        </w:tc>
      </w:tr>
      <w:tr>
        <w:trPr/>
        <w:tc>
          <w:tcPr>
            <w:tcW w:w="3995" w:type="dxa"/>
            <w:tcBorders/>
            <w:shd w:fill="CCEEFF" w:val="clear"/>
            <w:vAlign w:val="center"/>
          </w:tcPr>
          <w:p>
            <w:pPr>
              <w:pStyle w:val="TableContents"/>
              <w:bidi w:val="0"/>
              <w:spacing w:before="0" w:after="283"/>
              <w:jc w:val="both"/>
              <w:rPr/>
            </w:pPr>
            <w:r>
              <w:rPr/>
              <w:t>Change in fair value of SAFE agreements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88" w:type="dxa"/>
            <w:tcBorders>
              <w:bottom w:val="double" w:sz="10" w:space="0" w:color="000000"/>
            </w:tcBorders>
            <w:shd w:fill="CCEEFF" w:val="clear"/>
            <w:tcMar>
              <w:bottom w:w="28" w:type="dxa"/>
            </w:tcMar>
            <w:vAlign w:val="center"/>
          </w:tcPr>
          <w:p>
            <w:pPr>
              <w:pStyle w:val="TableContents"/>
              <w:bidi w:val="0"/>
              <w:spacing w:before="0" w:after="283"/>
              <w:jc w:val="right"/>
              <w:rPr/>
            </w:pPr>
            <w:r>
              <w:rPr/>
              <w:t>14,492,176</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7" w:type="dxa"/>
            <w:tcBorders>
              <w:bottom w:val="double" w:sz="10" w:space="0" w:color="000000"/>
            </w:tcBorders>
            <w:shd w:fill="CCEEFF" w:val="clear"/>
            <w:tcMar>
              <w:bottom w:w="28" w:type="dxa"/>
            </w:tcMar>
            <w:vAlign w:val="center"/>
          </w:tcPr>
          <w:p>
            <w:pPr>
              <w:pStyle w:val="TableContents"/>
              <w:bidi w:val="0"/>
              <w:spacing w:before="0" w:after="283"/>
              <w:jc w:val="right"/>
              <w:rPr/>
            </w:pPr>
            <w:r>
              <w:rPr/>
              <w:t>263,239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14,228,937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pPr>
            <w:r>
              <w:rPr/>
              <w:t>5,405.3</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is made for tax at this time as the company has not generated taxable income at this stage.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is a measure of our ability to access sufficient cash flows to meet the short-term and long-term cash requirements of our business operations. Since our founding, we have financed our operations primarily through seed investment in the form of SAFE agreements. We anticipate funding in connection with the Business Combination, as described above and that such funding will be sufficient for the next 12 months. Our future capital requirements will depend on many factors, including, but not limited to, our growth, our ability to attract and retain customers, the continued market acceptance of our solution, the timing and extent of spending necessary to support our efforts to develop our Dot Cloud and meet our performance obligations related to subscription sales of the same, the expansion of sales and marketing activities, and the impact of macroeconomic conditions on us and our customers’ and partners’ businesses. Further, we may enter into arrangements to acquire or invest in businesses, products, services, and technologies. We will need to raise additional capital in the future to finance our operations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assessment of going concern considerations in accordance with FASB ASC Topic 205-40, “Presentation of Financial Statements — Going Concern,” management anticipates the Company will continue to incur operating losses for the foreseeable future. Our ability to continue as a going concern is dependent on its ability to raise additional capital to fund its research and development (“</w:t>
      </w:r>
      <w:r>
        <w:rPr>
          <w:rFonts w:ascii="Times New Roman;Times;Serif" w:hAnsi="Times New Roman;Times;Serif"/>
          <w:b/>
          <w:i/>
          <w:caps w:val="false"/>
          <w:smallCaps w:val="false"/>
          <w:sz w:val="20"/>
        </w:rPr>
        <w:t>R&amp;D</w:t>
      </w:r>
      <w:r>
        <w:rPr>
          <w:rFonts w:ascii="Times New Roman;Times;Serif" w:hAnsi="Times New Roman;Times;Serif"/>
          <w:b w:val="false"/>
          <w:i w:val="false"/>
          <w:caps w:val="false"/>
          <w:smallCaps w:val="false"/>
          <w:sz w:val="20"/>
        </w:rPr>
        <w:t>”) activities and meet obligations on a timely basis. However, there can be no assurance that sufficient funding will be available to allow us to successfully continue its R&amp;D activities and commercialize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necessary funds through our business operations and the proceeds realized through the Business Combination, significant reductions in spending and the delay or cancellation of planned activities may be necessary. These actions would have a material adverse effect on our business, results of operations, and prospects. These conditions raise substantial doubt about our ability to continue as a going concern within one year from the date these interim unaudited consolidated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and the related notes thereto included elsewhere in this filing are prepared in accordance with GAAP. We believe that the following accounting policies involve a high degree of judgment and complexity. These are the policies we believe are the most critical to aid in fully understanding and evaluating our consolidated financial condition and results of our operations. The preparation of our consolidated financial statements in conformity with GAAP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 The critical accounting estimates, assumptions and judgments that we believe have the most significant impact on our consolidated financial statements are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liabilities, as well as disclosure of contingent assets and liabilities at the date of the consolidated financial statements and the reported amounts of revenue and expenses during the reporting period. Judgment is involved in determining capitalized software development costs, the fair value of the SAFE agreements, useful lives of capitalized software development costs, accrued expenses, stock based compensation and income tax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bases these estimates on historical and anticipated results, trends, and various other assumptions that the Company believes are reasonable under the circumstances, including assumptions as to future events. Actual results could differ materially from those estimates and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analyzed the impact of using the estimates on its financial statement line items and has considered the impact of the estimates within each of the critical accounting policies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for SAFE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815 40, </w:t>
      </w:r>
      <w:r>
        <w:rPr>
          <w:rFonts w:ascii="Times New Roman;Times;Serif" w:hAnsi="Times New Roman;Times;Serif"/>
          <w:b w:val="false"/>
          <w:i/>
          <w:caps w:val="false"/>
          <w:smallCaps w:val="false"/>
          <w:sz w:val="20"/>
        </w:rPr>
        <w:t>Contracts in Entity's Own Equity</w:t>
      </w:r>
      <w:r>
        <w:rPr>
          <w:rFonts w:ascii="Times New Roman;Times;Serif" w:hAnsi="Times New Roman;Times;Serif"/>
          <w:b w:val="false"/>
          <w:i w:val="false"/>
          <w:caps w:val="false"/>
          <w:smallCaps w:val="false"/>
          <w:sz w:val="20"/>
        </w:rPr>
        <w:t>, the Company determined the SAFE agreements are freestanding financial instruments and accordingly are classified as "liabilities" in the accompanying consolidated balance sheets. The SAFE agreements are carried at estimated fair value determined by the Company using a probability weighted expected return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promised goods or services are transferred to customers in an amount that reflects the consideration to which we expect to be entitled in exchange for those goods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revenue recognition through the following steps:</w:t>
      </w:r>
    </w:p>
    <w:p>
      <w:pPr>
        <w:pStyle w:val="TextBody"/>
        <w:bidi w:val="0"/>
        <w:spacing w:before="0" w:after="0"/>
        <w:ind w:left="0" w:right="0" w:hanging="0"/>
        <w:jc w:val="both"/>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20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5585" w:type="dxa"/>
            <w:tcBorders/>
            <w:vAlign w:val="center"/>
          </w:tcPr>
          <w:p>
            <w:pPr>
              <w:pStyle w:val="TableContents"/>
              <w:bidi w:val="0"/>
              <w:spacing w:before="0" w:after="283"/>
              <w:jc w:val="both"/>
              <w:rPr/>
            </w:pPr>
            <w:r>
              <w:rPr/>
              <w:t>Identification of the contract, or contracts, with a customer;</w:t>
            </w:r>
          </w:p>
        </w:tc>
      </w:tr>
    </w:tbl>
    <w:p>
      <w:pPr>
        <w:pStyle w:val="TextBody"/>
        <w:bidi w:val="0"/>
        <w:spacing w:before="0" w:after="0"/>
        <w:ind w:left="0" w:right="0" w:hanging="0"/>
        <w:jc w:val="both"/>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200"/>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5675" w:type="dxa"/>
            <w:tcBorders/>
            <w:vAlign w:val="center"/>
          </w:tcPr>
          <w:p>
            <w:pPr>
              <w:pStyle w:val="TableContents"/>
              <w:bidi w:val="0"/>
              <w:spacing w:before="0" w:after="283"/>
              <w:jc w:val="both"/>
              <w:rPr/>
            </w:pPr>
            <w:r>
              <w:rPr/>
              <w:t>Identification of the performance obligations in the contract;</w:t>
            </w:r>
          </w:p>
        </w:tc>
      </w:tr>
    </w:tbl>
    <w:p>
      <w:pPr>
        <w:pStyle w:val="TextBody"/>
        <w:bidi w:val="0"/>
        <w:spacing w:before="0" w:after="0"/>
        <w:ind w:left="0" w:right="0" w:hanging="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200"/>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3650" w:type="dxa"/>
            <w:tcBorders/>
            <w:vAlign w:val="center"/>
          </w:tcPr>
          <w:p>
            <w:pPr>
              <w:pStyle w:val="TableContents"/>
              <w:bidi w:val="0"/>
              <w:spacing w:before="0" w:after="283"/>
              <w:jc w:val="both"/>
              <w:rPr/>
            </w:pPr>
            <w:r>
              <w:rPr/>
              <w:t>Determination of the transaction price;</w:t>
            </w:r>
          </w:p>
        </w:tc>
      </w:tr>
    </w:tbl>
    <w:p>
      <w:pPr>
        <w:pStyle w:val="TextBody"/>
        <w:bidi w:val="0"/>
        <w:spacing w:before="0" w:after="0"/>
        <w:ind w:left="0" w:right="0" w:hanging="0"/>
        <w:jc w:val="both"/>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20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8015" w:type="dxa"/>
            <w:tcBorders/>
            <w:vAlign w:val="center"/>
          </w:tcPr>
          <w:p>
            <w:pPr>
              <w:pStyle w:val="TableContents"/>
              <w:bidi w:val="0"/>
              <w:spacing w:before="0" w:after="283"/>
              <w:jc w:val="both"/>
              <w:rPr/>
            </w:pPr>
            <w:r>
              <w:rPr/>
              <w:t>Allocation of the transaction price to the performance obligations in the contract; and</w:t>
            </w:r>
          </w:p>
        </w:tc>
      </w:tr>
    </w:tbl>
    <w:p>
      <w:pPr>
        <w:pStyle w:val="TextBody"/>
        <w:bidi w:val="0"/>
        <w:spacing w:before="0" w:after="0"/>
        <w:ind w:left="0" w:right="0" w:hanging="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00"/>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6950" w:type="dxa"/>
            <w:tcBorders/>
            <w:vAlign w:val="center"/>
          </w:tcPr>
          <w:p>
            <w:pPr>
              <w:pStyle w:val="TableContents"/>
              <w:bidi w:val="0"/>
              <w:spacing w:before="0" w:after="283"/>
              <w:jc w:val="both"/>
              <w:rPr/>
            </w:pPr>
            <w:r>
              <w:rPr/>
              <w:t>Recognition of revenue when, or as, we satisfy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feasibility studies which allow customers to gain insight into how data driven tracking could improve their business. As part of our studies, off-the-shelf components are installed on customer-owned assets which enable data to be captured by our beta ZIM technology network. These feasibility studies allow the refinement of our software protocols and provide essential information for the continued development of our solution. Customers receive the information captured in our feasibility study reports. These feasibility study reports are the only performance obligation in our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determined that the single promise to our customers is satisfied at a point in time. In reaching this conclusion, we considered the context of the contract and the nature of our promise to provide the customer with actionable insights to improve the management of their operations in a feasibility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single performance obligation is satisfied at a point in time, as our customers do not consume the benefits of our studies until their feasibility report is delivered. Accordingly, the fixed consideration related to the performance obligation is recognized on when control of the feasibility report is transferred to the customer which is upon acceptance.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estimates involved in revenue recognition pertain to determination of standalone selling price. Management considered the data inputs for the standalone selling price and determined that the adjusted market assessment approach provided the best estimate of the standalone selling price. The estimates applied have been reasonable in the past and the likelihood of change in estimate to impact the standalone selling price is remote.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Internal-Use Software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Financial Accounting Standards Board (“</w:t>
      </w:r>
      <w:r>
        <w:rPr>
          <w:rFonts w:ascii="Times New Roman;Times;Serif" w:hAnsi="Times New Roman;Times;Serif"/>
          <w:b/>
          <w:i/>
          <w:caps w:val="false"/>
          <w:smallCaps w:val="false"/>
          <w:sz w:val="20"/>
        </w:rPr>
        <w:t>FASB</w:t>
      </w:r>
      <w:r>
        <w:rPr>
          <w:rFonts w:ascii="Times New Roman;Times;Serif" w:hAnsi="Times New Roman;Times;Serif"/>
          <w:b w:val="false"/>
          <w:i w:val="false"/>
          <w:caps w:val="false"/>
          <w:smallCaps w:val="false"/>
          <w:sz w:val="20"/>
        </w:rPr>
        <w:t>”) Accounting Standards Codification (“</w:t>
      </w:r>
      <w:r>
        <w:rPr>
          <w:rFonts w:ascii="Times New Roman;Times;Serif" w:hAnsi="Times New Roman;Times;Serif"/>
          <w:b/>
          <w:i/>
          <w:caps w:val="false"/>
          <w:smallCaps w:val="false"/>
          <w:sz w:val="20"/>
        </w:rPr>
        <w:t>ASC</w:t>
      </w:r>
      <w:r>
        <w:rPr>
          <w:rFonts w:ascii="Times New Roman;Times;Serif" w:hAnsi="Times New Roman;Times;Serif"/>
          <w:b w:val="false"/>
          <w:i w:val="false"/>
          <w:caps w:val="false"/>
          <w:smallCaps w:val="false"/>
          <w:sz w:val="20"/>
        </w:rPr>
        <w:t>”) Topic 350 40, Intangibles Goodwill and Other Internal Use Software, we capitalize software development costs incurred on new applications or enhancements to applications during the application development phase of software for internal use to provide services to customers. These capitalized costs include certain payroll and payroll related costs for employees and costs for outside consultants who are directly associated with and who devote time to internal use software projects. Costs incurred prior to the application development phase and after the market release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on an annual basis and will test for impairment whenever events or changes in circumstances occur that could impact the recoverability of these assets. These costs are not yet amortized as our SAAS solution has not been deployed.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use of estimates in determining the appropriate allocation of personnel costs (including fringe benefits and stock compensation) and software development consultants’ costs to software capitalization. Such costs were analyzed for reasonableness and the current basis (evaluation of project plans and stage) is determined to be best estimate of the costs capitalized during the period. The estimates applied have been reasonable in the past and the likelihood of change in estimate to impact the software cost capitalized is remote.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0" w:name="ea024660701ex99-7_cidhold.htm"/>
      <w:bookmarkStart w:id="81" w:name="ksea024660701ex997_cidhold"/>
      <w:bookmarkEnd w:id="80"/>
      <w:bookmarkEnd w:id="81"/>
      <w:r>
        <w:rPr>
          <w:rFonts w:ascii="Times New Roman;Times;Serif" w:hAnsi="Times New Roman;Times;Serif"/>
          <w:b/>
          <w:i w:val="false"/>
          <w:caps w:val="false"/>
          <w:smallCaps w:val="false"/>
          <w:sz w:val="20"/>
        </w:rPr>
        <w:t>Exhibit 99.7</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810375" cy="990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3"/>
                    <a:stretch>
                      <a:fillRect/>
                    </a:stretch>
                  </pic:blipFill>
                  <pic:spPr bwMode="auto">
                    <a:xfrm>
                      <a:off x="0" y="0"/>
                      <a:ext cx="6810375" cy="9906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Dot Ai, a Pioneer of Next-Gen Technology for Asset Intelligence, Completes Business Combination; Will Begin Trading on Nasdaq Stock Market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Dot Ai Class A common stock and warrants to trade on Nasdaq on June 23, 2025, under the symbols “DAIC” and “DAICW”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Raises $12 Million in PIPE financing from investors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LAS VEGAS and KENNESAW, GA – June 18, 2025 –</w:t>
      </w:r>
      <w:r>
        <w:rPr>
          <w:rFonts w:ascii="Times New Roman;Times;Serif" w:hAnsi="Times New Roman;Times;Serif"/>
          <w:b w:val="false"/>
          <w:i w:val="false"/>
          <w:caps w:val="false"/>
          <w:smallCaps w:val="false"/>
          <w:sz w:val="20"/>
        </w:rPr>
        <w:t xml:space="preserve"> SEE ID, Inc., doing business as Dot Ai (“Dot Ai”), a pioneering startup at the forefront of asset intelligence technology, and ShoulderUp Technology Acquisition Corp. (NYSE: SUAC) (“ShoulderUp”), today announced the closing of their previously announced business combination, which was approved by ShoulderUp shareholders at a special meeting on Feb. 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closing of the business combination, Dot Ai has become a publicly traded company, and its Class A common stock and warrants will begin trading on Nasdaq under the ticker symbols “DAIC” and “DAICW,” respectively, on June 23,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Dot Ai has raised $12 million in PIPE investment to support its strategic growth plans, including the expansion of R&amp;D, Go-To-Market, and building out of its Puerto Rico-based manufacturing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Dot Ai is revolutionizing how companies manage their supply chains with our innovative, AI-fueled asset intelligence technology and proprietary software and hardware solutions,” said Ed Nabrotzky, Co-founder and CEO of Dot Ai. “As we enter our next chapter of growth as a publicly listed company, our team remains laser-focused on continuing to execute on our new product launches, building upon our transformative partnership with industrial manufacturing leader, Würth Industry USA, and finalizing contracts with key players across a variety of sectors. Today is just the beginning of our growth story, and we look forward to our continued disruption of legacy technologies as we help companies connect the dots across their value chain.”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a world where supply chains are still trying to catch up with the speed of innovation, Dot Ai is not just solving problems, it’s redefining possibilities. This is the kind of company that doesn’t follow the future, it creates it,” said Phyllis Newhouse, CEO of ShoulderUp Technology Acquisition Corp. “At ShoulderUp, we’re proud to partner with a team that’s not only disrupting an industry but transforming how the world moves, connects and scales.”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further announced today that upon the closing, Phyllis Newhouse, Holly Grey, Jeff Saling, Joanna Burkey, Dr. Sheldon Paul, Dr. David Carlson and Ed Nabrotzky are expected to join Dot Ai’s Board of Directors. Additional board members are expected to be announced at a later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10375" cy="990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4"/>
                    <a:stretch>
                      <a:fillRect/>
                    </a:stretch>
                  </pic:blipFill>
                  <pic:spPr bwMode="auto">
                    <a:xfrm>
                      <a:off x="0" y="0"/>
                      <a:ext cx="6810375" cy="9906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Non-Employee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Holly Grey</w:t>
      </w:r>
      <w:r>
        <w:rPr>
          <w:rFonts w:ascii="Times New Roman;Times;Serif" w:hAnsi="Times New Roman;Times;Serif"/>
          <w:b w:val="false"/>
          <w:i w:val="false"/>
          <w:caps w:val="false"/>
          <w:smallCaps w:val="false"/>
          <w:sz w:val="20"/>
        </w:rPr>
        <w:t xml:space="preserve"> has been the Chief Financial Officer of Exabeam since November 2021. Ms. Grey has over 25 years of experience in high-growth technology companies. Prior to Exabeam, from 2013 to 2020, Ms. Grey was SVP Finance at Forescout Technologies, where she was responsible for all financial and accounting operations and led Forescout through its successful initial public offering. Before Forescout, from 2008 to 2013, Ms. Grey was SVP Finance at Accuray Incorporated, a publicly traded medical device technology company. Prior to Accuray, from 2000 to 2008, Ms. Grey was VP Finance at Aspect Software, leading the organization through significant growth, including multiple M&amp;A transactions. Ms. Grey started her career in public accounting at Boston College.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Jeff Saling</w:t>
      </w:r>
      <w:r>
        <w:rPr>
          <w:rFonts w:ascii="Times New Roman;Times;Serif" w:hAnsi="Times New Roman;Times;Serif"/>
          <w:b w:val="false"/>
          <w:i w:val="false"/>
          <w:caps w:val="false"/>
          <w:smallCaps w:val="false"/>
          <w:sz w:val="20"/>
        </w:rPr>
        <w:t xml:space="preserve"> is a serial entrepreneur, seasoned executive, and prolific investor with over 30 years of experience in launching, scaling and exiting startups in the SaaS and cloud domains. He is currently the executive director and co-founder of StartUpNV, Nevada’s non-profit statewide startup accelerator, where he leads the vision, strategy and operations to support and accelerate the growth of Nevada-based startups. Jeff is also an active angel investor and co-president of Sierra Angels, one of the longest running angel groups in the U.S., and a general partner of 1864 Fund, a seed-stage venture capital fund that invests in high-potential startups outside of traditional venture enclaves. He is passionate about creating a vibrant and diverse startup ecosystem in Nevada, and he leverages his extensive network, expertise and resources to connect founders with mentors, customers, talent and capital. In addition, Jeff is an adjunct professor in the College of Engineering at the University of Nevada, Reno, where he teaches entrepreneurship and innovation courses.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Joanna Burkey</w:t>
      </w:r>
      <w:r>
        <w:rPr>
          <w:rFonts w:ascii="Times New Roman;Times;Serif" w:hAnsi="Times New Roman;Times;Serif"/>
          <w:b w:val="false"/>
          <w:i w:val="false"/>
          <w:caps w:val="false"/>
          <w:smallCaps w:val="false"/>
          <w:sz w:val="20"/>
        </w:rPr>
        <w:t xml:space="preserve"> is a transformational leader, board director, and senior executive with deep experience in cybersecurity, technology, and digital transformation. Joanna has held a variety of roles throughout her career, primarily focusing on cybersecurity, strategy, engineering and risk. She is passionate about increasing diversity within technology and using her decades of experience in security and risk to serve others. Her experience in crisis and risk management in addition to her technical acumen inform her boardroom expertise in the areas of audit/risk, governance and compliance. She has held senior executive roles at multiple global corporations and has lived and worked in both the U.S. and Europe. Her most recent corporate role was as the Chief Information Security Officer (CISO) at HP Inc, and she now serves as an advisor and consultant to multiple enterprises. The breadth of her roles has covered a wide spectrum from customer facing to internal shared services, and spanned company sizes from twelve employees to four hundred thousand. She has been on the front end of transformational change at technology leaders such as HP Inc and Siemens AG and is therefore able to take the best practices and lessons learned into other entities that are beginning, or are on, similar journeys of transformation. Joanna is a director and member of the audit and compensation committees at Beyond Inc (NYSE: BYON) and an independent director and chair of the risk/compliance committee at ReliabilityFirst Corporation. She is a member of the NACD Texas TriCities board and holds both Directorship Certification from NACD (National Association of Corporate Directors) and Qualified Technology Executive certification from DDN (Digital Directors Network). Joanna is also a publicly recognized thought leader and speaker with excellent communication skills. She was named to the Top 100 CISOs in 2022 and has been published in multiple articles as well as the book Tribe of Hackers: Security Leaders. She has a Computer Science and Mathematics background from both Angelo State University and the University of Texas Austin, as well as a certificate in Finance and Accounting from Stanford Graduate School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10375" cy="990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5"/>
                    <a:stretch>
                      <a:fillRect/>
                    </a:stretch>
                  </pic:blipFill>
                  <pic:spPr bwMode="auto">
                    <a:xfrm>
                      <a:off x="0" y="0"/>
                      <a:ext cx="6810375" cy="9906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Sheldon W. Paul</w:t>
      </w:r>
      <w:r>
        <w:rPr>
          <w:rFonts w:ascii="Times New Roman;Times;Serif" w:hAnsi="Times New Roman;Times;Serif"/>
          <w:b w:val="false"/>
          <w:i w:val="false"/>
          <w:caps w:val="false"/>
          <w:smallCaps w:val="false"/>
          <w:sz w:val="20"/>
        </w:rPr>
        <w:t xml:space="preserve"> is an obstetrician-gynecologist in Las Vegas, Nevada and is affiliated with Summerlin Hospital Medical Center. He received his medical degree from University of Nevada Reno School of Medicine and has been in practice for more than 25 years. Dr. Paul has developed, owned and operated multiple clinics over his years of practice. He has also branched into other several other successful businesses and investments, including early investments in Dot Ai. Dr. Paul is a founder and controlling member of Pope Technologies LLC, which is SEE ID’s primary distributor and currently subleases office space to SEE ID. He brings unique practical entrepreneurial experience to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David Carlson</w:t>
      </w:r>
      <w:r>
        <w:rPr>
          <w:rFonts w:ascii="Times New Roman;Times;Serif" w:hAnsi="Times New Roman;Times;Serif"/>
          <w:b w:val="false"/>
          <w:i w:val="false"/>
          <w:caps w:val="false"/>
          <w:smallCaps w:val="false"/>
          <w:sz w:val="20"/>
        </w:rPr>
        <w:t>, DO, MBA, has been the Chief Medical Officer in South King County for Virginia Mason Franciscan Health since 2023. He recently served as a medical director for Seamar Community Health Centers in Pierce and Thurston Counties from during 2023. Prior to joining VMFH, Dr. Carlson served as chief physician officer for MultiCare from 2017 to 2022, chief physician executive for Hospital Sisters Health System from 2014 to 2017, and chief medical officer for Conemaugh Health System in Johnstown, PA from 2007 to 2014. Previous leadership roles also include Ochsner Clinic Foundation in Baton Rouge, LA; Summit Health System in Chambersburg, PA; and Lovelace Health Systems in Albuquerque, NM. Dr. Carlson is a member and is currently Chairman of the Board for the Physician Insurance Company and has been a board member of United Way Pierce County since 2018. He has also served on the boards of the Washington Healthcare Alliance and Physicians of Southwest Washington. Dr. Carlson is a board-certified family practice physician, with a subspecialty in geriatrics. He earned his Bachelor of Science degree from Pennsylvania State University, his medical degree from Philadelphia College of Osteopathic Medicine, and his Master of Business Administration from Alvernia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Phyllis Newhouse</w:t>
      </w:r>
      <w:r>
        <w:rPr>
          <w:rFonts w:ascii="Times New Roman;Times;Serif" w:hAnsi="Times New Roman;Times;Serif"/>
          <w:b w:val="false"/>
          <w:i w:val="false"/>
          <w:caps w:val="false"/>
          <w:smallCaps w:val="false"/>
          <w:sz w:val="20"/>
        </w:rPr>
        <w:t xml:space="preserve"> is a serial entrepreneur and investor, retired military senior officer and mentor. She is CEO and Co-Founder of Athena Technology Acquisition Corp., Founder and CEO of Xtreme Solutions, Inc. (XSI), and Founder of ShoulderUp. In 2020, she co-founded Athena Technology Acquisition Corp., a special purpose acquisition company (SPAC). Athena closed a $250 million IPO in March 2021, making it the only SPAC listed on the NYSE with an African American female CEO. In July 2021, the company announced it was taking concentrated solar power company, Heliogen, public in a $2 billion merger. Newhouse is also the Founder of ShoulderUp, a nonprofit she founded alongside Academy Award-winning actress Viola Davis. Dedicated to connecting and supporting women on their entrepreneurial journeys, ShoulderUp introduced ShoulderUp Ventures, the first women-founded and led influencer fund providing impact and exclusive access to a diverse portfolio of media, technology companies and sports entertainment. In 2019 alone, its members and affiliates have invested over $10 million in companies like Lime, Rent the Runway and Airbnb. As a pioneer in cybersecurity and business, she is the first woman to win an Ernst &amp; Young (EY) Entrepreneur of the Year® award in the technology category. She was admitted into the 2013 class of EY Entrepreneurial Winning Women, and in 2019 was inducted into the Enterprising Women Hall of fame. Additionally, XSI received inclusion in the Inc. 5000 list in 2013 and 2014 and has been recognized as one of Women’s Presidents’ Organization’s (WPO) 50 Fastest Growing Women-Owned Companies in the U.S. consecutively for the past six years. Passionate about women-led businesses, Newhouse teaches aspiring entrepreneurs to recognize and capitalize on their leadership skills and empowers others to operate in greatness. She has been featured in Entrepreneur, Inc., CNBC, Forbes, Yahoo Finance, Cheddar News, Bloomberg and more. She received her degree from John F. Kennedy University and currently resides in Atlanta, Georgia. For more information, please visit phyllisnewhouse.com.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Dot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heart of the technological revolution in asset management and security lies Dot Ai, a trailblazing SaaS service that is redefining the paradigms of asset intelligence, assurance, and safety. By harnessing the power of IoT tracking technology, Dot Ai stands at the forefront of innovation, offering patented solutions that are not just advanced but transformative. Through relentless research and development, Dot Ai has pioneered a suite of technologies that empower organizations to not only streamline their logistics and supply chain processes but also bolster operational security to unprecedented levels. Leveraging state-of-the-art AI engines, cutting-edge 5G RF and BLE technology, and seamless cloud integrations, Dot Ai transcends traditional boundaries, offering real-time asset visibility and predictive analytics that integrate effortlessly with existing infrastructure. This is not just technology; it’s a vision for a more secure, efficient, and connected world. Discover more about how Dot AI is leading the charge in asset intelligence by visiting https://daic.ai.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ShoulderUp Technology Acquisition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ShoulderUp stands as a beacon of strategic innovation in the ever-evolving financial sector, functioning as a Special Purpose Acquisition Company (SPAC). This firm is meticulously designed to drive pivotal business transformations by identifying and amalgamating with companies poised for growth and aligned with the ethos of disruptive innovation and leadership in the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mission transcends conventional financial endeavours and aims to forge powerful synergies that redefine industry landscapes and substantially elevate shareholder value. ShoulderUp catalyses growth through various strategic maneuvers including mergers, capital stock exchanges, asset acquisitions and comprehensive reorganizations. ShoulderUp is more than a mere entity—it is a dynamic force, a catalyst for transformative change, strategically positioned to shape the future of technology and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10375" cy="990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6"/>
                    <a:stretch>
                      <a:fillRect/>
                    </a:stretch>
                  </pic:blipFill>
                  <pic:spPr bwMode="auto">
                    <a:xfrm>
                      <a:off x="0" y="0"/>
                      <a:ext cx="6810375" cy="9906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Forward-looking statements include all statements that are not historical facts, including the statements regarding the anticipated timing and benefits of the proposed transactions. All forward-looking statements are based on ShoulderUp’s current expectations and beliefs concerning future developments and their potential effects on ShoulderUp, SEE ID or any successor entity thereof. Forward-looking statements are based on various assumptions, whether or not identified in this press release, and are subject to risks and uncertainties. These forward-looking statements are not intended to serve as a guarantee of future performance. Many factors could cause actual future events to differ materially from the forward-looking statements in this press release, including but not limited to: (i) the failure to satisfy the conditions to the consummation of the transaction, including the adoption of the Business Combination Agreement by ShoulderUp’s shareholders, the satisfaction of the minimum trust account amount following any Redemptions by ShoulderUp’s public shareholders, (ii) the occurrence of any event, change or other circumstance that could give rise to the termination of the Business Combination Agreement, (iii) the effect of the announcement or pendency of the transaction on SEE ID’s business relationships, operating results and business generally, (iv) risks that the transaction disrupts current plans and operations of SEE ID, (v) the outcome of any legal proceedings that may be instituted against SEE ID or ShoulderUp related to the Business Combination Agreement or the proposed transaction, (vi) costs related to the transaction and the failure to realize anticipated benefits of the transaction or to realize estimated pro forma results and underlying assumptions, including with respect to estimated shareholder Redemptions, (vii) the risk that SEE ID and its current and future collaborators are unable to successfully develop and commercialize SEE ID’s products or services, or experience significant delays in doing so, (viii) the risk that SEE ID may need to raise additional capital to execute its business plan, which many not be available on acceptable terms or at all, and (ix) the risk that the post-combination company experiences difficulties in managing its growth and expanding operations. The foregoing list of factors is not exhaustive. You should carefully consider the foregoing factors and the other risks and uncertainties described in the “Risk Factors” section of the S-4 Registration Statement and proxy statement/prospectus discussed above and other documents filed or to be filed by ShoulderUp, SEE ID and/or or any successor entity thereof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ShoulderUp assumes no obligation and do not intend to update or revise these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Dot Ai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Investors and Media: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dotai@icrinc.com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ShoulderUp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Phyllis W. Newhouse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(970) 924-0446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33770/000121390024094562/ea020805905ex4-5_cidhold.htm" TargetMode="External"/><Relationship Id="rId3" Type="http://schemas.openxmlformats.org/officeDocument/2006/relationships/hyperlink" Target="https://www.sec.gov/Archives/edgar/data/2033770/000121390024094562/ea020805905ex4-6_cidhold.htm" TargetMode="External"/><Relationship Id="rId4" Type="http://schemas.openxmlformats.org/officeDocument/2006/relationships/hyperlink" Target="https://www.sec.gov/Archives/edgar/data/1885461/000121390021061326/ea151223ex4-1_shoulderup.htm" TargetMode="External"/><Relationship Id="rId5" Type="http://schemas.openxmlformats.org/officeDocument/2006/relationships/hyperlink" Target="http://www.sec.gov/Archives/edgar/data/1885461/000121390024046309/ea020665301ex10-1_shoulderup.htm" TargetMode="External"/><Relationship Id="rId6" Type="http://schemas.openxmlformats.org/officeDocument/2006/relationships/hyperlink" Target="http://www.sec.gov/Archives/edgar/data/1885461/000121390024046309/ea020665301ex10-1_shoulderup.htm" TargetMode="External"/><Relationship Id="rId7" Type="http://schemas.openxmlformats.org/officeDocument/2006/relationships/hyperlink" Target="http://www.sec.gov/Archives/edgar/data/1885461/000121390023083883/ea187772ex10-1_shoulderup.htm" TargetMode="External"/><Relationship Id="rId8" Type="http://schemas.openxmlformats.org/officeDocument/2006/relationships/hyperlink" Target="http://www.sec.gov/Archives/edgar/data/1885461/000121390023027962/ea176628ex10-1_shoulder.htm" TargetMode="External"/><Relationship Id="rId9" Type="http://schemas.openxmlformats.org/officeDocument/2006/relationships/hyperlink" Target="http://www.sec.gov/Archives/edgar/data/1885461/000121390025034182/ea023896101ex10-1_shoulder.htm" TargetMode="External"/><Relationship Id="rId10" Type="http://schemas.openxmlformats.org/officeDocument/2006/relationships/hyperlink" Target="http://www.sec.gov/Archives/edgar/data/1885461/000121390025034182/ea023896101ex10-2_shoulder.htm" TargetMode="External"/><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167659</Words>
  <Characters>900410</Characters>
  <CharactersWithSpaces>1072403</CharactersWithSpaces>
  <Paragraphs>18654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