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0000FF"/>
        </w:rPr>
        <w:t>CID HoldCo,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171756109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0000FF"/>
        </w:rPr>
        <w:t>William Tremaine Reny</w:t>
      </w:r>
    </w:p>
    <w:p>
      <w:pPr>
        <w:spacing w:after="0" w:line="8"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22"/>
          <w:szCs w:val="22"/>
          <w:b w:val="1"/>
          <w:bCs w:val="1"/>
          <w:color w:val="0000FF"/>
        </w:rPr>
        <w:t>9 Hawk Ridge Drive,</w:t>
      </w:r>
    </w:p>
    <w:p>
      <w:pPr>
        <w:ind w:left="3840"/>
        <w:spacing w:after="0" w:line="230" w:lineRule="auto"/>
        <w:rPr>
          <w:sz w:val="20"/>
          <w:szCs w:val="20"/>
          <w:color w:val="auto"/>
        </w:rPr>
      </w:pPr>
      <w:r>
        <w:rPr>
          <w:rFonts w:ascii="Times New Roman" w:cs="Times New Roman" w:eastAsia="Times New Roman" w:hAnsi="Times New Roman"/>
          <w:sz w:val="22"/>
          <w:szCs w:val="22"/>
          <w:b w:val="1"/>
          <w:bCs w:val="1"/>
          <w:color w:val="0000FF"/>
        </w:rPr>
        <w:t>Las Vegas, NV, 89135</w:t>
      </w:r>
    </w:p>
    <w:p>
      <w:pPr>
        <w:spacing w:after="0" w:line="1"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0000FF"/>
        </w:rPr>
        <w:t>(719)330-7051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12/23/2025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171756109</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William Tremaine Reny</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2,470,060.00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2,470,060.00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2,470,060.00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64" w:orient="portrait"/>
          <w:cols w:equalWidth="0" w:num="2">
            <w:col w:w="1060" w:space="60"/>
            <w:col w:w="10040"/>
          </w:cols>
          <w:pgMar w:left="360" w:top="126"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CID HoldCo,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5661 S Cameron St, Suite 100, Las Vegas, NEVADA , 89118.</w:t>
      </w:r>
    </w:p>
    <w:p>
      <w:pPr>
        <w:spacing w:after="0" w:line="20"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1 ("Amendment No. 1") to Schedule 13D relates to the shares of common stock, par value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$0.0001 per share ("Common Stock"), of CID HoldCo, Inc., a Delaware corporation (the "Issuer"), and amends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supplements the initial statement on Schedule 13D filed by William Tremaine Reny (the "Reporting Person") with the Securities and Exchange Commission on November 14, 2025 (the "Original Schedule 13D"). Only those items that are reported in this Amendment No. 1 are amended and supplemented; all other items reported in the Original Schedule D remain unchanged. Information given in response to each item shall be deemed incorporated by reference in all other items, as applicable. Unless otherwise defined herein, capitalized terms used in this Amendment No. 1</w:t>
      </w:r>
    </w:p>
    <w:p>
      <w:pPr>
        <w:spacing w:after="0" w:line="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shall have the meanings ascribed to them in the Original Schedule 13D.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40"/>
        <w:spacing w:after="0" w:line="282" w:lineRule="auto"/>
        <w:rPr>
          <w:sz w:val="20"/>
          <w:szCs w:val="20"/>
          <w:color w:val="auto"/>
        </w:rPr>
      </w:pPr>
      <w:r>
        <w:rPr>
          <w:rFonts w:ascii="Times New Roman" w:cs="Times New Roman" w:eastAsia="Times New Roman" w:hAnsi="Times New Roman"/>
          <w:sz w:val="21"/>
          <w:szCs w:val="21"/>
          <w:color w:val="auto"/>
        </w:rPr>
        <w:t>On December 23, 2025, pursuant to bona fide gifts for which no payment of consideration was received by the Reporting Person, the Reporting Person transferred an aggregate of 2,497,331 shares of Common Stock to individuals</w:t>
      </w:r>
    </w:p>
    <w:p>
      <w:pPr>
        <w:sectPr>
          <w:pgSz w:w="11900" w:h="16864" w:orient="portrait"/>
          <w:cols w:equalWidth="0" w:num="1">
            <w:col w:w="11160"/>
          </w:cols>
          <w:pgMar w:left="360" w:top="126" w:right="379" w:bottom="0" w:gutter="0" w:footer="0" w:header="0"/>
          <w:type w:val="continuous"/>
        </w:sectPr>
      </w:pPr>
    </w:p>
    <w:bookmarkStart w:id="2" w:name="page3"/>
    <w:bookmarkEnd w:id="2"/>
    <w:p>
      <w:pPr>
        <w:ind w:left="920" w:right="20"/>
        <w:spacing w:after="0" w:line="256" w:lineRule="auto"/>
        <w:rPr>
          <w:sz w:val="20"/>
          <w:szCs w:val="20"/>
          <w:color w:val="auto"/>
        </w:rPr>
      </w:pPr>
      <w:r>
        <w:rPr>
          <w:rFonts w:ascii="Times New Roman" w:cs="Times New Roman" w:eastAsia="Times New Roman" w:hAnsi="Times New Roman"/>
          <w:sz w:val="22"/>
          <w:szCs w:val="22"/>
          <w:color w:val="auto"/>
        </w:rPr>
        <w:t>who are not affiliated with the Reporting Person for purposes of beneficial ownership reporting rules under applicable federal securities laws.</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60"/>
        <w:spacing w:after="0" w:line="238" w:lineRule="auto"/>
        <w:rPr>
          <w:sz w:val="20"/>
          <w:szCs w:val="20"/>
          <w:color w:val="auto"/>
        </w:rPr>
      </w:pPr>
      <w:r>
        <w:rPr>
          <w:rFonts w:ascii="Times New Roman" w:cs="Times New Roman" w:eastAsia="Times New Roman" w:hAnsi="Times New Roman"/>
          <w:sz w:val="22"/>
          <w:szCs w:val="22"/>
          <w:color w:val="auto"/>
        </w:rPr>
        <w:t>Item 4 of the Original Schedule 13D is hereby supplemented with the following information: On December 15, 2025, the District Court of Clark County, Nevada denied the Defendants' motion to dismiss complaint with respect to the Reporting Person's claims relating to intentional interference with contract, intentional interference with prospective economic advantage, civil conspiracy/concert of action and conversion, and granted the Defendants' motion to dismiss complaint with respect to the Reporting Person's unjust enrichment claim.</w:t>
      </w:r>
    </w:p>
    <w:p>
      <w:pPr>
        <w:spacing w:after="0" w:line="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See Rows 11 and 13 of the cover page. Percentage ownership is based on 27,773,322 shares of Common Stock as of</w:t>
      </w:r>
    </w:p>
    <w:p>
      <w:pPr>
        <w:spacing w:after="0" w:line="26" w:lineRule="exact"/>
        <w:rPr>
          <w:sz w:val="20"/>
          <w:szCs w:val="20"/>
          <w:color w:val="auto"/>
        </w:rPr>
      </w:pPr>
    </w:p>
    <w:p>
      <w:pPr>
        <w:ind w:left="920" w:right="160" w:hanging="912"/>
        <w:spacing w:after="0" w:line="184" w:lineRule="auto"/>
        <w:tabs>
          <w:tab w:leader="none" w:pos="92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December 1, 2025, as reported in the Issuer's prospectus filed pursuant to Rule 424(b)(3) forming part of the Issuer's registration statement on Form S-1 (No. 333-290052), filed with the Securities and Exchange Commission on December 11, 2025.</w:t>
      </w:r>
    </w:p>
    <w:p>
      <w:pPr>
        <w:spacing w:after="0" w:line="18" w:lineRule="exact"/>
        <w:rPr>
          <w:rFonts w:ascii="Times New Roman" w:cs="Times New Roman" w:eastAsia="Times New Roman" w:hAnsi="Times New Roman"/>
          <w:sz w:val="42"/>
          <w:szCs w:val="42"/>
          <w:color w:val="auto"/>
          <w:vertAlign w:val="subscript"/>
        </w:rPr>
      </w:pPr>
    </w:p>
    <w:p>
      <w:pPr>
        <w:ind w:left="920" w:right="46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See Rows 7 - 10 of the cover page and the information set forth in Item 2 of the Original Schedule 13D, which is incorporated into this Item 5(b) by reference.</w:t>
      </w:r>
    </w:p>
    <w:p>
      <w:pPr>
        <w:spacing w:after="0" w:line="17" w:lineRule="exact"/>
        <w:rPr>
          <w:rFonts w:ascii="Times New Roman" w:cs="Times New Roman" w:eastAsia="Times New Roman" w:hAnsi="Times New Roman"/>
          <w:sz w:val="39"/>
          <w:szCs w:val="39"/>
          <w:color w:val="auto"/>
          <w:vertAlign w:val="subscript"/>
        </w:rPr>
      </w:pPr>
    </w:p>
    <w:p>
      <w:pPr>
        <w:ind w:left="920" w:right="20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reported in this Statement, the Reporting Person has not effected any transactions in the Issuer's securities within the past 60 days.</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William Tremaine Reny</w:t>
      </w:r>
    </w:p>
    <w:p>
      <w:pPr>
        <w:spacing w:after="0" w:line="152" w:lineRule="exact"/>
        <w:rPr>
          <w:sz w:val="20"/>
          <w:szCs w:val="20"/>
          <w:color w:val="auto"/>
        </w:rPr>
      </w:pPr>
    </w:p>
    <w:p>
      <w:pPr>
        <w:ind w:left="3620"/>
        <w:spacing w:after="0"/>
        <w:tabs>
          <w:tab w:leader="none" w:pos="4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Tremaine Reny</w:t>
      </w:r>
    </w:p>
    <w:p>
      <w:pPr>
        <w:spacing w:after="0" w:line="4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Name/Title: William Tremaine Reny</w:t>
      </w:r>
    </w:p>
    <w:p>
      <w:pPr>
        <w:spacing w:after="0" w:line="44" w:lineRule="exact"/>
        <w:rPr>
          <w:sz w:val="20"/>
          <w:szCs w:val="20"/>
          <w:color w:val="auto"/>
        </w:rPr>
      </w:pPr>
    </w:p>
    <w:p>
      <w:pPr>
        <w:ind w:left="3620"/>
        <w:spacing w:after="0"/>
        <w:tabs>
          <w:tab w:leader="none" w:pos="4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12/30/2025</w:t>
      </w:r>
    </w:p>
    <w:sectPr>
      <w:pgSz w:w="11900" w:h="16838" w:orient="portrait"/>
      <w:cols w:equalWidth="0" w:num="1">
        <w:col w:w="11140"/>
      </w:cols>
      <w:pgMar w:left="36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2"/>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2025-12-30T12:43:04Z</dcterms:created>
  <dcterms:modified xsi:type="dcterms:W3CDTF">2025-12-30T12:43:04Z</dcterms:modified>
</cp:coreProperties>
</file>