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80071-s8_cidholdco.htm"/>
      <w:bookmarkStart w:id="1" w:name="ksea0280071s8_cidholdco"/>
      <w:bookmarkEnd w:id="0"/>
      <w:bookmarkEnd w:id="1"/>
      <w:r>
        <w:rPr>
          <w:rFonts w:ascii="Times New Roman;Times;Serif" w:hAnsi="Times New Roman;Times;Serif"/>
          <w:b/>
          <w:i w:val="false"/>
          <w:caps w:val="false"/>
          <w:smallCaps w:val="false"/>
          <w:sz w:val="20"/>
        </w:rPr>
        <w:t xml:space="preserve">As filed with the Securities and Exchange Commission on March 11,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CID HoldCo,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b/>
                <w:sz w:val="20"/>
              </w:rPr>
            </w:pPr>
            <w:r>
              <w:rPr>
                <w:b/>
                <w:sz w:val="20"/>
              </w:rPr>
              <w:t>99-2578850</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CID HoldCo, Inc. 2024 Equity Incentive Plan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Edmund Nabrotzky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5661 S Cameron St., Suite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Nevada 89118</w:t>
        <w:br/>
        <w:t>(303) 332-4122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Copy to: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Gerry Williams</w:t>
        <w:br/>
        <w:t>Penny J. Minna</w:t>
        <w:br/>
        <w:t>DLA Piper LLP (US)</w:t>
        <w:br/>
        <w:t>One Atlantic Center</w:t>
        <w:br/>
        <w:t>1201 West Peachtree Street, Suite 2900</w:t>
        <w:br/>
        <w:t>Atlanta, GA 30309</w:t>
        <w:br/>
        <w:t>(404) 736-7891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80"/>
        <w:gridCol w:w="230"/>
        <w:gridCol w:w="2225"/>
        <w:gridCol w:w="245"/>
      </w:tblGrid>
      <w:tr>
        <w:trPr/>
        <w:tc>
          <w:tcPr>
            <w:tcW w:w="1880" w:type="dxa"/>
            <w:tcBorders/>
            <w:vAlign w:val="center"/>
          </w:tcPr>
          <w:p>
            <w:pPr>
              <w:pStyle w:val="TableContents"/>
              <w:bidi w:val="0"/>
              <w:spacing w:before="0" w:after="283"/>
              <w:jc w:val="left"/>
              <w:rPr>
                <w:sz w:val="20"/>
              </w:rPr>
            </w:pPr>
            <w:r>
              <w:rPr>
                <w:sz w:val="20"/>
              </w:rPr>
              <w:t>Large accelerated filed</w:t>
            </w:r>
          </w:p>
        </w:tc>
        <w:tc>
          <w:tcPr>
            <w:tcW w:w="230" w:type="dxa"/>
            <w:tcBorders/>
            <w:vAlign w:val="center"/>
          </w:tcPr>
          <w:p>
            <w:pPr>
              <w:pStyle w:val="TableContents"/>
              <w:bidi w:val="0"/>
              <w:spacing w:before="0" w:after="283"/>
              <w:jc w:val="center"/>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center"/>
              <w:rPr/>
            </w:pPr>
            <w:r>
              <w:rPr/>
              <w:t>☐</w:t>
            </w:r>
          </w:p>
        </w:tc>
      </w:tr>
      <w:tr>
        <w:trPr/>
        <w:tc>
          <w:tcPr>
            <w:tcW w:w="1880"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center"/>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center"/>
              <w:rPr/>
            </w:pPr>
            <w:r>
              <w:rPr/>
              <w:t>☒</w:t>
            </w:r>
          </w:p>
        </w:tc>
      </w:tr>
      <w:tr>
        <w:trPr/>
        <w:tc>
          <w:tcPr>
            <w:tcW w:w="18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being filed by CID HoldCo,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the “</w:t>
      </w:r>
      <w:r>
        <w:rPr>
          <w:rFonts w:ascii="Times New Roman;Times;Serif" w:hAnsi="Times New Roman;Times;Serif"/>
          <w:b w:val="false"/>
          <w:i/>
          <w:caps w:val="false"/>
          <w:smallCaps w:val="false"/>
          <w:sz w:val="20"/>
        </w:rPr>
        <w:t>Registrant</w:t>
      </w:r>
      <w:r>
        <w:rPr>
          <w:rFonts w:ascii="Times New Roman;Times;Serif" w:hAnsi="Times New Roman;Times;Serif"/>
          <w:b w:val="false"/>
          <w:i w:val="false"/>
          <w:caps w:val="false"/>
          <w:smallCaps w:val="false"/>
          <w:sz w:val="20"/>
        </w:rPr>
        <w:t>”) for the purpose of registering 2,927,332 shares of the Company’s common stock, par value of $0.001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that may become issuable under the Company’s 2024 Equity Incentive Plan (the "Plan"). The additional shares of Common Stock have become reserved for issuance as a result of the operation of the evergreen provision of the Plan. Pursuant to such provision, on January 1 of each year, the number of shares authorized for issuance under the Plan may be increased by (i) a number equal to the lesser of ten percent (10%) of the issued and outstanding Common Stock as of the end of the Registrant's immediately preceding fiscal year; or (ii) such amount, if any, as the Board of Directors of the Company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additional shares of Common Stock are securities of the same class as other securities for which a registration statement on Form S-8 (File No. 333-290047), was filed with the Securities and Exchange Commission (the "SEC") on September 4, 2025, (the "Prior Registration Statement"). In accordance with General Instruction E of Form S-8, the contents of the Prior Registration Statement are incorporated herein by reference and the information required by Part II is omitted, except as supplemented by the new information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Company with the Commission under the Securities and Exchange Act of 1934, as amended (the “</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sz w:val="20"/>
              </w:rPr>
              <w:t xml:space="preserve">The Company’s Annual Report on </w:t>
            </w:r>
            <w:hyperlink r:id="rId2">
              <w:r>
                <w:rPr>
                  <w:rStyle w:val="InternetLink"/>
                  <w:sz w:val="20"/>
                </w:rPr>
                <w:t>Form 10-K</w:t>
              </w:r>
            </w:hyperlink>
            <w:r>
              <w:rPr>
                <w:sz w:val="20"/>
              </w:rPr>
              <w:t xml:space="preserve"> for the year ended December 31, 2025, filed with the SEC on March 11,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sz w:val="20"/>
              </w:rPr>
              <w:t xml:space="preserve">The Company’s Current Reports on Form 8-K or Form 8-K/A, filed with the SEC on </w:t>
            </w:r>
            <w:hyperlink r:id="rId3">
              <w:r>
                <w:rPr>
                  <w:rStyle w:val="InternetLink"/>
                  <w:sz w:val="20"/>
                </w:rPr>
                <w:t>January 20, 2026</w:t>
              </w:r>
            </w:hyperlink>
            <w:r>
              <w:rPr>
                <w:sz w:val="20"/>
              </w:rPr>
              <w:t xml:space="preserve">, </w:t>
            </w:r>
            <w:hyperlink r:id="rId4">
              <w:r>
                <w:rPr>
                  <w:rStyle w:val="InternetLink"/>
                  <w:sz w:val="20"/>
                </w:rPr>
                <w:t>February 11, 2026</w:t>
              </w:r>
            </w:hyperlink>
            <w:r>
              <w:rPr>
                <w:sz w:val="20"/>
              </w:rPr>
              <w:t xml:space="preserve"> and </w:t>
            </w:r>
            <w:hyperlink r:id="rId5">
              <w:r>
                <w:rPr>
                  <w:rStyle w:val="InternetLink"/>
                  <w:sz w:val="20"/>
                </w:rPr>
                <w:t>March 6, 2026</w:t>
              </w:r>
            </w:hyperlink>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sz w:val="20"/>
              </w:rPr>
              <w:t>All other reports filed by the Registrant pursuant to Section 13(a) or 15(d) of the Exchange Act, since the end of the fiscal year covered by the document referred to in (1)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sz w:val="20"/>
              </w:rPr>
              <w:t>The description of the Registrant’s Common Stock which is contained in a registration statement on </w:t>
            </w:r>
            <w:hyperlink r:id="rId6">
              <w:r>
                <w:rPr>
                  <w:rStyle w:val="InternetLink"/>
                  <w:sz w:val="20"/>
                </w:rPr>
                <w:t>Form 8-A</w:t>
              </w:r>
            </w:hyperlink>
            <w:r>
              <w:rPr>
                <w:sz w:val="20"/>
              </w:rPr>
              <w:t> filed on June 20, 2025 (File No. 001-42711) under the Exchange Act,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attached Exhibit Index,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
        <w:gridCol w:w="60"/>
        <w:gridCol w:w="9638"/>
      </w:tblGrid>
      <w:tr>
        <w:trPr/>
        <w:tc>
          <w:tcPr>
            <w:tcW w:w="507" w:type="dxa"/>
            <w:tcBorders/>
            <w:shd w:fill="CCEEFF" w:val="clear"/>
            <w:vAlign w:val="center"/>
          </w:tcPr>
          <w:p>
            <w:pPr>
              <w:pStyle w:val="TableContents"/>
              <w:bidi w:val="0"/>
              <w:spacing w:before="0" w:after="283"/>
              <w:jc w:val="left"/>
              <w:rPr/>
            </w:pPr>
            <w:r>
              <w:rPr/>
              <w:t>4.1</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r:id="rId7">
              <w:r>
                <w:rPr>
                  <w:rStyle w:val="InternetLink"/>
                </w:rPr>
                <w:t>Amended and Restated Certificate of Incorporation of CID HoldCo, Inc. (incorporated by reference to Exhibit 3.1 to CID HoldCo, Inc.’s Current Report on Form 8-K filed with the SEC on June 25, 2025)</w:t>
              </w:r>
            </w:hyperlink>
          </w:p>
        </w:tc>
      </w:tr>
      <w:tr>
        <w:trPr/>
        <w:tc>
          <w:tcPr>
            <w:tcW w:w="507" w:type="dxa"/>
            <w:tcBorders/>
            <w:shd w:fill="FFFFFF" w:val="clear"/>
            <w:vAlign w:val="center"/>
          </w:tcPr>
          <w:p>
            <w:pPr>
              <w:pStyle w:val="TableContents"/>
              <w:bidi w:val="0"/>
              <w:spacing w:before="0" w:after="283"/>
              <w:jc w:val="left"/>
              <w:rPr/>
            </w:pPr>
            <w:r>
              <w:rPr/>
              <w:t> </w:t>
            </w:r>
          </w:p>
        </w:tc>
        <w:tc>
          <w:tcPr>
            <w:tcW w:w="9698" w:type="dxa"/>
            <w:gridSpan w:val="2"/>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4.2</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r:id="rId8">
              <w:r>
                <w:rPr>
                  <w:rStyle w:val="InternetLink"/>
                </w:rPr>
                <w:t>Bylaws of CID HoldCo, Inc. (incorporated by reference to Exhibit 3.2 to CID HoldCo, Inc.’s Current Report on Form 8-K filed with the SEC on June 25, 2025)</w:t>
              </w:r>
            </w:hyperlink>
          </w:p>
        </w:tc>
      </w:tr>
      <w:tr>
        <w:trPr/>
        <w:tc>
          <w:tcPr>
            <w:tcW w:w="5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38" w:type="dxa"/>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4.3</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r:id="rId9">
              <w:r>
                <w:rPr>
                  <w:rStyle w:val="InternetLink"/>
                </w:rPr>
                <w:t>CID HoldCo, Inc. 2024 Equity Incentive Plan (incorporated by reference to Exhibit 99.1 to CID HoldCo, Inc.’s Registration Statement on Form S-8 (File No. 333-290047), filed with the SEC on September 4, 2025.)</w:t>
              </w:r>
            </w:hyperlink>
          </w:p>
        </w:tc>
      </w:tr>
      <w:tr>
        <w:trPr/>
        <w:tc>
          <w:tcPr>
            <w:tcW w:w="5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38" w:type="dxa"/>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5.1*</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ea028007101ex5-1.htm">
              <w:r>
                <w:rPr>
                  <w:rStyle w:val="InternetLink"/>
                </w:rPr>
                <w:t>Opinion of DLA Piper (US).</w:t>
              </w:r>
            </w:hyperlink>
          </w:p>
        </w:tc>
      </w:tr>
      <w:tr>
        <w:trPr/>
        <w:tc>
          <w:tcPr>
            <w:tcW w:w="507" w:type="dxa"/>
            <w:tcBorders/>
            <w:shd w:fill="FFFFFF" w:val="clear"/>
            <w:vAlign w:val="center"/>
          </w:tcPr>
          <w:p>
            <w:pPr>
              <w:pStyle w:val="TableContents"/>
              <w:bidi w:val="0"/>
              <w:spacing w:before="0" w:after="283"/>
              <w:jc w:val="left"/>
              <w:rPr/>
            </w:pPr>
            <w:r>
              <w:rPr/>
              <w:t> </w:t>
            </w:r>
          </w:p>
        </w:tc>
        <w:tc>
          <w:tcPr>
            <w:tcW w:w="9698" w:type="dxa"/>
            <w:gridSpan w:val="2"/>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23.1*</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ea028007101ex5-1.htm">
              <w:r>
                <w:rPr>
                  <w:rStyle w:val="InternetLink"/>
                </w:rPr>
                <w:t>Consent of DLA Piper (US) (contained in Exhibit 5.1).</w:t>
              </w:r>
            </w:hyperlink>
          </w:p>
        </w:tc>
      </w:tr>
      <w:tr>
        <w:trPr/>
        <w:tc>
          <w:tcPr>
            <w:tcW w:w="507" w:type="dxa"/>
            <w:tcBorders/>
            <w:shd w:fill="FFFFFF" w:val="clear"/>
            <w:vAlign w:val="center"/>
          </w:tcPr>
          <w:p>
            <w:pPr>
              <w:pStyle w:val="TableContents"/>
              <w:bidi w:val="0"/>
              <w:spacing w:before="0" w:after="283"/>
              <w:jc w:val="left"/>
              <w:rPr/>
            </w:pPr>
            <w:r>
              <w:rPr/>
              <w:t> </w:t>
            </w:r>
          </w:p>
        </w:tc>
        <w:tc>
          <w:tcPr>
            <w:tcW w:w="9698" w:type="dxa"/>
            <w:gridSpan w:val="2"/>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23.2*</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ea028007101ex23-2.htm">
              <w:r>
                <w:rPr>
                  <w:rStyle w:val="InternetLink"/>
                </w:rPr>
                <w:t>Consent of Carr, Riggs &amp; Ingram, LLC</w:t>
              </w:r>
            </w:hyperlink>
          </w:p>
        </w:tc>
      </w:tr>
      <w:tr>
        <w:trPr/>
        <w:tc>
          <w:tcPr>
            <w:tcW w:w="507" w:type="dxa"/>
            <w:tcBorders/>
            <w:shd w:fill="FFFFFF" w:val="clear"/>
            <w:vAlign w:val="center"/>
          </w:tcPr>
          <w:p>
            <w:pPr>
              <w:pStyle w:val="TableContents"/>
              <w:bidi w:val="0"/>
              <w:spacing w:before="0" w:after="283"/>
              <w:jc w:val="left"/>
              <w:rPr/>
            </w:pPr>
            <w:r>
              <w:rPr/>
              <w:t> </w:t>
            </w:r>
          </w:p>
        </w:tc>
        <w:tc>
          <w:tcPr>
            <w:tcW w:w="9698" w:type="dxa"/>
            <w:gridSpan w:val="2"/>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23.3*</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ea028007101ex23-3.htm">
              <w:r>
                <w:rPr>
                  <w:rStyle w:val="InternetLink"/>
                </w:rPr>
                <w:t>Consent of Berkowitz Pollack Brant Advisors +CPAs</w:t>
              </w:r>
            </w:hyperlink>
          </w:p>
        </w:tc>
      </w:tr>
      <w:tr>
        <w:trPr/>
        <w:tc>
          <w:tcPr>
            <w:tcW w:w="507" w:type="dxa"/>
            <w:tcBorders/>
            <w:shd w:fill="FFFFFF" w:val="clear"/>
            <w:vAlign w:val="center"/>
          </w:tcPr>
          <w:p>
            <w:pPr>
              <w:pStyle w:val="TableContents"/>
              <w:bidi w:val="0"/>
              <w:spacing w:before="0" w:after="283"/>
              <w:jc w:val="left"/>
              <w:rPr/>
            </w:pPr>
            <w:r>
              <w:rPr/>
              <w:t> </w:t>
            </w:r>
          </w:p>
        </w:tc>
        <w:tc>
          <w:tcPr>
            <w:tcW w:w="9698" w:type="dxa"/>
            <w:gridSpan w:val="2"/>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24.1*</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s_001">
              <w:r>
                <w:rPr>
                  <w:rStyle w:val="InternetLink"/>
                </w:rPr>
                <w:t>Power of Attorney (included on signature page).</w:t>
              </w:r>
            </w:hyperlink>
          </w:p>
        </w:tc>
      </w:tr>
      <w:tr>
        <w:trPr/>
        <w:tc>
          <w:tcPr>
            <w:tcW w:w="10205" w:type="dxa"/>
            <w:gridSpan w:val="3"/>
            <w:tcBorders/>
            <w:shd w:fill="FFFFFF" w:val="clear"/>
            <w:vAlign w:val="center"/>
          </w:tcPr>
          <w:p>
            <w:pPr>
              <w:pStyle w:val="TableContents"/>
              <w:bidi w:val="0"/>
              <w:spacing w:before="0" w:after="283"/>
              <w:jc w:val="left"/>
              <w:rPr/>
            </w:pPr>
            <w:r>
              <w:rPr/>
              <w:t> </w:t>
            </w:r>
          </w:p>
        </w:tc>
      </w:tr>
      <w:tr>
        <w:trPr/>
        <w:tc>
          <w:tcPr>
            <w:tcW w:w="507" w:type="dxa"/>
            <w:tcBorders/>
            <w:shd w:fill="CCEEFF" w:val="clear"/>
            <w:vAlign w:val="center"/>
          </w:tcPr>
          <w:p>
            <w:pPr>
              <w:pStyle w:val="TableContents"/>
              <w:bidi w:val="0"/>
              <w:spacing w:before="0" w:after="283"/>
              <w:jc w:val="left"/>
              <w:rPr/>
            </w:pPr>
            <w:r>
              <w:rPr/>
              <w:t>107*</w:t>
            </w:r>
          </w:p>
        </w:tc>
        <w:tc>
          <w:tcPr>
            <w:tcW w:w="60" w:type="dxa"/>
            <w:tcBorders/>
            <w:shd w:fill="CCEEFF" w:val="clear"/>
            <w:vAlign w:val="center"/>
          </w:tcPr>
          <w:p>
            <w:pPr>
              <w:pStyle w:val="TableContents"/>
              <w:bidi w:val="0"/>
              <w:spacing w:before="0" w:after="283"/>
              <w:jc w:val="left"/>
              <w:rPr/>
            </w:pPr>
            <w:r>
              <w:rPr/>
              <w:t> </w:t>
            </w:r>
          </w:p>
        </w:tc>
        <w:tc>
          <w:tcPr>
            <w:tcW w:w="9638" w:type="dxa"/>
            <w:tcBorders/>
            <w:shd w:fill="CCEEFF" w:val="clear"/>
            <w:vAlign w:val="center"/>
          </w:tcPr>
          <w:p>
            <w:pPr>
              <w:pStyle w:val="TableContents"/>
              <w:bidi w:val="0"/>
              <w:spacing w:before="0" w:after="283"/>
              <w:jc w:val="left"/>
              <w:rPr/>
            </w:pPr>
            <w:hyperlink w:anchor="ea028007101ex-fee.htm">
              <w:r>
                <w:rPr>
                  <w:rStyle w:val="InternetLink"/>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Pursuant to the requirements of the Securities Exchange Act of 1934, the Registrant has duly caused this report to be signed on its behalf by the undersigned hereunto duly authorized,</w:t>
      </w:r>
      <w:r>
        <w:rPr>
          <w:rFonts w:ascii="Times New Roman;Times;Serif" w:hAnsi="Times New Roman;Times;Serif"/>
          <w:b w:val="false"/>
          <w:i w:val="false"/>
          <w:caps w:val="false"/>
          <w:smallCaps w:val="false"/>
          <w:sz w:val="20"/>
        </w:rPr>
        <w:t xml:space="preserve"> on this March 11, 2026.</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AND 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Edmund Nabrotzky, his true and lawful attorney-in-fact and agent, with full power of substitution and resubstitution, for him and in his name, place and stead, in any and all capacities, to sign any and all amendments to this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registration statement on Form S-8 has been signed below by the following persons on behalf of the Company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9390" w:type="dxa"/>
        <w:jc w:val="left"/>
        <w:tblInd w:w="0" w:type="dxa"/>
        <w:tblLayout w:type="fixed"/>
        <w:tblCellMar>
          <w:top w:w="0" w:type="dxa"/>
          <w:left w:w="0" w:type="dxa"/>
          <w:bottom w:w="28" w:type="dxa"/>
          <w:right w:w="0" w:type="dxa"/>
        </w:tblCellMar>
      </w:tblPr>
      <w:tblGrid>
        <w:gridCol w:w="2570"/>
        <w:gridCol w:w="60"/>
        <w:gridCol w:w="5150"/>
        <w:gridCol w:w="60"/>
        <w:gridCol w:w="1550"/>
      </w:tblGrid>
      <w:tr>
        <w:trPr/>
        <w:tc>
          <w:tcPr>
            <w:tcW w:w="2570"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515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rPr>
            </w:pPr>
            <w:r>
              <w:rPr>
                <w:b/>
              </w:rPr>
              <w:t>Date</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Edmund Nabrotzky</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Edmund Nabrotzky</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Charles Maddox</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Charles Maddox</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(Principal Financial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Jeff Saling</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Jeff Saling</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David Carlson</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David Carlson</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Sheldon Paul</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Sheldon Paul</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Phyllis Newhouse</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Phyllis Newhouse</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Janice Bryant Howroyd</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Janice Bryant Howroyd</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5210" w:type="dxa"/>
            <w:gridSpan w:val="2"/>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left"/>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Walter Skowronski</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March 11, 2026</w:t>
            </w:r>
          </w:p>
        </w:tc>
      </w:tr>
      <w:tr>
        <w:trPr/>
        <w:tc>
          <w:tcPr>
            <w:tcW w:w="2570" w:type="dxa"/>
            <w:tcBorders/>
            <w:tcMar>
              <w:bottom w:w="0" w:type="dxa"/>
            </w:tcMar>
            <w:vAlign w:val="center"/>
          </w:tcPr>
          <w:p>
            <w:pPr>
              <w:pStyle w:val="TableContents"/>
              <w:bidi w:val="0"/>
              <w:spacing w:before="0" w:after="283"/>
              <w:jc w:val="left"/>
              <w:rPr/>
            </w:pPr>
            <w:r>
              <w:rPr/>
              <w:t>Walter Skowronski</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28007101ex5-1.htm"/>
      <w:bookmarkStart w:id="4" w:name="ksea0280071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1815"/>
        <w:gridCol w:w="60"/>
        <w:gridCol w:w="3860"/>
      </w:tblGrid>
      <w:tr>
        <w:trPr/>
        <w:tc>
          <w:tcPr>
            <w:tcW w:w="1815" w:type="dxa"/>
            <w:vMerge w:val="restart"/>
            <w:tcBorders/>
            <w:vAlign w:val="center"/>
          </w:tcPr>
          <w:p>
            <w:pPr>
              <w:pStyle w:val="TableContents"/>
              <w:bidi w:val="0"/>
              <w:spacing w:before="0" w:after="283"/>
              <w:jc w:val="both"/>
              <w:rPr/>
            </w:pPr>
            <w:r>
              <w:rPr/>
              <w:drawing>
                <wp:inline distT="0" distB="0" distL="0" distR="0">
                  <wp:extent cx="11430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143000" cy="6667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DLA Piper LLP (US)</w:t>
            </w:r>
          </w:p>
        </w:tc>
      </w:tr>
      <w:tr>
        <w:trPr/>
        <w:tc>
          <w:tcPr>
            <w:tcW w:w="1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650 South Exeter Street</w:t>
            </w:r>
          </w:p>
        </w:tc>
      </w:tr>
      <w:tr>
        <w:trPr/>
        <w:tc>
          <w:tcPr>
            <w:tcW w:w="1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Suite 1100</w:t>
            </w:r>
          </w:p>
        </w:tc>
      </w:tr>
      <w:tr>
        <w:trPr/>
        <w:tc>
          <w:tcPr>
            <w:tcW w:w="1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 21202 www.dlapiper.com</w:t>
            </w:r>
          </w:p>
          <w:p>
            <w:pPr>
              <w:pStyle w:val="TableContents"/>
              <w:bidi w:val="0"/>
              <w:spacing w:before="0" w:after="0"/>
              <w:ind w:left="0" w:right="0" w:hanging="0"/>
              <w:jc w:val="both"/>
              <w:rPr>
                <w:caps w:val="false"/>
                <w:smallCaps w:val="false"/>
              </w:rPr>
            </w:pPr>
            <w:r>
              <w:rPr>
                <w:caps w:val="false"/>
                <w:smallCaps w:val="false"/>
              </w:rPr>
              <w:t> </w:t>
            </w:r>
          </w:p>
        </w:tc>
      </w:tr>
      <w:tr>
        <w:trPr/>
        <w:tc>
          <w:tcPr>
            <w:tcW w:w="1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w:t>
            </w:r>
            <w:r>
              <w:rPr>
                <w:rFonts w:ascii="Times New Roman;Times;Serif" w:hAnsi="Times New Roman;Times;Serif"/>
                <w:sz w:val="20"/>
              </w:rPr>
              <w:t>    410.580.3000</w:t>
            </w:r>
          </w:p>
        </w:tc>
      </w:tr>
      <w:tr>
        <w:trPr/>
        <w:tc>
          <w:tcPr>
            <w:tcW w:w="1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410.580.3001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89118</w:t>
      </w:r>
    </w:p>
    <w:p>
      <w:pPr>
        <w:pStyle w:val="TextBody"/>
        <w:bidi w:val="0"/>
        <w:spacing w:before="0" w:after="0"/>
        <w:ind w:left="0" w:right="0" w:hanging="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38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3695" w:type="dxa"/>
            <w:tcBorders/>
            <w:vAlign w:val="center"/>
          </w:tcPr>
          <w:p>
            <w:pPr>
              <w:pStyle w:val="TableContents"/>
              <w:bidi w:val="0"/>
              <w:spacing w:before="0" w:after="283"/>
              <w:jc w:val="both"/>
              <w:rPr>
                <w:b/>
              </w:rPr>
            </w:pPr>
            <w:r>
              <w:rPr>
                <w:b/>
              </w:rPr>
              <w:t>Registration Statement on Form S-8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as counsel to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have been requested to render this opinion in connection with the Company’s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the date hereof. On June 18, 2025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approved the 2024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for the issuance of up to 2,032,521 shares (the “</w:t>
      </w:r>
      <w:r>
        <w:rPr>
          <w:rFonts w:ascii="Times New Roman;Times;Serif" w:hAnsi="Times New Roman;Times;Serif"/>
          <w:b w:val="false"/>
          <w:i w:val="false"/>
          <w:caps w:val="false"/>
          <w:smallCaps w:val="false"/>
          <w:sz w:val="20"/>
          <w:u w:val="single"/>
        </w:rPr>
        <w:t>Initial Share</w:t>
      </w:r>
      <w:r>
        <w:rPr>
          <w:rFonts w:ascii="Times New Roman;Times;Serif" w:hAnsi="Times New Roman;Times;Serif"/>
          <w:b w:val="false"/>
          <w:i w:val="false"/>
          <w:caps w:val="false"/>
          <w:smallCaps w:val="false"/>
          <w:sz w:val="20"/>
        </w:rPr>
        <w:t>s”) of common stock, par value $0.001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was subsequently approved by the stockholders of the Company, effective as of June 18, 2025. The Company registered the Initial Shares for issuance under the Plan in a Registration Statement on Form S-8, File No. 333-291897, filed with the Commission on December 2, 2025. Pursuant to the Registration Statement, the Company is registering an additional 2,927,332 shares of Common Stock (the “</w:t>
      </w:r>
      <w:r>
        <w:rPr>
          <w:rFonts w:ascii="Times New Roman;Times;Serif" w:hAnsi="Times New Roman;Times;Serif"/>
          <w:b w:val="false"/>
          <w:i w:val="false"/>
          <w:caps w:val="false"/>
          <w:smallCaps w:val="false"/>
          <w:sz w:val="20"/>
          <w:u w:val="single"/>
        </w:rPr>
        <w:t>Evergreen Shares</w:t>
      </w:r>
      <w:r>
        <w:rPr>
          <w:rFonts w:ascii="Times New Roman;Times;Serif" w:hAnsi="Times New Roman;Times;Serif"/>
          <w:b w:val="false"/>
          <w:i w:val="false"/>
          <w:caps w:val="false"/>
          <w:smallCaps w:val="false"/>
          <w:sz w:val="20"/>
        </w:rPr>
        <w:t>”) for issuance under the Plan in accordance with Section 4.1 thereof. This opinion is being furnished in accordance with the requirements of Item 8 of Form S-8 and Item 601(b)(5)(i)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representation of the Company, and as a basis for the opinion expressed herein, we have reviewed originals or copies, certified or otherwise identified to our satisfaction, of the following documents (collectively, the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both"/>
              <w:rPr/>
            </w:pPr>
            <w:r>
              <w:rPr/>
              <w:t> </w:t>
            </w:r>
          </w:p>
        </w:tc>
        <w:tc>
          <w:tcPr>
            <w:tcW w:w="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Amended and Restated Certificate of Incorporation of CID HoldCo, Inc. (in the form attached to the Officer’s Certificate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Bylaws of CID HoldCo, Inc. (the “</w:t>
            </w:r>
            <w:r>
              <w:rPr>
                <w:rFonts w:ascii="Times New Roman;Times;Serif" w:hAnsi="Times New Roman;Times;Serif"/>
                <w:sz w:val="20"/>
                <w:u w:val="single"/>
              </w:rPr>
              <w:t>Bylaws</w:t>
            </w:r>
            <w:r>
              <w:rPr>
                <w:rFonts w:ascii="Times New Roman;Times;Serif" w:hAnsi="Times New Roman;Times;Serif"/>
                <w:sz w:val="20"/>
              </w:rPr>
              <w:t xml:space="preserve">”), as amended to the date hereof and as in effect on the date hereof (in the form attached to the Officer’s Certificate);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adopted by the Board of Directors of the Company relating to the approval of the Plan and the Evergreen Shares, the authorization and approval of the preparation and filing of the Registration Statement, and the issuance of the Evergreen Shares (in the form attached to the Officer’s Certificate);</w:t>
            </w:r>
          </w:p>
        </w:tc>
      </w:tr>
    </w:tbl>
    <w:p>
      <w:pPr>
        <w:pStyle w:val="TextBody"/>
        <w:bidi w:val="0"/>
        <w:jc w:val="left"/>
        <w:rPr/>
      </w:pPr>
      <w:r>
        <w:rPr/>
        <w:t> </w:t>
      </w:r>
    </w:p>
    <w:tbl>
      <w:tblPr>
        <w:tblW w:w="2575" w:type="dxa"/>
        <w:jc w:val="left"/>
        <w:tblInd w:w="0" w:type="dxa"/>
        <w:tblLayout w:type="fixed"/>
        <w:tblCellMar>
          <w:top w:w="0" w:type="dxa"/>
          <w:left w:w="0" w:type="dxa"/>
          <w:bottom w:w="0" w:type="dxa"/>
          <w:right w:w="0" w:type="dxa"/>
        </w:tblCellMar>
      </w:tblPr>
      <w:tblGrid>
        <w:gridCol w:w="75"/>
        <w:gridCol w:w="245"/>
        <w:gridCol w:w="22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jc w:val="left"/>
        <w:rPr/>
      </w:pPr>
      <w:r>
        <w:rPr/>
        <w:t> </w:t>
      </w:r>
    </w:p>
    <w:tbl>
      <w:tblPr>
        <w:tblW w:w="1060" w:type="dxa"/>
        <w:jc w:val="left"/>
        <w:tblInd w:w="0" w:type="dxa"/>
        <w:tblLayout w:type="fixed"/>
        <w:tblCellMar>
          <w:top w:w="0" w:type="dxa"/>
          <w:left w:w="0" w:type="dxa"/>
          <w:bottom w:w="0" w:type="dxa"/>
          <w:right w:w="0" w:type="dxa"/>
        </w:tblCellMar>
      </w:tblPr>
      <w:tblGrid>
        <w:gridCol w:w="75"/>
        <w:gridCol w:w="230"/>
        <w:gridCol w:w="7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Plan;</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200"/>
        <w:gridCol w:w="96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good standing certificate for the Company, dated as of the date hereof, issued by the Delaware Secretary of State; and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tbl>
      <w:tblPr>
        <w:tblW w:w="3575" w:type="dxa"/>
        <w:jc w:val="left"/>
        <w:tblInd w:w="0" w:type="dxa"/>
        <w:tblLayout w:type="fixed"/>
        <w:tblCellMar>
          <w:top w:w="0" w:type="dxa"/>
          <w:left w:w="0" w:type="dxa"/>
          <w:bottom w:w="0" w:type="dxa"/>
          <w:right w:w="0" w:type="dxa"/>
        </w:tblCellMar>
      </w:tblPr>
      <w:tblGrid>
        <w:gridCol w:w="1815"/>
        <w:gridCol w:w="1760"/>
      </w:tblGrid>
      <w:tr>
        <w:trPr/>
        <w:tc>
          <w:tcPr>
            <w:tcW w:w="1815" w:type="dxa"/>
            <w:tcBorders/>
            <w:vAlign w:val="center"/>
          </w:tcPr>
          <w:p>
            <w:pPr>
              <w:pStyle w:val="TableContents"/>
              <w:bidi w:val="0"/>
              <w:spacing w:before="0" w:after="283"/>
              <w:jc w:val="left"/>
              <w:rPr/>
            </w:pPr>
            <w:r>
              <w:rPr/>
              <w:drawing>
                <wp:inline distT="0" distB="0" distL="0" distR="0">
                  <wp:extent cx="114300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143000" cy="666750"/>
                          </a:xfrm>
                          <a:prstGeom prst="rect">
                            <a:avLst/>
                          </a:prstGeom>
                        </pic:spPr>
                      </pic:pic>
                    </a:graphicData>
                  </a:graphic>
                </wp:inline>
              </w:drawing>
            </w:r>
          </w:p>
        </w:tc>
        <w:tc>
          <w:tcPr>
            <w:tcW w:w="1760" w:type="dxa"/>
            <w:tcBorders/>
            <w:vAlign w:val="center"/>
          </w:tcPr>
          <w:p>
            <w:pPr>
              <w:pStyle w:val="TableContents"/>
              <w:bidi w:val="0"/>
              <w:spacing w:before="0" w:after="283"/>
              <w:jc w:val="right"/>
              <w:rPr/>
            </w:pPr>
            <w:r>
              <w:rPr/>
              <w:t>CID HoldCo, Inc.</w:t>
            </w:r>
          </w:p>
        </w:tc>
      </w:tr>
      <w:tr>
        <w:trPr/>
        <w:tc>
          <w:tcPr>
            <w:tcW w:w="181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tc>
      </w:tr>
      <w:tr>
        <w:trPr/>
        <w:tc>
          <w:tcPr>
            <w:tcW w:w="181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certificate executed by the Chief Financial Officer of the Company (the “</w:t>
            </w:r>
            <w:r>
              <w:rPr>
                <w:rFonts w:ascii="Times New Roman;Times;Serif" w:hAnsi="Times New Roman;Times;Serif"/>
                <w:sz w:val="20"/>
                <w:u w:val="single"/>
              </w:rPr>
              <w:t>Officer’s Certificate</w:t>
            </w:r>
            <w:r>
              <w:rPr>
                <w:rFonts w:ascii="Times New Roman;Times;Serif" w:hAnsi="Times New Roman;Times;Serif"/>
                <w:sz w:val="20"/>
              </w:rPr>
              <w:t xml:space="preserve">”), dated as of the date hereof, as to certain factual matters therein.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assumed, without independent investigation, the following:</w:t>
      </w:r>
    </w:p>
    <w:p>
      <w:pPr>
        <w:pStyle w:val="TextBody"/>
        <w:bidi w:val="0"/>
        <w:spacing w:before="0" w:after="0"/>
        <w:ind w:left="126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w:t>
            </w:r>
          </w:p>
        </w:tc>
        <w:tc>
          <w:tcPr>
            <w:tcW w:w="9893" w:type="dxa"/>
            <w:tcBorders/>
            <w:vAlign w:val="center"/>
          </w:tcPr>
          <w:p>
            <w:pPr>
              <w:pStyle w:val="TableContents"/>
              <w:bidi w:val="0"/>
              <w:spacing w:before="0" w:after="283"/>
              <w:jc w:val="left"/>
              <w:rPr/>
            </w:pPr>
            <w:r>
              <w:rPr/>
              <w:t>Each individual executing any of the Documents, whether on behalf of such individual or an entity, is legally competent to do so.</w:t>
            </w:r>
          </w:p>
        </w:tc>
      </w:tr>
    </w:tbl>
    <w:p>
      <w:pPr>
        <w:pStyle w:val="TextBody"/>
        <w:bidi w:val="0"/>
        <w:spacing w:before="0" w:after="0"/>
        <w:ind w:left="1260" w:right="0" w:hanging="54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29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left"/>
              <w:rPr/>
            </w:pPr>
            <w:r>
              <w:rPr/>
              <w:t>Each individual executing any of the Documents on behalf of a party is duly authorized to do so.</w:t>
            </w:r>
          </w:p>
        </w:tc>
      </w:tr>
    </w:tbl>
    <w:p>
      <w:pPr>
        <w:pStyle w:val="TextBody"/>
        <w:bidi w:val="0"/>
        <w:spacing w:before="0" w:after="0"/>
        <w:ind w:left="126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left"/>
              <w:rPr/>
            </w:pPr>
            <w:r>
              <w:rPr/>
              <w:t>All Documents submitted to us as originals are authentic and complete. All Documents submitted to us as certified or photostatic copies are complete and conform to the original documents. All signatures on all Documents are genuine and valid (including, without limitation, signatures via DocuSign or other electronic technology, stamp, typewritten, conformed or other type of signature). All public records reviewed or relied upon by us or on our behalf are true and complete. All statements and information contained in the Documents are true and complete. There has been no oral or written modification or amendment to the Documents by action or omission of the parties or otherwise.</w:t>
            </w:r>
          </w:p>
        </w:tc>
      </w:tr>
    </w:tbl>
    <w:p>
      <w:pPr>
        <w:pStyle w:val="TextBody"/>
        <w:bidi w:val="0"/>
        <w:spacing w:before="0" w:after="0"/>
        <w:ind w:left="126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283"/>
              <w:jc w:val="left"/>
              <w:rPr/>
            </w:pPr>
            <w:r>
              <w:rPr/>
              <w:t>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exercise of options or the settlement of awards under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questions of fact and the consequences thereof relevant to the opinions expressed herein, we have, to the extent deemed appropriate, relied without independent investigation or verification upon, and assumed the accuracy and completeness of, representations of certain officers and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we express no opinion as to the laws of any other state or jurisdiction. With respect to our opinions based on the DGCL, our examination has been limited to a review of the DGCL as reported in an official version of the State of Delaware statutory code available at https://delcode.delaware.gov. Our review of the Delaware laws referred to in this paragraph has been limited to review of statutory code provisions and has not included commentary, regulations, or case law. The individual lawyers within our firm who have devoted significant attention to this matter on behalf of the Company are not members of the bar in Delaware and do not purport to be experts on the laws of the State of Delaware generally. With your permission such opinions are based solely upon such limited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qualifications and limitations set forth herein, with respect to the Evergreen Shares to be issued after the filing of the Registration Statement, it is our opinion that the Evergreen Shares to be issued under the Plan have been duly authorized, and upon the issuance and delivery of the Evergreen Shares in the manner contemplated by the Plan and the Registration Statement, and assuming the Company completes all actions and proceedings required on its part to be taken prior to the issuance and delivery of the Evergreen Shares pursuant to the terms of the Plan, including, without limitation, collection of any required payment for the Evergreen Shares, the Evergreen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tbl>
      <w:tblPr>
        <w:tblW w:w="3575" w:type="dxa"/>
        <w:jc w:val="left"/>
        <w:tblInd w:w="0" w:type="dxa"/>
        <w:tblLayout w:type="fixed"/>
        <w:tblCellMar>
          <w:top w:w="0" w:type="dxa"/>
          <w:left w:w="0" w:type="dxa"/>
          <w:bottom w:w="0" w:type="dxa"/>
          <w:right w:w="0" w:type="dxa"/>
        </w:tblCellMar>
      </w:tblPr>
      <w:tblGrid>
        <w:gridCol w:w="1815"/>
        <w:gridCol w:w="1760"/>
      </w:tblGrid>
      <w:tr>
        <w:trPr/>
        <w:tc>
          <w:tcPr>
            <w:tcW w:w="1815" w:type="dxa"/>
            <w:tcBorders/>
            <w:vAlign w:val="center"/>
          </w:tcPr>
          <w:p>
            <w:pPr>
              <w:pStyle w:val="TableContents"/>
              <w:bidi w:val="0"/>
              <w:spacing w:before="0" w:after="283"/>
              <w:jc w:val="left"/>
              <w:rPr/>
            </w:pPr>
            <w:r>
              <w:rPr/>
              <w:drawing>
                <wp:inline distT="0" distB="0" distL="0" distR="0">
                  <wp:extent cx="114300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143000" cy="666750"/>
                          </a:xfrm>
                          <a:prstGeom prst="rect">
                            <a:avLst/>
                          </a:prstGeom>
                        </pic:spPr>
                      </pic:pic>
                    </a:graphicData>
                  </a:graphic>
                </wp:inline>
              </w:drawing>
            </w:r>
          </w:p>
        </w:tc>
        <w:tc>
          <w:tcPr>
            <w:tcW w:w="1760" w:type="dxa"/>
            <w:tcBorders/>
            <w:vAlign w:val="center"/>
          </w:tcPr>
          <w:p>
            <w:pPr>
              <w:pStyle w:val="TableContents"/>
              <w:bidi w:val="0"/>
              <w:spacing w:before="0" w:after="283"/>
              <w:jc w:val="right"/>
              <w:rPr/>
            </w:pPr>
            <w:r>
              <w:rPr/>
              <w:t>CID HoldCo, Inc.</w:t>
            </w:r>
          </w:p>
        </w:tc>
      </w:tr>
      <w:tr>
        <w:trPr/>
        <w:tc>
          <w:tcPr>
            <w:tcW w:w="181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tc>
      </w:tr>
      <w:tr>
        <w:trPr/>
        <w:tc>
          <w:tcPr>
            <w:tcW w:w="181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qualifications set forth above, the foregoing opinion is further qualified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foregoing opinion is rendered as of the date hereof. We assume no obligation to update such opinion to reflect any facts or circumstances that may hereafter come to our attention or changes in the law which may hereafter occur.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do not express any opinion herein with respect to the qualification of the Evergreen Shares under the securities or blue sky laws of any state or any foreign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assumed that the issuance of the Evergreen Shares, together with any other shares of Common Stock then outstanding will not cause the Company to issue shares of Common Stock in excess of the number of such shares then authorized under its Amended and Restated Certificate of Incorporation.  The Company has represented to us and we have also assumed that the Company has reserved from its duly authorized but unissued and otherwise unreserved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Evergreen Shares in accordance with the Plan, the number of Shares which are then issuable and deliverable upon the settlement of awards under the Plan. We have also assumed that the offer and sale of the Evergreen Shares complies and will comply in all respects with the terms, conditions and restrictions set forth in the Registration Statement and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opinion is limited to the matters set forth herein, and no other opinion should be inferred beyond the matters expressly stated.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and the use of our name wherever it appears in the Registration Statement and in the prospectus forming a part thereof. In giving this consent, we do not admit that we are within the category of persons whose consent is required under Section 7 of the Securities Act, the rules and regulations of the Commission promulgated thereunder or Item 509 of Regulation S-K.</w:t>
      </w:r>
    </w:p>
    <w:p>
      <w:pPr>
        <w:pStyle w:val="TextBody"/>
        <w:bidi w:val="0"/>
        <w:spacing w:before="0" w:after="0"/>
        <w:ind w:left="0" w:right="0" w:hanging="0"/>
        <w:jc w:val="both"/>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75"/>
        <w:gridCol w:w="2030"/>
      </w:tblGrid>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DLA PIPER LLP (US)</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DLA PIPER LLP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5" w:name="ea028007101ex23-2.htm"/>
      <w:bookmarkStart w:id="6" w:name="ksea028007101ex232"/>
      <w:bookmarkEnd w:id="5"/>
      <w:bookmarkEnd w:id="6"/>
      <w:r>
        <w:rPr>
          <w:b/>
        </w:rPr>
        <w:t>Exhibit 23.2</w:t>
      </w:r>
      <w:r>
        <w:br w:type="page"/>
      </w:r>
    </w:p>
    <w:p>
      <w:pPr>
        <w:pStyle w:val="TextBody"/>
        <w:bidi w:val="0"/>
        <w:spacing w:before="0" w:after="283"/>
        <w:jc w:val="left"/>
        <w:rPr/>
      </w:pPr>
      <w:r>
        <w:rPr/>
        <w:t> </w:t>
      </w:r>
    </w:p>
    <w:p>
      <w:pPr>
        <w:pStyle w:val="TextBody"/>
        <w:bidi w:val="0"/>
        <w:spacing w:before="0" w:after="0"/>
        <w:ind w:left="363" w:right="36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REGISTERED INDEPENDENT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CID Holdco, Inc. (the “Company”) of our report dated March 11, 2026, which included an explanatory paragraph as to the Company’s ability to continue as a going concern, with respect to our audit of the consolidated financial statements of CID Holdco, Inc. as of December 31, 2025 and for the year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 Riggs &amp; Ingram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Palm Beach Gardens, FL </w:t>
        <w:br/>
        <w:t>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28007101ex23-3.htm"/>
      <w:bookmarkStart w:id="8" w:name="ksea028007101ex233"/>
      <w:bookmarkEnd w:id="7"/>
      <w:bookmarkEnd w:id="8"/>
      <w:r>
        <w:rPr>
          <w:rFonts w:ascii="Times New Roman;Times;Serif" w:hAnsi="Times New Roman;Times;Serif"/>
          <w:b/>
          <w:i w:val="false"/>
          <w:caps w:val="false"/>
          <w:smallCaps w:val="false"/>
          <w:sz w:val="20"/>
        </w:rPr>
        <w:t>Exhibit 23.3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29500" cy="142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7429500" cy="14287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Consent of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Form S-8 Registration Statement of CID Holdco, Inc. of our report dated June 25, 2025, which included an explanatory paragraph as to the entity’s ability to continue as a going concern, with respect to the consolidated balance sheet of SEE ID, Inc. dba Dot Ai as of December 31, 2024, the related consolidated statements of operations, stockholders’ deficit, and cash flows for the year ended December 31, 2024, and the related notes, before the effects of the retrospective adjustments and revisions described in Notes 2, 3, 4 and 11, which have been subjected to audit procedures by the successor auditor whose report appears in the year ended December 31, 2025 annual report on Form 10-K of CID Holdco,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52</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w:t>
        <w:br/>
        <w:t>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6477000" cy="295275"/>
                    </a:xfrm>
                    <a:prstGeom prst="rect">
                      <a:avLst/>
                    </a:prstGeom>
                  </pic:spPr>
                </pic:pic>
              </a:graphicData>
            </a:graphic>
          </wp:inline>
        </w:drawing>
      </w: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28007101ex-fee.htm"/>
      <w:bookmarkStart w:id="10" w:name="ksea0280071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CID Holdco,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6"/>
        <w:gridCol w:w="60"/>
        <w:gridCol w:w="1214"/>
        <w:gridCol w:w="60"/>
        <w:gridCol w:w="575"/>
        <w:gridCol w:w="60"/>
        <w:gridCol w:w="1130"/>
        <w:gridCol w:w="60"/>
        <w:gridCol w:w="1087"/>
        <w:gridCol w:w="60"/>
        <w:gridCol w:w="191"/>
        <w:gridCol w:w="938"/>
        <w:gridCol w:w="60"/>
        <w:gridCol w:w="158"/>
        <w:gridCol w:w="1246"/>
        <w:gridCol w:w="60"/>
        <w:gridCol w:w="1040"/>
        <w:gridCol w:w="60"/>
        <w:gridCol w:w="251"/>
        <w:gridCol w:w="1039"/>
      </w:tblGrid>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r>
      <w:tr>
        <w:trPr/>
        <w:tc>
          <w:tcPr>
            <w:tcW w:w="85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14"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2,927,332</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0.2315</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right"/>
              <w:rPr/>
            </w:pPr>
            <w:r>
              <w:rPr/>
              <w:t>677,677.36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93.59</w:t>
            </w:r>
          </w:p>
        </w:tc>
      </w:tr>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91"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right"/>
              <w:rPr/>
            </w:pPr>
            <w:r>
              <w:rPr/>
              <w:t>677,677.36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93.59</w:t>
            </w:r>
          </w:p>
        </w:tc>
      </w:tr>
      <w:tr>
        <w:trPr/>
        <w:tc>
          <w:tcPr>
            <w:tcW w:w="6291"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91"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bottom w:val="double" w:sz="8" w:space="0" w:color="000000"/>
            </w:tcBorders>
            <w:tcMar>
              <w:bottom w:w="28" w:type="dxa"/>
            </w:tcMar>
            <w:vAlign w:val="center"/>
          </w:tcPr>
          <w:p>
            <w:pPr>
              <w:pStyle w:val="TableContents"/>
              <w:bidi w:val="0"/>
              <w:spacing w:before="0" w:after="283"/>
              <w:jc w:val="left"/>
              <w:rPr/>
            </w:pPr>
            <w:r>
              <w:rPr/>
              <w:t>$</w:t>
            </w:r>
          </w:p>
        </w:tc>
        <w:tc>
          <w:tcPr>
            <w:tcW w:w="1039" w:type="dxa"/>
            <w:tcBorders>
              <w:bottom w:val="double" w:sz="8" w:space="0" w:color="000000"/>
            </w:tcBorders>
            <w:tcMar>
              <w:bottom w:w="28" w:type="dxa"/>
            </w:tcMar>
            <w:vAlign w:val="center"/>
          </w:tcPr>
          <w:p>
            <w:pPr>
              <w:pStyle w:val="TableContents"/>
              <w:bidi w:val="0"/>
              <w:spacing w:before="0" w:after="283"/>
              <w:jc w:val="right"/>
              <w:rPr/>
            </w:pPr>
            <w:r>
              <w:rPr/>
              <w:t>93.59</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(a) Pursuant to Rule 416 under the Securities Act of 1933, as amended (the “Securities Act”), this Registration Statement shall also cover additional shares of common stock, par value $0.0001 per share, of CID HoldCo, Inc. (the “Company”), which may become issuable by reason of any stock split, stock dividend, recapitalization or other similar transaction effected without consideration which results in an increase in the number of the Company’s outstanding shares of common stock.</w:t>
              <w:br/>
              <w:br/>
              <w:t>(b) Estimated solely for purposes of calculating the registration fee pursuant to Rule 457(c) and (h) of the Securities Act. The proposed maximum offering price per share, proposed maximum aggregate offering price and the amount of the registration fee are based on the average of the high and low prices for the common stock as reported on The Nasdaq Global Market on March 9, 2026.</w:t>
              <w:br/>
              <w:br/>
              <w:t>(c) Represents additional shares of common stock of the Company issuable under CID HoldCo, Inc. 2024 Equity Incentive Plan, as may be amended or restated from time to time (the “Plan”). Shares of common stock issuable under the Plan include awards of stock options, stock appreciation rights, restricted stock, restricted stock units, performance awards and other stock-based awards.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6026247/ea0280037-10k_cidhold.htm" TargetMode="External"/><Relationship Id="rId3" Type="http://schemas.openxmlformats.org/officeDocument/2006/relationships/hyperlink" Target="https://www.sec.gov/ix?doc=/Archives/edgar/data/2033770/000121390026005719/ea0273307-8k_cidhold.htm" TargetMode="External"/><Relationship Id="rId4" Type="http://schemas.openxmlformats.org/officeDocument/2006/relationships/hyperlink" Target="https://www.sec.gov/Archives/edgar/data/2033770/000121390026014914/ea0276026-8k_cidhold.htm" TargetMode="External"/><Relationship Id="rId5" Type="http://schemas.openxmlformats.org/officeDocument/2006/relationships/hyperlink" Target="https://www.sec.gov/Archives/edgar/data/2033770/000121390026024757/ea0280403-8ka1_cidhold.htm" TargetMode="External"/><Relationship Id="rId6" Type="http://schemas.openxmlformats.org/officeDocument/2006/relationships/hyperlink" Target="https://www.sec.gov/Archives/edgar/data/2033770/000121390025055727/ea0246011-8a12b_cidhold.htm" TargetMode="External"/><Relationship Id="rId7" Type="http://schemas.openxmlformats.org/officeDocument/2006/relationships/hyperlink" Target="https://www.sec.gov/Archives/edgar/data/2033770/000121390025057972/ea024660701ex3-1_cidhold.htm" TargetMode="External"/><Relationship Id="rId8" Type="http://schemas.openxmlformats.org/officeDocument/2006/relationships/hyperlink" Target="https://www.sec.gov/Archives/edgar/data/2033770/000121390025057972/ea024660701ex3-2_cidhold.htm" TargetMode="External"/><Relationship Id="rId9" Type="http://schemas.openxmlformats.org/officeDocument/2006/relationships/hyperlink" Target="https://www.sec.gov/Archives/edgar/data/2033770/000121390025084585/ea025454801ex99-1_cidholdco.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3243</Words>
  <Characters>16848</Characters>
  <CharactersWithSpaces>20229</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