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Gerry Williams</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753"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2025, the registrant filed a Registration Statement on Form S-1 (Registration No. 333-290052), which was amended on September 16, 2025 and declared effective by the United States Securities and Exchange Commission on September 18, 2025 (as amended and supplemented, the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Form S-1 (the “Post-Effective Amendment”) is being filed to update the Registration Statement to include information contained in the registrant’s Quarterly Report on Form 10-Q for the quarterly period ended September 30, 2025 and certain other information in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Neither we nor the Selling Securityholders may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2, 2025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29,701,559 shares of Common Stock </w:t>
      </w:r>
      <w:r>
        <w:rPr>
          <w:rFonts w:ascii="Times New Roman" w:cs="Times New Roman" w:eastAsia="Times New Roman" w:hAnsi="Times New Roman"/>
          <w:sz w:val="18"/>
          <w:szCs w:val="18"/>
          <w:b w:val="1"/>
          <w:bCs w:val="1"/>
          <w:i w:val="1"/>
          <w:iCs w:val="1"/>
          <w:color w:val="auto"/>
        </w:rPr>
        <w:t>(for resale)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655,000 Warrants to Purchase shares of Common Stock </w:t>
      </w:r>
      <w:r>
        <w:rPr>
          <w:rFonts w:ascii="Times New Roman" w:cs="Times New Roman" w:eastAsia="Times New Roman" w:hAnsi="Times New Roman"/>
          <w:sz w:val="18"/>
          <w:szCs w:val="18"/>
          <w:b w:val="1"/>
          <w:bCs w:val="1"/>
          <w:i w:val="1"/>
          <w:iCs w:val="1"/>
          <w:color w:val="auto"/>
        </w:rPr>
        <w:t>(for resale)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14,999,983 shares of Common Stock Issuable upon Exercise of the Warrants </w:t>
      </w:r>
      <w:r>
        <w:rPr>
          <w:rFonts w:ascii="Times New Roman" w:cs="Times New Roman" w:eastAsia="Times New Roman" w:hAnsi="Times New Roman"/>
          <w:sz w:val="18"/>
          <w:szCs w:val="18"/>
          <w:b w:val="1"/>
          <w:bCs w:val="1"/>
          <w:i w:val="1"/>
          <w:iCs w:val="1"/>
          <w:color w:val="auto"/>
        </w:rPr>
        <w:t>(for issuance)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of our common stock, par value $0.0001 per share (the “Common Stock”), by the selling security holders identified in this prospectus (including their transferees, donees, pledgees and other successors-in-interest) (the “Selling Securityholders”) of: (1) up to 29,701,559 shares of Common Stock (the “Total Resale Shares”), including (i) 11,522,565 shares of Common Stock which shares were originally issued to certain SEE ID Equityholders (as defined herein) in connection with the consummation of the Business Combination as merger consideration at an equity consideration value of $10.00 per share; (ii) up to 7,365,834 shares of Common Stock (the “Founder Shares”) issued in connection with the consummation of the Business Combination, originally issued in a private placement to ShoulderUp Technology Sponsor LLC, a Delaware limited liability company (“Sponsor”); (iii) up to 1,310,000 shares of Common Stock (the “Private Placement Shares”) originally issued in a private placement to the Sponsor as part of the private placement units (the “Private Placement Units”) at a price of $10.00 per Private Placement Unit; (iv) up to 3,323,536 shares of Common Stock (the “PIPE Shares”) originally issued in a private placement to certain investors pursuant to the PIPE Subscription Agreements (as defined below) at price of $4.00 per share; (v) up to 5,524,624 New Circle Shares issuable pursuant to the ELOC Agreement (as defined herein), comprised of (a) 85,995 shares issuable to New Circle (the “Commitment Shares”), based on the commitment fee of $350,000 to be calculated using the market value of the closing price of the Common Stock on the date this Registration Statement is declared effective by the SEC, and</w:t>
      </w:r>
    </w:p>
    <w:p>
      <w:pPr>
        <w:spacing w:after="0" w:line="2" w:lineRule="exact"/>
        <w:rPr>
          <w:sz w:val="20"/>
          <w:szCs w:val="20"/>
          <w:color w:val="auto"/>
        </w:rPr>
      </w:pPr>
    </w:p>
    <w:p>
      <w:pPr>
        <w:jc w:val="both"/>
        <w:ind w:firstLine="8"/>
        <w:spacing w:after="0" w:line="25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5,438,629 shares of Common Stock (the “ELOC Shares” and together with the Commitment Shares, the “New Circle Shares”) that we may, in our sole discretion, elect to issue and sell to New Circle, from time to time after the date of this prospectus, as part of the Total Commitment (as defined herein) pursuant to (and limited by the terms of) the ELOC Agreement; (vi) up to 655,000 shares of Common Stock that are issuable by us upon the exercise of the Private Placement Warrants (the “Private Placement Warrants”))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this prospectus also relates to the issuance by us of up to 14,999,983 shares of Common Stock Common Stock issuable upon the exercise of 14,999,983 public warrants, originally issued by ShoulderUp Technology Acquisition Corp. (“SUAC”) as part of its initial public offering (the “IPO”) of units at a price of $10.00 per unit, such units were comprised of one Class A common stock of SUAC and one-half of one redeemable warrant, which are currently exercisable at a price of $11.50 per share of our Common Stock (the “Public Warrants” and together with the Private Placement Warrants, the “Warrants”).All of the Public Warrants were assumed by us in connection with the Business Combination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our Common Stock or Warrants by the Selling Securityholders pursuant to this prospectus, except with respect to amounts received by us upon exercise of the Public Warrants to the extent such Public Warrants are exercised for cash, which amount of aggregate proceeds, assuming the exercise of all Public Warrants for cash, could be up to approximately $172,499,805. We believe the likelihood that Public Warrant holders will exercise their Public Warrants, and therefore the amount of cash proceeds that we would receive, is dependent upon the market price of our Common Stock (as defined below). If the market price for our Common Stock is less than $11.50 per share, we believe the Public Warrant holders will be less likely to exercise their Warrants.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Please see “Plan of Distribution” for more information. In addition, certain of the securities being registered hereby are subject to vesting and/or transfer restrictions that may prevent the Selling Securityholders from offering or selling of such securities upon the effectiveness of the registration statement of which this prospectus is a part. See “Description of Securities” for more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 Our Common Stock and Public Warrants are traded on the Nasdaq Stock Market LLC under the symbol “DAIC” and “DAICW”, respectively. On November 28, 2025, the last reported sale price of our Common Stock on the Nasdaq Stock Market LLC was $1.69 per share, and the closing price of our Public Warrants was $0.17 per Public Warrant.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holders of 2,000 SUAC Public Shares (as defined below) exercised their right to redeem those shares for cash at a price of approximately $11.00 per share, for an aggregate price of approximately $22,019, which represented approximately .39% of the total SUAC Public Shares then outstanding. The Total Resale Shares being offered for resale in this prospectus represent 106.94% of our current total outstanding Common Stock. The Total Resale Shares represent a substantial percentage of our total outstanding Common Stock as of the date of this prospectus. Additionally, if all of the Private Placement Warrants are exercised, the Selling Securityholders would own an additional 655,000 shares of Common Stock, representing an additional 2.37% of the then total outstanding Common Stock. The sale of all securities being offered in this prospectus could result in a significant decline in the public trading price of our Common Stock. Even if the current trading price of the Common Stock is close to the price at which the units were issued in SUAC’s initial public offering, the Selling Securityholders have an incentive to sell because they will still profit on sales due to the lower price at which they purchased their shares compared to the public investors. The public securityholders may not experience a similar rate of return on the securities they purchase due to differences in the purchase prices and the current trading price.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are subject to reduced public company reporting requirements. Investing in our Common Stock involves a high degree of risk. See “Risk Factors” beginning on page 7 of this prospectus.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The date of this prospectus is November</w:t>
      </w:r>
      <w:r>
        <w:rPr>
          <w:sz w:val="20"/>
          <w:szCs w:val="20"/>
          <w:color w:val="auto"/>
        </w:rPr>
        <w:tab/>
      </w:r>
      <w:r>
        <w:rPr>
          <w:rFonts w:ascii="Times New Roman" w:cs="Times New Roman" w:eastAsia="Times New Roman" w:hAnsi="Times New Roman"/>
          <w:sz w:val="17"/>
          <w:szCs w:val="17"/>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-5080</wp:posOffset>
            </wp:positionV>
            <wp:extent cx="114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52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7660" w:type="dxa"/>
            <w:vAlign w:val="bottom"/>
            <w:tcBorders>
              <w:bottom w:val="single" w:sz="8" w:color="CCEEFF"/>
            </w:tcBorders>
            <w:gridSpan w:val="1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500" w:type="dxa"/>
            <w:vAlign w:val="bottom"/>
            <w:tcBorders>
              <w:bottom w:val="single" w:sz="8" w:color="CCEEFF"/>
            </w:tcBorders>
            <w:gridSpan w:val="2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SECURITIES AND DIVIDEND POLICY</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89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OUR BUSINESS</w:t>
            </w:r>
          </w:p>
        </w:tc>
        <w:tc>
          <w:tcPr>
            <w:tcW w:w="8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428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70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176"/>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CHANGES IN INDEPENDENT REGISTERED PUBLIC ACCOUNTING FIRM</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 dealer, salesperson or other person to provide you with information about the Company, except for the information contained in this prospectus. The information contained in this prospectus is complete and accurate only as of the date on the front cover page of this prospectus, regardless of the time of delivery of this prospectus or the sale of any securities. This prospectus is not an offer to sell these securities and we are not soliciting an offer to buy these securities in any state where the offer or sale is not permitted. The information contained in this prospectus may change after the date of this prospectus. Do not assume after the date of this prospectus that the information contained in this prospectus is still correct.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and the distribution of this prospectus outside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from time to time, we and the Selling Securityholders may offer and sell the securities offered by them described in this prospectus in one or more offerings from time to time through any means described in the section entitled “Plan of Distribution.” We may use the shelf registration statement to issue shares of Common Stock upon exercise of the Public Warrants. We will receive proceeds from any exercise of the Public Warrants for cash. We may use the shelf registration statement to issue up to an aggregate of 14,999,983 shares of our Common Stock underlying 14,999,983 Public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Securityholders may use the shelf registration statement to sell up to: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w:t>
      </w:r>
    </w:p>
    <w:p>
      <w:pPr>
        <w:spacing w:after="0" w:line="3" w:lineRule="exact"/>
        <w:rPr>
          <w:sz w:val="20"/>
          <w:szCs w:val="20"/>
          <w:color w:val="auto"/>
        </w:rPr>
      </w:pPr>
    </w:p>
    <w:p>
      <w:pPr>
        <w:jc w:val="both"/>
        <w:ind w:firstLine="8"/>
        <w:spacing w:after="0" w:line="251" w:lineRule="auto"/>
        <w:tabs>
          <w:tab w:leader="none" w:pos="2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w:t>
      </w:r>
      <w:r>
        <w:rPr>
          <w:rFonts w:ascii="Times New Roman" w:cs="Times New Roman" w:eastAsia="Times New Roman" w:hAnsi="Times New Roman"/>
          <w:sz w:val="18"/>
          <w:szCs w:val="18"/>
          <w:b w:val="1"/>
          <w:bCs w:val="1"/>
          <w:i w:val="1"/>
          <w:iCs w:val="1"/>
          <w:color w:val="auto"/>
        </w:rPr>
        <w:t>ShoulderUp Merger</w:t>
      </w:r>
      <w:r>
        <w:rPr>
          <w:rFonts w:ascii="Times New Roman" w:cs="Times New Roman" w:eastAsia="Times New Roman" w:hAnsi="Times New Roman"/>
          <w:sz w:val="18"/>
          <w:szCs w:val="18"/>
          <w:color w:val="auto"/>
        </w:rPr>
        <w:t>”), with SUAC surviving the ShoulderUp Merger as a wholly-owned subsidiary of the Company (“</w:t>
      </w:r>
      <w:r>
        <w:rPr>
          <w:rFonts w:ascii="Times New Roman" w:cs="Times New Roman" w:eastAsia="Times New Roman" w:hAnsi="Times New Roman"/>
          <w:sz w:val="18"/>
          <w:szCs w:val="18"/>
          <w:b w:val="1"/>
          <w:bCs w:val="1"/>
          <w:i w:val="1"/>
          <w:iCs w:val="1"/>
          <w:color w:val="auto"/>
        </w:rPr>
        <w:t>SUAC Surviving Company</w:t>
      </w:r>
      <w:r>
        <w:rPr>
          <w:rFonts w:ascii="Times New Roman" w:cs="Times New Roman" w:eastAsia="Times New Roman" w:hAnsi="Times New Roman"/>
          <w:sz w:val="18"/>
          <w:szCs w:val="18"/>
          <w:color w:val="auto"/>
        </w:rPr>
        <w:t>”); and (ii) simultaneously with the ShoulderUp Merger, SEI Merger Sub merged with and into SEE ID (“</w:t>
      </w:r>
      <w:r>
        <w:rPr>
          <w:rFonts w:ascii="Times New Roman" w:cs="Times New Roman" w:eastAsia="Times New Roman" w:hAnsi="Times New Roman"/>
          <w:sz w:val="18"/>
          <w:szCs w:val="18"/>
          <w:b w:val="1"/>
          <w:bCs w:val="1"/>
          <w:i w:val="1"/>
          <w:iCs w:val="1"/>
          <w:color w:val="auto"/>
        </w:rPr>
        <w:t>the 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ID Merger</w:t>
      </w:r>
      <w:r>
        <w:rPr>
          <w:rFonts w:ascii="Times New Roman" w:cs="Times New Roman" w:eastAsia="Times New Roman" w:hAnsi="Times New Roman"/>
          <w:sz w:val="18"/>
          <w:szCs w:val="18"/>
          <w:color w:val="auto"/>
        </w:rPr>
        <w:t>”), with SEE ID surviving the SEE ID Merger as a wholly-owned subsidiary of the Company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(the ShoulderUp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the SEE ID Merger, together the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 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Closing. The PIPE Investment closed substantially concurrently with the Closing.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Concurrently with the Closing, the Company and the persons identified in Schedule A thereto, entered into the Registration Rights Agreement, which provides customary demand and piggyback registration rights. See </w:t>
      </w:r>
      <w:r>
        <w:rPr>
          <w:rFonts w:ascii="Times New Roman" w:cs="Times New Roman" w:eastAsia="Times New Roman" w:hAnsi="Times New Roman"/>
          <w:sz w:val="18"/>
          <w:szCs w:val="18"/>
          <w:i w:val="1"/>
          <w:iCs w:val="1"/>
          <w:color w:val="auto"/>
        </w:rPr>
        <w:t>“Certain Relationships and Related Party Transactions - 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prospectus contains statements that are forward-looking and as such are not historical facts. These forward-looking statements are based on CID HoldCo,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92"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combined company or others following the consummation of the Business Combination and any definitive agreements with respect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stock exchange listing standards following the consummation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of the Company and SEE ID;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SEE ID or the Company may be adversely affected by other economic, business, or competitive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of expenses and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raise financing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public securities’ potential liquidity and trading;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including compliance with the SEC’s requirements regarding internal controls over financial reporting, may strain the Company’s resources and divert management’s attention, and the increases in legal, accounting and compliance expenses that will result from the Business Combination may be greater than anticipated;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the ability to adequately protect the Company’s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relating to the business, operations and financial performance of the Company detailed under the section entitled “Risk Factors”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and other 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are not exhaustive. Other sections of this prospectus describe additional factors that could adversely affect the business, financial condition or results of operations of the Company. New risk factors emerge from time to time and it is not possible to predict all such risk factors, nor can the Company assess the impact of all such risk factors on the business of the Company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of belief and similar statements reflect the beliefs and opinions of the Company on the relevant subject. These statements are based upon information available to the Company, as applicable, as of the date of this prospectus, and while the Company believes such information forms a reasonable basis for such statements, such information may be limited or incomplete, and statements should not be read to indicate that the Company has conducted an exhaustive inquiry into, or review of, all potentially available relevant information. These statements are inherently uncertain and you are cautioned not to unduly rely upon these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476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It does not contain all the information that you may consider important in making your investment decision. Therefore, you should read the entire prospectus carefully, including, in particular, the sections entitled “Risk Factors” and “Management’s Discussion and Analysis of Financial Condition and Results of Operations,” and our consolidated financial statements and related notes.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unless the context otherwise requires or indicates, references to “Company,” “we,” “our,” and “us,” refer to CID HoldCo, Inc. and its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We provide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our technology is disruptive to legacy logistics systems which are either inadequate to gather this level of detail or much more expensive and inflexible to deploy.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We not only provide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our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we provide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we are often implemented as an edge system producing rich data streams for other supervisory systems of record. Powerful commercial partnerships are intended to be formed with large ERP, MES or WMS system players in the targeted vertical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16" w:right="45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65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In short, we bring a next generation capability to know when, where and why assets move in the enterprise, providing an opportunity to apply AI to complex edge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consummated the transactions contemplated by the Business Combination Agreement. Pursuant to the Business Combination Agreement, on the Closing Date, (i) ShoulderUp Merger Sub merged with and into SUAC, with SUAC surviving the ShoulderUp Merger as a wholly-owned subsidiary of the Company and (ii) simultaneously with the ShoulderUp Merger, SEI Merger Sub merged with and into SEE ID, with SEE ID surviving the SEE ID Merger as a wholly-owned subsidiary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and in connection with the Special Meeting, holders of 2,000 shares of SUAC’s Class A Common Stock sold in its initial public offering exercised their right to redeem those shares for cash at a price of approximately $11.00 per share, for an aggregate of approximately $22,019. The per share redemption price of approximately $11.00 for public shareholders electing redemption was paid out of the Trust Account, which after taking into account the redemptions, had a balance immediately prior to the Closing of approximately $5,577,304.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and Lock Up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and Lock-Up Agreement (the “Registration Rights and Lock-Up Agreement”) with certain holders listed on Schedule A thereto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we consummated the PIPE Financing. Pursuant to the PIPE Subscription Agreements, the Company agreed to issue and sell to the PIPE Investors, and the PIPE Investors agreed to subscribe for and purchase an aggregate of 3,323,536 PIPE Shares at a purchase price of $4.00 per share for an aggregate purchase price of $13,294,143, in a private placement. Of the total PIPE Investment, $2,456,500 represents the conversion of bridge loan principal and accrued interest, such that the Company received an additional $10,837,643 from the PIPE Investors at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Share Purchase Agreement (the “ELOC Agreement”) with New Circle Principal Investments LLC, a Delaware limited liability company (“New Circle”), pursuant to which New Circle has committed to purchase, subject to certain limitations, up to $50 million (the “Total Commitment”) of the Company’s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ELOC Agreement, the Company also entered into that certain Registration Rights Agreement (the “New Circle Registration Rights Agreement”) with New Circle.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0" w:name="page11"/>
    <w:bookmarkEnd w:id="10"/>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202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Pursuant to the ELOC Agreement, we have the right to sell to New Circle up to $50 million shares of common stock of the Company, subject to certain limitations and conditions set forth in the ELOC Agreement, from time to time during the term of the ELOC Agreement. Sales of Common Stock to New Circle under the ELOC Agreement, and the timing of any such sales, are at our option, and we are under no obligation to sell any securities to New Circle under the ELOC Agreement. In accordance with our obligations under the ELOC Agreement and New Circle Registration Rights Agreement, we have filed the registration statement of which this prospectus forms a part with the Securities and Exchange Commission (the “SEC”) to register under the Securities Act the resale by New Circle of up to 5,524,624 shares of Common Stock that we may elect, in our sole discretion, to issue and sell to New Circle, from time to time under the ELOC Agreement. From time to time at our discretion until June 18, 2028, upon the satisfaction of the conditions to New Circle’s purchase obligation set forth in the ELOC Agreement, including that the registration statement of which this prospectus forms a part be declared effective by the SEC and the final form of this prospectus is filed with the SEC, we will have the right, but not the obligation to direct New Circle to purchase a specified number of Common Stock (each such sale, a “Purchase”) by delivering written notice to New Circle (each, a “Purchase Notice”). While there is no mandatory minimum amount for any Purchase, it may not exceed an amount of shares of Common Stock equal to thirty percent (30%) of the average daily trading volume of the Common Stock of the Company during the five (5) Trading Days immediately preceding a Purchase Notice. The per share purchase price for the Common Stock, if any, that we elect to sell to New Circle in an Advance pursuant to the ELOC Agreement will be determined by reference to the volume weighted average price of our Common Stock (the “VWAP”) and calculated in accordance with the ELOC Agreement. There is no upper limit on the price per share that New Circle could be obligated to pay for the Common Stock we may elect to sell to it in any Purchase. We will control the timing and amount of any sales of Common Stock to New Circle. Actual sales of Common Stock to New Circle under the ELOC Agreement will depend on a variety of factors to be determined by us from time to time, which may include, among other things, market conditions, the trading price of our Common Stock, and determinations by us as to the appropriate sources of funding for our business and its operations.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the applicable rules of The Nasdaq Stock Market LLC (“Nasdaq”), in no event may we issue to New Circle under the ELOC Agreement more than 5,524,624 shares of Common Stock, which number of shares is equal to 19.99% of the aggregate number of Common Stock issued and outstanding as of the “Effective Date”, as such term is defined in the ELOC Agreement (the “Exchange Cap”), unless (i) we obtain stockholder approval to issue Common Stock in excess of the Exchange Cap in accordance with applicable Nasdaq rules, (ii) all applicable sales of Common Stock under the ELOC Agreement equal or exceed the “Minimum Price” (as such term is defined in Nasdaq Rule 5635), or (iii) as to any Purchase, the issuance of Common Stock pursuant to a Purchase Notice would be excluded from the Exchange Cap under Nasdaq rules (or interpretive guidance provided by Nasdaq with respect thereto). Moreover, we may not issue or sell any shares of Common Stock to New Circle under the ELOC Agreement which, when aggregated with all other shares of Common Stock then beneficially owned by New Circle and its affiliates (as calculated pursuant to Section 13(d) of the U.S. Securities Exchange Act of 1934, as amended (the “Exchange Act”), and Rule 13d-3 promulgated thereunder), would result in New Circle beneficially owning more than 4.99% of the outstanding voting power or shares of Common Stock (the “Ownership Limitation”)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delivery of a written notice to the Company, New Circle may from time to time increase (with such increase not effective until the sixty-first (61st) day after delivery of such notice) the Ownership Limitation to 9.99%.</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net proceeds from sales, if any, under the ELOC Agreement to us will depend on the frequency and prices at which we sell shares to New Circle. We expect that any proceeds received by us from such sales to New Circle will be used for working capital and general corporate purposes. New Circle has agreed that it and its affiliates will not engage in any short sales of our Common Stock nor enter into any transaction that establishes a net short position in the Common Stock during the term of the ELOC Agreement. The ELOC Agreement will automatically terminate on the earlier to occur of</w:t>
      </w:r>
    </w:p>
    <w:p>
      <w:pPr>
        <w:spacing w:after="0" w:line="3" w:lineRule="exact"/>
        <w:rPr>
          <w:sz w:val="20"/>
          <w:szCs w:val="20"/>
          <w:color w:val="auto"/>
        </w:rPr>
      </w:pPr>
    </w:p>
    <w:p>
      <w:pPr>
        <w:jc w:val="both"/>
        <w:ind w:firstLine="5"/>
        <w:spacing w:after="0" w:line="252" w:lineRule="auto"/>
        <w:tabs>
          <w:tab w:leader="none" w:pos="22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18, 2028 and (ii) the date on which New Circle shall have purchased from us under the ELOC Agreement that number of shares of Common Stock for an aggregate gross purchase price of $50 million. We have the right to terminate the ELOC Agreement at no cost or penalty upon five trading days’ prior written notice to New Circle; provided that there are no outstanding Purchase Notices and all outstanding amounts the Company owes to New Circle pursuant to the ELOC Agreement are repaid. We and New Circle may also agree to terminate the ELOC Agreement by mutual written consent. Neither we nor New Circle may assign or transfer our respective rights and obligations under the ELOC Agreement, and no provision of the ELOC Agreement may be modified or waived by us or New Circle other than by an instrument in writing signed by both parties.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400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4007485"/>
                    </a:xfrm>
                    <a:prstGeom prst="rect">
                      <a:avLst/>
                    </a:prstGeom>
                    <a:noFill/>
                  </pic:spPr>
                </pic:pic>
              </a:graphicData>
            </a:graphic>
          </wp:anchor>
        </w:drawing>
        <w:t>The ELOC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know what the purchase price for our Common Stock will be and therefore cannot be certain as to the number of shares we might issue to New Circle under the ELOC Agreement. Although the ELOC Agreement provides that we may sell up to $50 million shares of Common Stock to New Circle, only 5,524,624 shares of Common Stock are being registered for resale by New Circle under the registration statement of which this prospectus forms a part, which may be issued to New Circle from time to time, if and when we elect to sell shares to New Circle under the ELOC Agreement. As of the date hereof, we have not sold any shares of Common Stock to New Circle under the ELOC Agreement and up to $50 million shares of Common Stock may still be sold to New Circle.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and when we elect to issue and sell shares to New Circle under the ELOC Agreement, we may need to register for resale under the Securities Act additional shares of Common Stock in order to receive aggregate gross proceeds equal to the $50 million available to us under the ELOC Agreement, depending on market prices for our Common Stock. If all of the 5,524,624 shares offered by New Circle for resale under the registration statement of which this prospectus forms a part were issued and outstanding as of the date hereof (without taking into account the 4.99% Ownership Limitation or the 19.99% Exchange Cap limitation), such shares would represent approximately 5.25% of the total number of shares of Common Stock outstanding as of September 16, 2025. If we elect to issue and sell more than the 5,524,624 shares offered under this prospectus to New Circle, which we have the right, but not the obligation, to do, we must first register for resale under the Securities Act any such additional shares, which could cause substantial additional dilution to our stockholders. The number of shares ultimately offered for resale by New Circle is dependent upon the number of shares we may elect to sell to New Circle under the ELOC Agreement.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substantial risks to our shareholders as a result of the sale and issuance of Common Stock to New Circle under the ELOC Agreement. These risks include the potential for substantial dilution and significant declines in our stock price. See the section entitled “Risk Factors—Risks Related to this Offering.” Issuances of our Common Stock in this offering will not affect the rights or privileges of our existing shareholders, except that the economic and voting interests of each of our existing shareholders will be diluted as a result of any such issuance. Although the number of shares of Common Stock that our existing shareholders own will not decrease as a result of sales, if any, under the ELOC Agreement to New Circle, the shares owned by our existing shareholders will represent a smaller percentage of our total outstanding shares after any such issuance to New Circle.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4"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7847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2025, the fifth anniversary of the closing of SUAC’s IPO, (b) in which we have total annual gross revenue of at least $1.07 billion or (c) in which the Company is deemed to be a large accelerated filer, which means the market value of our Common Stock that are held by non-affiliates exceeds $700 million as of the last business day of our prior second fiscal quarter, and (ii) the date on which we have issued more than $1.0 billion in non-convertible debt during the prior three-year period.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on February 27,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5661 S Cameron St, Suite 100, Las Vegas, Nevada 89118 and our telephone number is (303)-332-4122. Our website is https://daic.ai. The information found on, or that can be accessed from or that is hyperlinked to, our website is not part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spacing w:after="0" w:line="180" w:lineRule="exact"/>
        <w:rPr>
          <w:sz w:val="20"/>
          <w:szCs w:val="20"/>
          <w:color w:val="auto"/>
        </w:rPr>
      </w:pPr>
    </w:p>
    <w:p>
      <w:pPr>
        <w:ind w:left="66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6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our ability to grow the Company’s business depends on retaining and expanding the Company’s customer base.</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and enhance the Company’s brand and reputation.</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limited operating history.</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incidents or real or perceived errors, failures or bugs in the Company’s systems or website could impair its business.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team has limited experience managing a public company.</w:t>
      </w:r>
    </w:p>
    <w:p>
      <w:pPr>
        <w:spacing w:after="0" w:line="225" w:lineRule="exact"/>
        <w:rPr>
          <w:rFonts w:ascii="Times New Roman" w:cs="Times New Roman" w:eastAsia="Times New Roman" w:hAnsi="Times New Roman"/>
          <w:sz w:val="18"/>
          <w:szCs w:val="18"/>
          <w:color w:val="auto"/>
        </w:rPr>
      </w:pPr>
    </w:p>
    <w:p>
      <w:pPr>
        <w:ind w:left="660" w:right="20" w:hanging="331"/>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internal controls over financial reporting may not be effective and the Company’s independent registered public accounting firm may not be able to certify as to their effectiveness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review and consider the risk factors set forth under the section entitled “</w:t>
      </w:r>
      <w:r>
        <w:rPr>
          <w:rFonts w:ascii="Times New Roman" w:cs="Times New Roman" w:eastAsia="Times New Roman" w:hAnsi="Times New Roman"/>
          <w:sz w:val="18"/>
          <w:szCs w:val="18"/>
          <w:i w:val="1"/>
          <w:iCs w:val="1"/>
          <w:color w:val="auto"/>
        </w:rPr>
        <w:t>Risk Factors”.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00" w:right="459" w:bottom="1440" w:gutter="0" w:footer="0" w:header="0"/>
        </w:sectPr>
      </w:pPr>
    </w:p>
    <w:bookmarkStart w:id="13" w:name="page14"/>
    <w:bookmarkEnd w:id="13"/>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offered by us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 price of Public Warrants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right="26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Resale of Common Stock and Private Placement Warrants</w:t>
      </w:r>
    </w:p>
    <w:p>
      <w:pPr>
        <w:spacing w:after="0" w:line="159" w:lineRule="exact"/>
        <w:rPr>
          <w:sz w:val="20"/>
          <w:szCs w:val="20"/>
          <w:color w:val="auto"/>
        </w:rPr>
      </w:pPr>
    </w:p>
    <w:p>
      <w:pPr>
        <w:ind w:left="160" w:right="22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right="260" w:hanging="161"/>
        <w:spacing w:after="0" w:line="266" w:lineRule="auto"/>
        <w:rPr>
          <w:sz w:val="20"/>
          <w:szCs w:val="20"/>
          <w:color w:val="auto"/>
        </w:rPr>
      </w:pPr>
      <w:r>
        <w:rPr>
          <w:rFonts w:ascii="Times New Roman" w:cs="Times New Roman" w:eastAsia="Times New Roman" w:hAnsi="Times New Roman"/>
          <w:sz w:val="18"/>
          <w:szCs w:val="18"/>
          <w:color w:val="auto"/>
        </w:rPr>
        <w:t>Private Placement Warrants to purchase Common Stock by the Selling Securityholders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prior to exercise of all Warrants</w:t>
      </w:r>
    </w:p>
    <w:p>
      <w:pPr>
        <w:spacing w:after="0" w:line="162" w:lineRule="exact"/>
        <w:rPr>
          <w:sz w:val="20"/>
          <w:szCs w:val="20"/>
          <w:color w:val="auto"/>
        </w:rPr>
      </w:pPr>
    </w:p>
    <w:p>
      <w:pPr>
        <w:ind w:left="160" w:right="38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assuming exercise of all Warrants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Restrictions to sell</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ticker symbols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-268605</wp:posOffset>
            </wp:positionV>
            <wp:extent cx="7127875" cy="8259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 to 14,999,983 shares of Common Stock that may be issued upon exercise of 14,999,983 Public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receive up to an aggregate of approximately $172,499,805 from the exercise of the Public Warrants, assuming the exercise in full of all of the Public Warrants for cash. Unless we inform you otherwise in a prospectus supplement or free writing prospectus, we intend to use the net proceeds from the exercise of the Public Warrants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 to 29,701,559 shares of Common Stock, consisting of: (1) up to 11,522,565 shares of Common Stock issued to certain SEE ID equity holders as merger consideration pursuant to the Business Combination; (2) up to 7,365,834 Founder Shares; (3) up to 1,310,000 Private Placement Shares; (4) up to 3,323,536 PIPE Shares; (5) up to 5,524,624 New Circle Shares; and (6) up to 655,000 shares of Common Stock issuable upon exercise of the Private Placement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655,000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or Private Placement Warrants by the Selling Securityholders.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27,773,322 shares (as of December 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43,428,305 shares (as of December 1, 2025).</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securityholders are subject to certain restrictions on transfer until the termination of applicable lockup periods. See the section entitled “</w:t>
      </w:r>
      <w:r>
        <w:rPr>
          <w:rFonts w:ascii="Times New Roman" w:cs="Times New Roman" w:eastAsia="Times New Roman" w:hAnsi="Times New Roman"/>
          <w:sz w:val="18"/>
          <w:szCs w:val="18"/>
          <w:i w:val="1"/>
          <w:iCs w:val="1"/>
          <w:color w:val="auto"/>
        </w:rPr>
        <w:t>Plan of Distribution - Restrictions to Sell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 2025, there were approximately 284 holders of record of our Common Stock and approximately 4 holders of record of the Warrants. The number of holders of record does not include a substantially greater number of “street name” holders or beneficial holders whose Common Stock and Warrants are held of record by banks, brokers and other financial institutions.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current plans to pay cash dividends.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shareholders or by our subsidiaries to us and such other factors as our board of directors may deem relevant.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DAIC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DAICW</w:t>
      </w:r>
    </w:p>
    <w:p>
      <w:pPr>
        <w:spacing w:after="0" w:line="200" w:lineRule="exact"/>
        <w:rPr>
          <w:sz w:val="20"/>
          <w:szCs w:val="20"/>
          <w:color w:val="auto"/>
        </w:rPr>
      </w:pPr>
    </w:p>
    <w:p>
      <w:pPr>
        <w:sectPr>
          <w:pgSz w:w="11900" w:h="16838" w:orient="portrait"/>
          <w:cols w:equalWidth="0" w:num="2">
            <w:col w:w="3120" w:space="420"/>
            <w:col w:w="7440"/>
          </w:cols>
          <w:pgMar w:left="440" w:top="900" w:right="47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31750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00" w:right="47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Investors should carefully consider the risks described below and all of the other information set forth in the registration statement of which this prospectus forms a part, including our financial statements and related notes and “Management’s Discussion and Analysis of Financial Condition and Results of Operations,” before deciding to invest in our Common Stock and Warrants. If any of the events or developments described below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New Circle under the ELOC Agreement, or the actual gross proceeds resulting from those sales. We may not have access to the full amount available under the ELOC Agreement.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18, 2025, we entered into the ELOC with the New Circle, pursuant to which the New Circle committed to purchase up to $50 million shares of Common Stock, subject to certain limitations and conditions set forth in the ELOC Agreement. The Common Stock that may be issued under the ELOC Agreement may be sold by us to New Circle at our discretion, from time to time, over a 36-month period commencing on the date of the ELOC Agreement. We generally have the right to control the timing and amount of any sales of our Common Stock to New Circle under the ELOC Agreement. Sales of our Common Stock to New Circle under the ELOC Agreement will depend upon market conditions as well as other factors to be determined by us. We may ultimately decide to sell to New Circle all or a portion of the shares of our Common Stock that may be available pursuant to the ELOC Agreement, or decide to terminate the ELOC Agreement or not sell to New Circle any Common Stock that may be available for us to sell to New Circle thereunder.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the New Circle for the shares of Common Stock that we may elect to sell to New Circle under the ELOC Agreement will fluctuate based on the market prices of our Common Stock during the applicable pricing period for each purchase, it is not possible for us to predict, as of the date of this prospectus, the number of Common Stock that we will sell to New Circle under the ELOC Agreement, the purchase price per share that the New Circle will pay for shares purchased from us under the ELOC Agreement, or the aggregate gross proceeds that we will receive from those purchases by the New Circle under the ELOC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ELOC Agreement provides that we may sell up to an aggregate of $50 million shares of Common Stock to the New Circle, only 5,524,624 shares of Common Stock that may be issued to the New Circle under the ELOC Agreement are being registered for resale by the New Circle under the registration statement that includes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elect to sell to New Circle all of the 5,524,624 shares of Common Stock being registered for resale by the New Circle in the registration statement that includes this prospectus, depending on the market prices of our Common Stock during the applicable pricing period for each purchase made pursuant to the ELOC Agreement, the actual gross proceeds from the sale of all such shares may be substantially less than the $50 million total commitment originally available to us under the ELOC Agreement.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it becomes necessary for us to issue and sell to New Circle under the ELOC Agreement more than the 5,524,624 shares of Common Stock being registered for resale under the registration statement that includes this prospectus, in order to receive aggregate gross proceeds equal to the total commitment of $50 million under the ELOC Agreement, we must file with the SEC one or more additional registration statements to register under the Securities Act the resale by the New Circle of any such additional shares of Common Stock we wish to sell from time to time under the ELOC Agreement, which the SEC must declare effective. We will need to obtain shareholder approval to issue Common Stock in excess of the Exchange Cap under the ELOC Agreement in accordance with the Nasdaq listing rules, unless the average per share purchase price paid by the New Circle for all shares of Common Stock sold under the ELOC Agreement equals or exceeds equal or exceed the average Nasdaq official closing price for the five (5) trading days immediately prior to the Effective Date of the ELOC Agreement, in which case, under the Nasdaq listing rules, the Exchange Cap limitation will not apply to issuances and sales of our Common Stock under the ELOC Agreement. In addition, the New Circle will not be required to purchase any shares of Common Stock if such sale would result in the New Circle’s beneficial ownership exceeding 4.99% of the then-outstanding voting power or shares of Common Stock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delivery of a written notice to the Company, New Circle may from time to time increase (with such increase not effective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sixty-first (61st) day after delivery of such notice) the Ownership Limitation to 9.99%. Any issuance and sale by us under the ELOC Agreement of a substantial amount of shares of our Common Stock in addition to the 5,524,624 shares of Common Stock being registered for resale by the New Circle under this prospectus could cause additional substantial dilution to our stockholders. The number of shares of Common Stock ultimately offered for resale by New Circle is dependent upon the number of shares of Common Stock we ultimately sell to New Circle under the ELOC Agreement. Our inability to access a portion or the full amount available under the ELOC Agreement, in the absence of any other financing sources, could have a material adverse effect on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ELOC Agreement, we will have discretion, subject to market demand, to vary the timing, prices, and numbers of shares sold to the New Circle. If and when we do elect to sell shares of Common Stock to the New Circle under the ELOC Agreement, after the New Circle has acquired such shares, the New Circle may resell all or a portion of such shares at any time or from time to time in its discretion and at different prices. As a result, investors who purchase shares from the New Circle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New Circle as a result of future sales made by us to the New Circle at prices lower than the prices such investors paid for their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quarter ended June 30, 2025, we identified the material weakness in our internal control over financial reporting related to the following as of June 30, 2025:</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Costs of Goods Sold</w:t>
      </w:r>
      <w:r>
        <w:rPr>
          <w:rFonts w:ascii="Times New Roman" w:cs="Times New Roman" w:eastAsia="Times New Roman" w:hAnsi="Times New Roman"/>
          <w:sz w:val="18"/>
          <w:szCs w:val="18"/>
          <w:color w:val="auto"/>
        </w:rPr>
        <w:t>. During the preparation of financial statements for the quarter ended June 30, 2025, management identified multiple costs that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improperly included in cost of goods sold in the prior quarter ended March 31, 2025. The root cause of the error was a lack of a preventative control designed to ensure proper categorization of expenses on purchase orders generated by our operating departments. Furthermore, the Company lacked a detective control designed to ensure finance department management analyzed the cost of goods sold period over period increases aligned with budgeted and actual level of production. Our failure to properly design and implement adequate controls over financial reporting resulted in a $310,160 overstatement of cost of goods sold and corresponding understatement of total operating expenses.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‘Accounting Personnel and Financial Reporting Controls</w:t>
      </w:r>
      <w:r>
        <w:rPr>
          <w:rFonts w:ascii="Times New Roman" w:cs="Times New Roman" w:eastAsia="Times New Roman" w:hAnsi="Times New Roman"/>
          <w:sz w:val="18"/>
          <w:szCs w:val="18"/>
          <w:color w:val="auto"/>
        </w:rPr>
        <w:t>. Management also identified that the Company does not currently have adequate staffing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department and has not yet designed and implemented the appropriate processes and internal controls to support accurate and timely financial reporting, which (i) may restrict the Company’s ability to review and approve certain material journal entries which increases the likelihood that a material misstatement of interim or annual financial statements might not be prevented; and (ii) resulted in the Company’s inability to have proper segregation of duties between the preparation, review and approval of certain material reconciliations related to financial reporting in a timely manner.</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Calculation Controls</w:t>
      </w:r>
      <w:r>
        <w:rPr>
          <w:rFonts w:ascii="Times New Roman" w:cs="Times New Roman" w:eastAsia="Times New Roman" w:hAnsi="Times New Roman"/>
          <w:sz w:val="18"/>
          <w:szCs w:val="18"/>
          <w:color w:val="auto"/>
        </w:rPr>
        <w:t>. In addition, management identified a material weakness in the design of internal controls related to the review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calculation of SAFE notes performed by a third-party valuation specialist. The controls lacked the precision needed to detect inappropriate inputs that could materially impact valuation.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identified material weakness, our management concluded that our internal controls over financial reporting was not effective as of June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rapid growth makes it difficult to evaluate our future prospects and increases the risk that we will not continue to grow at or near historical rates.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largely a pre-revenue company, with revenue of $172,661 and $439,640 for the fiscal years ended December 31, 2024 and 2023, respectively, and revenue of $1,257,813 and $183,631 for the nine-month periods ended September 30,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growth of our business in new use cases.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most of our revenue has been derived from sales relating to research and development activities, including proof of concept demonstrations. For the first three quarters of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 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and results of operations could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30 employees as of the last business day of the fiscal quarter ended September 30,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revenue and results of operations will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or preferences for their existing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switching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inexperience with or reluctance to adopt our solutions in their physical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help potential customers successfully deploy and use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existing partners or to attract new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into new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engineering and research and development, sales and marketing, and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or the amendment of existing, laws, rules, or regulations that negatively impact the utility of, or that require difficult-to-implement changes to, our solutions;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efforts to attract new customers are not successful, our business, financial condition, and results of operations will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and expand our relationships with existing customers, our financial position and results of operations will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 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business segment utilizing our solution or an economic downturn affecting their industry. A decrease in our renewal rate would have an adverse effect on our business, financial condition, and results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estimates of market opportunity and forecasts of market growth included in this prospectus may prove to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markets may prove to be inaccurate. Even if the markets in which we compete meet the size estimates and growth forecasted in this prospectus, we may not successfully penetrate these markets and our business could fail to grow at a similar pace, if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strategic initiatives or meet our long-term financial goals.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 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key supplier in Israel and the possibility of having to switch suppliers may adversely affect our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pipeline is immature, and as such, revenue forecasts and projections are likely to be unstable through fiscal year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2025,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length of our sales cycle can be unpredictable, particularly with respect to sales to large customers, and our sales efforts may require considerable time and expense.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 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 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 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 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our business is dependent in part on strategic relationships we develop and maintain with third parties.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subscription or pricing models could adversely affect our business,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have difficulty determining the appropriate price structure for new solutions. Regardless of the pricing model used, larger customers may demand higher price discounts than have been given in the past, or are given 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particularly large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relationships with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new channel partners and retain existing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growth rate of the overall market that our solution addresses;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mix of our revenue;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performance degradation of our cloud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or cybersecurity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and regulations affecting our and our customers’ businesses or product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the number of subscriptions or pricing changes upon any renewals of customer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customers to purchase alternative solutions from other vendors;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which could adversely affect their ability to purchase or pay for a subscription to use our solution;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future litigation or other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effective tax rate, including impacts caused by any reorganization in our corporate tax structure and any new legislation or regulatory developments;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tariffs and duties) and import or export licensing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timing and success in introducing new features and Applications to the market, including integrations of our solution with additional third-party software and devices;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or any other change in the competitive dynamics of our industry, including consolidation among competitors, customers or strategic partners;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and realize the anticipated benefits of any future acquisitions of businesses, solutions,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businesses, solutions, or technologies and potential future charges for impairment of goodwill from acquired companies;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this prospectus.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related to third-party financing of our customers’ subscriptions to our Dot Cloud SaaS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qualified personnel, and in particular, our key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 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financial condition, and results of operations may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As we launch our first family of hardware products, there is a heightened risk of product quality issues. As such, we are subject to a risk of product liability or warranty claims if our Dot Cloud Saas platform and our devices actually or allegedly fail to perform as expected or result, or are alleged to result, in bodily injury and/or property damage. Certain technologies incorporated in our devices may increase the risk profile of such devices. Our experienced team is working to mitigate any product quality issues but despite best efforts, it is historically most likely that issues will arise during this initial launch and stabilization period which extends through fiscal year 2025. While we maintain what we believe to be reasonable insurance coverage to appropriately respond to such liability exposures, large product liability claims, if made, could exceed our insurance coverage limits and insurance may not continue to be available on commercially acceptable terms, if at all. There can be no assurance that we will not incur significant costs to defend these claims or that we will not experience any product liability losses in the future. In addition, if any of our devices are, or are alleged to be, defective, we may be required to participate in recalls and exchanges of such devices or customer claims against us. The future cost associated with providing product warranties and/or bearing the cost of repair or replacement of our products, or a refund of customer expenses, could exceed our historical experience and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the results of our operations, which are reported in U.S. dollars,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continue to expand our international operations, we become more exposed to the effects of fluctuations in currency exchange rates. Our international customer contracts are denominated in currencies other than the U.S. dollar. Changes in currency exchange rates over the course of customers’ contract terms may impact the amount of revenue we recognize from a customer from period to period, even in the absence of changes to that customer’s subscriptions. Additionally, currency fluctuations in certain countries and regions may negatively impact actual prices that customers and partners are willing to pay in those countries and regions. Further, we incur expenses for employee compensation and other operating expenses at our non-U.S. locations in the local currency. Fluctuations in the exchange rates between the U.S. dollar and other currencies could result in the dollar equivalent of such expenses being higher, which could have a negative impact on our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impacted by U.S. and global market and economic conditions adverse to industries that depend on physical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 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infrastructures by international businesses;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solution for specific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longer sales and payment cycles, and different pricing environments;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including with respect to wage and hour laws, that make it harder to do business in certain regions such as Europe;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legal and compliance costs associated with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U.S. and non-U.S. export control laws and regulations, including Export Administration Regulations (EAR);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 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or Compliance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w:t>
      </w:r>
      <w:r>
        <w:rPr>
          <w:rFonts w:ascii="Times New Roman" w:cs="Times New Roman" w:eastAsia="Times New Roman" w:hAnsi="Times New Roman"/>
          <w:sz w:val="18"/>
          <w:szCs w:val="18"/>
          <w:b w:val="1"/>
          <w:bCs w:val="1"/>
          <w:i w:val="1"/>
          <w:iCs w:val="1"/>
          <w:color w:val="auto"/>
        </w:rPr>
        <w:t>TCJA</w:t>
      </w:r>
      <w:r>
        <w:rPr>
          <w:rFonts w:ascii="Times New Roman" w:cs="Times New Roman" w:eastAsia="Times New Roman" w:hAnsi="Times New Roman"/>
          <w:sz w:val="18"/>
          <w:szCs w:val="18"/>
          <w:color w:val="auto"/>
        </w:rPr>
        <w:t>”), enacted in December 2017, resulted in fundamental changes to the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or the Company.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the Company’s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requirements of applicable environmental legislation and regulation could have a material adverse effect on our revenue and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 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 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 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 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 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number of third parties to perform services or act on our behalf in areas like sales, network infrastructure, administration, research, and marketing. It may be the case that one or more of those third parties fail to adhere 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fundamentally in the data business, and as such have taken steps to use leading edge encryption and security measures in our IT deployments.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risk is real that our systems could be penetrated and cause business disruption and damage our brand in the marketplace.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 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Abuse or misuse of our internal platform controls and system tools could cause significant harm to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 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Interruptions or performance problems with either our technology and infrastructure or our data center hosting facilities could, among other things: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destruction or disruption of any of our critical business operations, controls, or procedures or information technology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affect our ability to conduct normal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customers to terminate their subscriptions;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issuing credits or paying penalties or 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brand and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renewal rates or our ability to attract new customers;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solution to be perceived as not being secure.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could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or address the misappropriation of our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third-party software to provide many essential financial and operational services to support our business, including enterprise resource planning, customer relationship management, and human capital management. 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substantially harm our business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patents or patent applications will be enforceable or otherwise upheld as valid.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patents, trademarks, or other intellectual property rights that we have obtained or may obtain may be challenged by others or invalidated, circumvented, abandoned or lapse. As of September 30, 2024, our patent portfolio consisted of 2 issued U.S. patents, and 1 U.S. patent applications pending for examination. As of September 30, 2024,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 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third-party intellectual property infringement claims associated with our solution. To the extent that any claim arises as a result of third-party technology we use in our solutions, we may be unable to recover from the appropriate third party any expenses or other liabilities that we incur.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risks associated with the use of intellectual property may be increased as a result of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 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artificial intelligence (“AI”) in our solution may result in reputational harm or liability.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 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subscriptions to our Dot Cloud SaaS platform and subject us to possible litigation.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misappropriation, violation, and other losses.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 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Public Warrants may be highly volatile and could decline significantly.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presented elsewhere in this proxy statement/prospectus, and, among others, the following:</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the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the Company, our directors, executive officers, principal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Common Stock have been, and are likely to be, declared and paid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3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Charter provides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Closing, we entered into the Registration Rights and Lock-Up Agreement with each of SEE ID and certain of the holders party thereto, pursuant to, and on the terms and conditions of which, subject to certain exceptions, such holders shall not transfer or make any announcement of any intention to effect a transfer of any of the equity interests of securities of the Company beneficially owned by the holder during the period ending 180 days following the Closing.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applicable expiration of the lock-up period, the holders subject to the Registration Rights and Lock-Up Agreement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restrictions on resale end and registration statements for the sale of shares of Common Stock by the parties to the registration rights agreement are available for use, the sale or possibility of sale of these shares of Common Stock, could have the effect of increasing the volatility in the market price of our Common Stock, or decreasing the market price itself.</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will become exercisable for Common Stock, which will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15,654,983 outstanding Warrants to purchase 15,654,983 shares of Common Stock at an exercise price of $11.50 per share, which Warrants became exercisable 30 days after the completion of the Business Combination. To the extent such Warrants are exercised, additional shares of Common Stock will be issued, which will result in dilution to the holders of our Common Stock and increase the number of shares eligible for resale in the public market. Sales of substantial numbers of such shares of Common Stock in the public market or the fact that such Warrants may be exercised could adversely affect the market price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upgrading of our technology platform;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service, feature, and content introductions by us or our competitors or any other change in the competitive landscape of our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products and services, which could lead to lower revenue or increased costs,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expansion into international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our revenue 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purchases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including content costs for past 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insurance and consumer product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Sarbanes-Oxley Act could have a material adverse effect on our business and stock price.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required to disclose changes made in our internal controls and procedures on a quarterly basis, we are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our Common Stock less attractive to investors.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JOBS Act provides that, so long as a company qualifies as an “emerging growth company,” it will, among other things:</w:t>
      </w:r>
    </w:p>
    <w:p>
      <w:pPr>
        <w:spacing w:after="0" w:line="225"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for the Business Combination, though we may cease to be an emerging growth company earlier if (1) we have more than $1.07 billion in annual gross revenue, (2) we qualify as a “large accelerated filer” as defined in Rule 12b-2 under the Exchange Act, or (3) we issue, in any three-year period, more than $1.0 billion in non-convertible debt securities held by non-affiliates.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our Public Warrants with the approval by the holders of at least 50% of the then outstanding Public Warrants. As a result, the exercise price of your warrants could be increased, the exercise period could be shortened and the number of shares of Common Stock purchasable upon exercise of a Public Warrant could be decreased, all without a warrant holder’s approval.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Warrants are issued in registered form under a warrant agreement, which provides that the terms of the Public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Public Warrants, convert the Public Warrants into cash or Common Stock, shorten the exercise period or decrease the number of shares of Common Stock purchasable upon exercise of a Public Warrant.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unexpired Public Warrants may be redeemed prior to their exercise at a time that is disadvantageous to you, thereby making your Public Warrants worthless.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Outstanding Public Warrants may be redeemed at any time after they become exercisable and prior to their expiration, at a price of $0.01 per Public Warrant, provided that the last reported sales price of the Common Stock equals or exceeds $18.00 per share for any 20 trading days within a 30 trading-day period ending on the third trading day prior to the date we send the notice of Redemption to the Public Warrantholders. If and when the Public Warrants become redeemable by us, we may not exercise its Redemption Rights if the issuance of shares of Common Stock upon exercise of the Public Warrants is not exempt from registration or qualification under applicable state blue sky laws or we are unable to effect such registration or qualification, subject to our obligation in such case to use our best efforts to register or qualify the shares of Common Stock under the blue sky laws of the state of residence in those states in which the Public Warrants were initially offered. Redemption of the outstanding Public Warrants could force you to (i) exercise your Public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Public Warrants. None of the Private Placement Warrants will be redeemable by us so long as they are held by their initial purchasers or their permitted transferees.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securities by the Selling Securityholders.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Public Warrants for cash, we will receive an aggregate of approximately $172,499,805 but will not receive any proceeds from the sale of the shares of Common Stock issuable upon such exercise. We expect to use the net proceeds from the exercise of the Public Warrants, if any, for general corporate purposes. We will have broad discretion over the use of any proceeds from the exercise of the Public Warrants. There is no assurance that the holders of the Public Warrants will elect to exercise for cash any or all of such Public Warrants. To the extent that any Public Warrants are exercised on a “cashless basis,” the amount of cash we would receive from the exercise of the Public Warrants will decrease.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Common Stock underlying the Public Warrants offered hereby is determined by reference to the exercise price of the Warrants of $11.50 per share. The Public Warrants are listed on the Nasdaq under the symbol “DAICW.”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Common Stock or Warrants may be sold by the Selling Securityholders under this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 As of December 1, 2025, there were 27,773,322 shares of Common Stock issued and outstanding held of record by 284 holders, and warrants to purchase an aggregate of 15,654,983 shares of Common Stock outstanding held of record by 4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CID HoldCo, Inc.” or included elsewhere in this Report.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generally discusses our financial condition and results of operations for fiscal years 2023 and 2024, and year-to-year comparisons between Q3 results in 2024 and 2025 in accordance with U.S. Generally Accepted Accounting Principles (“GAAP”). A discussion of our financial condition and results of operations and our liquidity and capital resources for fiscal year 2024, and year-to-year comparisons between fiscal years 2023 and 2024 can be found under the heading “Management’s Discussion and Analysis of Financial Condition and Results of Operations” for the fiscal year ended December 31, 2024 and for the three and nine months ended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Inc. (the “Company”, “CID” or “CID Holdco”), formerly known as SEE ID Inc, dba Dot AI (the “Legacy Company” or “SEE ID”), was incorporated in Delaware with the headquarters in Las Vegas, Nevada. CID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(160,015,641) or 8.124%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unaudited condensed consolidated financial statements for the three and nine months ended September 30,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continuously invest in adding new applications and methods to our solution. As such, spending on research and development will always be an important part of our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grow adoption and expand brand awareness as we rise in the space. This fiscal year is a critical period to add productive resources to ensure success is sustained.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make a public offering, is a natural and essential step. In addition, our small operations team will continue to grow as the demand increases from our maturing sales pipeline.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 data collection and provide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feasibility study reports to customers seeking to gain insight into how data driven tracking could improve their business, which is recognized upon acceptance of the feasibility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sales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bad debt,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 term bridge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 expensed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Cost of Revenue, Gross Profit, and Gross Margin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revenue, cost of revenue, gross profit, and gross margin for the three and nine months ended September 30, 2025 and 2024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778,482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696,846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488,286</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7,997</w:t>
            </w: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480,289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6,005.9%</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290,196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19"/>
                <w:szCs w:val="19"/>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391"/>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1,257,813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1,074,182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572,558</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18,006</w:t>
            </w: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554,552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3,079.8%</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685,255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19"/>
                <w:szCs w:val="19"/>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total revenue increased by approximately $697 thousand, or 853.6%, to $778 thousand compared to $82 thousand for the same period in 2024. The increase was primarily attributable to product revenue recognized during the current quarter from sales of bridges, gateways, and labels to existing customers, partially offset by a $196 thousand revenue reversal tied to an updated estimate based on the timing of actual revenue recognized compared to the estimate utilized related to the $2 million exclusivity client payment. Based on expected $175 million client spend over the 5-year term to retain exclusivity, the Company refined its estimate to recognize the exclusivity payment as revenue across the full 5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cost of goods sold increased by $480 thousand, or 6,005.9%, to $488 thousand, reflecting higher material and labor costs associated with increased product sales. As a result, gross profit increased by $217 thousand, or 294.1%, to $290 thousand, compared to $74 thousand for the same period in 2024. Gross margin decreased to 37.3% from 90.2%, primarily due to the higher proportion of product sales, which generally carry lower margins.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total revenue increased by approximately $1,074 thousand, or 585.0%, to $1,258 thousand compared to $184 thousand for the same period in 2024. The increase was primarily attributable to product revenue recognized during the current period from sales of bridges, gateways, and labels to existing customers. Total cost of goods sold increased by $555 thousand, or 3,079.8%, to $573 thousand, reflecting higher material and labor costs associated with increased product sales. As a result, gross profit increased by $520 thousand, or 313.7%, to $685 thousand compared to $166 thousand for the same period in 2024. Gross margin decreased to 54.5% from 90.2%, primarily due to the higher proportion of product sales, which generally carry lower margins.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2025 and 2024 is summarized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972,640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459,991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were $397 thousand for the three months ended September 30, 2025, an increase of $210 thousand, or 112.7%, compared to $187 thousand for the same period in 2024. The increase was primarily driven by the onboarding of additional software and hardware development contractors, as well as higher personnel-related and prototype development costs to support new product initiatives. Our spending for research and development reflects our growing capacity to satisfy customer feature requests and continued investment in our technology roadmap. As a percentage of revenue, R&amp;D expenses decreased to 51.0% from 228.7%, primarily due to significantly higher revenue in the current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research and development (“R&amp;D”) expenses increased by $512 thousand, or 111.4%, to $973 thousand compared to $460 thousand in the prior-year period. The year-to-date increase was primarily driven by onboarding additional development contractors and expanding engineering activities in support of the Company’s long-term product innovation goals. R&amp;D expenses represented 77.3% of total revenue for the nine months ended September 30, 2025, compared to 250.5% in the same period of 2024, reflecting improved operating leverage as revenue expanded.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three and nine months ended September 30, 2025 and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1,111,895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2,564,891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1,763,170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sales and marketing expenses totaled $1,112 thousand, an increase of $473 thousand, or 74.1%, compared to $639 thousand for the same period in 2024. The increase was primarily driven by enhanced functionality in our customer relationship management software, as well as additional investment in customer support to expand our sales and marketing capabilities We expect to further increase spending in the following quarter to leverage additional public investment and strengthen this department to drive growth.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sales and marketing expenses totaled $2,565 thousand, an increase of $802 thousand, or 45.5%, compared to $1,763 thousand in the same period of 2024, demonstrating the Company’s ongoing commitment to market expansion and revenue growth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General and administrative expense for the three and nine months ended September 30, 2025 and 2024 is summarized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2,742,753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506,886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4,184,688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general and administrative expenses totaled $2,743 thousand, an increase of $2,236 thousand, or 441.1%, compared to $507 thousand in the same period last year. The increase is primarily driven by labor costs related to the ramp-up of operations, higher administrative support for business functions, and increased back-office headcount. For the nine months ended September 30, 2025, general and administrative expenses totaled $4,185 thousand, up $3,120 thousand, or 293.1%, compared to $1,064 thousand in the prior year, reflecting the continued expansion of operational infrastructure to support company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and integration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integration expense for the three and nine months ended September 30,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635,459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2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0"/>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1,154,857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1,501,261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5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acquisition and integration expenses were $243 thousand, a decrease of $392 thousand, or 61.7%, compared to $635 thousand in the same period of 2024. The decrease reflects lower professional and consulting costs as the Company completed the Business Combination on June 18, 2025. For the nine months ended September 30, 2025, acquisition and integration expenses totaled $1,155 thousand, a decline of $346 thousand, or 23.1%, compared to $1,501 thousand in the prior year period. These expenses primarily consisted of accounting, auditing, and legal fees incurred in connection with the Business Combination, as well as other costs related to transaction execution and post-acquisition integration activities.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Other expenses – 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ectPr>
          <w:pgSz w:w="11900" w:h="16838" w:orient="portrait"/>
          <w:cols w:equalWidth="0" w:num="1">
            <w:col w:w="11240"/>
          </w:cols>
          <w:pgMar w:left="320" w:top="8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(764,446</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764,446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40" w:type="dxa"/>
            <w:vAlign w:val="bottom"/>
          </w:tcPr>
          <w:p>
            <w:pPr>
              <w:spacing w:after="0"/>
              <w:rPr>
                <w:sz w:val="21"/>
                <w:szCs w:val="21"/>
                <w:color w:val="auto"/>
              </w:rPr>
            </w:pPr>
          </w:p>
        </w:tc>
        <w:tc>
          <w:tcPr>
            <w:tcW w:w="252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(17,368,415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(14,227,156</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(3,141,259</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140" w:type="dxa"/>
            <w:vAlign w:val="bottom"/>
          </w:tcPr>
          <w:p>
            <w:pPr>
              <w:spacing w:after="0"/>
              <w:rPr>
                <w:sz w:val="21"/>
                <w:szCs w:val="21"/>
                <w:color w:val="auto"/>
              </w:rPr>
            </w:pPr>
          </w:p>
        </w:tc>
        <w:tc>
          <w:tcPr>
            <w:tcW w:w="252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94"/>
        </w:trPr>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40" w:type="dxa"/>
            <w:vAlign w:val="bottom"/>
          </w:tcPr>
          <w:p>
            <w:pPr>
              <w:spacing w:after="0"/>
              <w:rPr>
                <w:sz w:val="21"/>
                <w:szCs w:val="21"/>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9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21,200,160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23,334,626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4,602,950</w:t>
            </w:r>
          </w:p>
        </w:tc>
        <w:tc>
          <w:tcPr>
            <w:tcW w:w="8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23,752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3,834,500</w:t>
            </w:r>
          </w:p>
        </w:tc>
        <w:tc>
          <w:tcPr>
            <w:tcW w:w="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764,446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17,368,415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14,227,156</w:t>
            </w:r>
          </w:p>
        </w:tc>
        <w:tc>
          <w:tcPr>
            <w:tcW w:w="80" w:type="dxa"/>
            <w:vAlign w:val="bottom"/>
          </w:tcPr>
          <w:p>
            <w:pPr>
              <w:spacing w:after="0"/>
              <w:rPr>
                <w:sz w:val="18"/>
                <w:szCs w:val="18"/>
                <w:color w:val="auto"/>
              </w:rPr>
            </w:pPr>
          </w:p>
        </w:tc>
      </w:tr>
      <w:tr>
        <w:trPr>
          <w:trHeight w:val="248"/>
        </w:trPr>
        <w:tc>
          <w:tcPr>
            <w:tcW w:w="140" w:type="dxa"/>
            <w:vAlign w:val="bottom"/>
          </w:tcPr>
          <w:p>
            <w:pPr>
              <w:spacing w:after="0"/>
              <w:rPr>
                <w:sz w:val="21"/>
                <w:szCs w:val="21"/>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(40,726,793)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22,664,606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22,664,606</w:t>
            </w:r>
          </w:p>
        </w:tc>
        <w:tc>
          <w:tcPr>
            <w:tcW w:w="80" w:type="dxa"/>
            <w:vAlign w:val="bottom"/>
          </w:tcPr>
          <w:p>
            <w:pPr>
              <w:spacing w:after="0"/>
              <w:rPr>
                <w:sz w:val="21"/>
                <w:szCs w:val="21"/>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-2399665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-1654175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there was no change in the fair value of SAFE notes, compared to a decrease of $0.8 million in the same period of 2024, representing a 100% decline. For the nine months ended September 30, 2025, the Company recorded a decrease in fair value of $17.4 million, compared to a decrease of $14.2 million in the prior year, an increase of $3.1 million, or 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beginning of the three-month period, no SAFE agreements were outstanding, compared to $22.7 million at the same point in 2024. During the nine months ended September 30, 2025, SAFE agreements at fair value decreased from $23.3 million to zero, following the conversion of all outstanding notes into 2,909,057 shares of Common Stock. No new SAFE agreements were issued for cash during the three months ended September 30, 2025. The change in fair value of $17.4 million for the nine months ended September 30, 2025, was based on the fair value of Common Stock at closing of $14.00 per share.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balance of SAFE agreements was primarily driven by the increased estimated fair value of the Company and the higher probability of the Business Combination, which closed on June 18, 2025, qualifying as an “Equity Financing” under the terms of the Company’s SAFE agreements. As a result, all outstanding SAFE notes were converted into Common Stock, and no SAFE notes remained outstanding as of September 30,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Cost of Revenue, Gross Profit, and 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cost of revenue, gross profit, and gross margin for the years ended December 31, 2024 and 2023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35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(266,979)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343,889</w:t>
            </w:r>
          </w:p>
        </w:tc>
        <w:tc>
          <w:tcPr>
            <w:tcW w:w="3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86,888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257,001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(523,980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3"/>
        </w:trPr>
        <w:tc>
          <w:tcPr>
            <w:tcW w:w="3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(179.4</w:t>
            </w:r>
          </w:p>
        </w:tc>
        <w:tc>
          <w:tcPr>
            <w:tcW w:w="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(223.6</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3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by $266,979, or 60.7%, for the year ended December 31, 2024 compared to the year ended December 31, 2023. The decrease in revenue is primarily due to a decrease in feasibility studies to new and existing customers.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by $257,001, or 295.8%, for the year ended December 31, 2024 compared to the year ended December 31, 2023. The increases are primarily due to additional support staff salaries, compliance cost and cloud hosting cost.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margin was (99.2%) for the year ended December 31, 2024 compared to 80.2% for the year ended December 31, 2023. The decrease in gross margin is primarily due to additional support staff salaries, compliance cost and cloud hosting cost.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20" w:type="dxa"/>
            <w:vAlign w:val="bottom"/>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759,967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837,453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5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decreased by $77,486, or 9.3%, for the year ended December 31, 2024 compared to the year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decreases are primarily driven by reduced utilization of software and hardware development contractors.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years ended December 31, 2024 and 2023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center"/>
              <w:ind w:right="39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449,936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2,074,994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$2,074,994, or 461.2%, for the year ended December 31, 2024 compared to the year ended December 31, 2023. The increase reflects our continued pivot toward the market and was primarily driven by higher spending on digital marketing services and additional modules and users in our customer relationship management software.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years ended December 31, 2024 and 2023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center"/>
              <w:ind w:right="39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3,588,548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742,041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2,846,507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$2,846,507, or 383.6%, for the year ended December 31, 2024 compared to the year ended December 31, 2023. The increases are primarily due to additional labor costs pertaining to the ramp up of the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98"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Other expenses – SAFE agreements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year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14,228,937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6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 issued for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4,239,500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14,492,176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263,239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23,334,626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4,602,950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the liability balance of SAFE agreements for the year ended December 31, 2024, compared to December 31, 2023, was primarily driven by the higher estimated fair value of the Company and the issuance of additional SAFE notes during the year ended December 31, 2024. A corresponding increase in the change in fair value of SAFE notes other expense line items was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we had cash of $1,418,834 and $721,032, respectively, and working capital deficit of $5,404,007 and $1,215,988,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issuance of common shares to PIPE investors contemporaneously with the close of the Business Combination in the amount of $10,837,643 and proceeds from the issuance of bridge loans. As of September 30, 2025, we had cash of $1,418,834. In the future, we expect to finance our cash needs through a combination of equity, debt financings, and improvement of cash from operations derived from selling subscriptions to our platform.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the ELOC Agreement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ELOC Agreement,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068" w:gutter="0" w:footer="0" w:header="0"/>
        </w:sectPr>
      </w:pPr>
    </w:p>
    <w:bookmarkStart w:id="62" w:name="page63"/>
    <w:bookmarkEnd w:id="62"/>
    <w:p>
      <w:pPr>
        <w:jc w:val="both"/>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ELOC Agreement,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ELOC Agreement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the Company elects to sell shares by issuing a purchase notice, the ELOC Agreement represents a purchased put option on the Company’s equity. Once the Company delivers a purchase notice under the ELOC Agreement, the related number of shares to be issued constitutes a forward contract to issue common stock. As the feature is embedded in an equity host, meets the definition of a derivative, and does not qualify for the equity scope exception under ASC 815 Derivatives and Hedging,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September 30, 2025, and therefore was not recorded on the Company’s balance sheet as of that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Nine Months Ended September 30, 2025 and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(8,197,830)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(3,099,229)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(1,382,522)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(579,327)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10,278,154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3,834,500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(1,668,503)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(834,220)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(672,319)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4,239,500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$8.2 million for the nine months ended September 30, 2025. This consisted of a net loss of $34.4 million, adjusted for non-cash charges of $18.6 million, and changes in our operating assets and liabilities of $7.6 million. The non-cash charges were primarily composed of change in fair value of SAFE note expense of $17.4 million and loss on extinguishment of debt of $5.7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$3.1 million for the nine months ended September 30, 2024. This consisted of a net loss of $18.9 million, adjusted for non-cash charges of $14.4 million, and changes in our operating assets and liabilities of $1.3 million. The non-cash charges were primarily composed of change in fair value SAFE note expense of $14.2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$3.3 million for the year ended December 31, 2024. This consisted of a net loss of $21.5 million, adjusted for non-cash charges of $14.7 million, and changes in our operating assets and liabilities of $3.5 million. The non-cash charges were primarily composed of change in fair value SAFE note expense of $14.5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$1.7 million for the year ended December 31, 2023. This consisted of a net loss of $1.9 million, adjusted for non-cash charges of $325 thousand, and changes in our operating assets and liabilities of $54 thousand. The non-cash charges were primarily composed of change in fair value SAFE note expense of $263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366"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$1.4 million for the nine months ended September 30, 2025, which primarily consisted of $484 thousand of property and equipment purchases and $899 thousand of capital expenditures for internal-use software development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$579 thousand for the nine months ended September 30, 2024, which consisted of capital expenditures for internal-use software development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$834 thousand for the year ended December 31, 2024, which consisted of capital expenditures for internal-use software development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$672 thousand for the year ended December 31, 2023,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$10.3 million for the nine months ended September 30, 2025, which primarily consisted of $10.8 million in proceeds from PIPE investors.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$3.8 million for the nine months ended September 30, 2024, which consisted of $3.8 million of proceeds from issuance of SAFE notes.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$4.2 million for the year ended December 31, 2024, which consisted of proceeds from issuance of SAFE agreements for cash.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$2.1 million for the year ended December 31, 2023, which consisted of proceeds from issuance of SAFE agreements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and non-cancelable purchase commitments as of September 30, 2025. For additional discussion on our leases and other commitments, refer to Note 12 – Leases and Note 14 – Commitments and Contingencies to our unaudited condensed consolidated financial statements for the three and nine months ended September 30, 2025 included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unaudited condensed consolidated financial statements for the three and nine months ended September 30, 2025, we believe that the following accounting policies are the most critical to fully understanding and evaluating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 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we expect to be entitled in exchange for those goods or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unaudited condensed consolidated financial statements as of and for the three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Background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Digital transformation is imperative for companies to compete in the current commercial environment. Those companies that successfully transform their businesses through modern applications, digital workflows, and intuitive user experiences often benefit from loyal customers, innovative offerings, and scalable business models that drive greater profitability and dominate competition. The proliferation of smart devices, growth in cloud applications, increasingly disparate user bases, Artificial Intelligence (AI) and heightened customer expectations are together driving digital adoption. This transformation has already happened across many large industries. In the retail, advertising, media, and information technology industries, for example, innovative, digital-first entrants have disrupted older business models, fundamentally changing the way they operate. Many industries that depend on physical operations, however, have been slower to adopt digital transformation. Despite their size and critical position in the worldwide economy, many companies in industries that depend on physical operations, such as logistics, manufacturing, construction, mining, health care and others still largely rely on manual processes, siloed data, spreadsheets, and legacy software. These industries represent a massive, underpenetrated market for digital transformation.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State of Operations Today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operations-intensive businesses rely on high-value assets and equipment, deploy large field workforces that need coordination, manage complex logistics that require precision, and navigate industry-specific workflows that call for specialized knowledge. These businesses prioritize safety, efficiency and sustainability, while needing to adhere to a myriad of regulatory requirements. Businesses that depend on physical operations are in a unique position to leverage connected IoT assets to generate real-time operational data and deploy AI to drive insights, pursue automation, and improve efficiency in their business processes. For operations-intensive businesses to stay competitive and agile, there is an imperative to adopt digital technologies, and a significant business risk from complacency. Yet the industrial market has been slow to adopt IoT technology or AI advances in their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Challenges with Operations include:</w:t>
      </w:r>
    </w:p>
    <w:p>
      <w:pPr>
        <w:spacing w:after="0" w:line="223" w:lineRule="exact"/>
        <w:rPr>
          <w:sz w:val="20"/>
          <w:szCs w:val="20"/>
          <w:color w:val="auto"/>
        </w:rPr>
      </w:pPr>
    </w:p>
    <w:p>
      <w:pPr>
        <w:jc w:val="both"/>
        <w:ind w:left="660" w:hanging="328"/>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Lack of Data Access and Siloed Systems</w:t>
      </w:r>
      <w:r>
        <w:rPr>
          <w:rFonts w:ascii="Times New Roman" w:cs="Times New Roman" w:eastAsia="Times New Roman" w:hAnsi="Times New Roman"/>
          <w:sz w:val="18"/>
          <w:szCs w:val="18"/>
          <w:color w:val="auto"/>
        </w:rPr>
        <w:t>. Many assets used for physical operations, such as vehicle fleets, machinery, factories, and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generate enormous amounts of operational data which often cannot be accessed. Even when the data can be accessed, it resides in multiple siloed systems made up of software and hardware components from various vendors. Lack of data access and siloed systems make it difficult to unify data in the cloud and develop actionable business insights.</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Breadth and Diversity of Data</w:t>
      </w:r>
      <w:r>
        <w:rPr>
          <w:rFonts w:ascii="Times New Roman" w:cs="Times New Roman" w:eastAsia="Times New Roman" w:hAnsi="Times New Roman"/>
          <w:sz w:val="18"/>
          <w:szCs w:val="18"/>
          <w:color w:val="auto"/>
        </w:rPr>
        <w:t>. The breadth and diversity of data collected from physical operations limits the ability for users to consolidate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data types and make better operational decisions. This data, which can be both structured and unstructured, can be challenging to cleanse and normalize before analysis.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 on Legacy Tools</w:t>
      </w:r>
      <w:r>
        <w:rPr>
          <w:rFonts w:ascii="Times New Roman" w:cs="Times New Roman" w:eastAsia="Times New Roman" w:hAnsi="Times New Roman"/>
          <w:sz w:val="18"/>
          <w:szCs w:val="18"/>
          <w:color w:val="auto"/>
        </w:rPr>
        <w:t>. Many operations-intensive businesses run on legacy software designed to manage and monitor individual tasks.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Others still rely on spreadsheets and paper. These legacy tools were built decades ago and are not designed for scalable analytics.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Limited In-House Innovation</w:t>
      </w:r>
      <w:r>
        <w:rPr>
          <w:rFonts w:ascii="Times New Roman" w:cs="Times New Roman" w:eastAsia="Times New Roman" w:hAnsi="Times New Roman"/>
          <w:sz w:val="18"/>
          <w:szCs w:val="18"/>
          <w:color w:val="auto"/>
        </w:rPr>
        <w:t>. Businesses with physical operations typically have limited engineering personnel, IT resources, and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dedicated to identifying causes of inefficiency and opportunities to avoid future safety, security or sustainability issues. These businesses have traditionally relied on third-party vendors to seek ways to improve their business processes.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Burden</w:t>
      </w:r>
      <w:r>
        <w:rPr>
          <w:rFonts w:ascii="Times New Roman" w:cs="Times New Roman" w:eastAsia="Times New Roman" w:hAnsi="Times New Roman"/>
          <w:sz w:val="18"/>
          <w:szCs w:val="18"/>
          <w:color w:val="auto"/>
        </w:rPr>
        <w:t>. Businesses with extensive physical operations are subject to an increasingly complex patchwork of regulations that 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range of their physical operations footprint, from environmental conditions to workplace safety and employee monitoring. Compliance with these regulations can be complicated, costly, and time-consuming.</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Rugged Environments and Uses</w:t>
      </w:r>
      <w:r>
        <w:rPr>
          <w:rFonts w:ascii="Times New Roman" w:cs="Times New Roman" w:eastAsia="Times New Roman" w:hAnsi="Times New Roman"/>
          <w:sz w:val="18"/>
          <w:szCs w:val="18"/>
          <w:color w:val="auto"/>
        </w:rPr>
        <w:t>. Industrial processes often operate in rugged environments, including both indoor and outdoor settings.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IoT implementations are made first for consumers and office spaces, where devices do not need to meet these standards. The environment and rough handling of the industrial market makes adoption harder.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Use of IoT in Connected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Technological advances have made it possible for companies to visualize their operations digitally in the cloud in real time. These advances include:</w:t>
      </w:r>
    </w:p>
    <w:p>
      <w:pPr>
        <w:spacing w:after="0" w:line="221" w:lineRule="exact"/>
        <w:rPr>
          <w:sz w:val="20"/>
          <w:szCs w:val="20"/>
          <w:color w:val="auto"/>
        </w:rPr>
      </w:pPr>
    </w:p>
    <w:p>
      <w:pPr>
        <w:ind w:left="660" w:right="20" w:hanging="328"/>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Proliferation of Connected Physical Assets</w:t>
      </w:r>
      <w:r>
        <w:rPr>
          <w:rFonts w:ascii="Times New Roman" w:cs="Times New Roman" w:eastAsia="Times New Roman" w:hAnsi="Times New Roman"/>
          <w:sz w:val="18"/>
          <w:szCs w:val="18"/>
          <w:color w:val="auto"/>
        </w:rPr>
        <w:t>. According to data from IDC, the number of connected IoT assets, such as machinery,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warehouses, and factories, is expected to significantly increase, from approximately 33 billion in 2021 to 39 billion by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in Cloud-Based Big Data</w:t>
      </w:r>
      <w:r>
        <w:rPr>
          <w:rFonts w:ascii="Times New Roman" w:cs="Times New Roman" w:eastAsia="Times New Roman" w:hAnsi="Times New Roman"/>
          <w:sz w:val="18"/>
          <w:szCs w:val="18"/>
          <w:color w:val="auto"/>
        </w:rPr>
        <w:t>. The cloud has significantly lowered computing and storage costs, which has enabled massive amounts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to be processed and analyzed efficiently. With these advances, more businesses are transitioning to the cloud, which simplifies data extraction and data integration.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Faster and Cheaper Wireless Capabilities</w:t>
      </w:r>
      <w:r>
        <w:rPr>
          <w:rFonts w:ascii="Times New Roman" w:cs="Times New Roman" w:eastAsia="Times New Roman" w:hAnsi="Times New Roman"/>
          <w:sz w:val="18"/>
          <w:szCs w:val="18"/>
          <w:color w:val="auto"/>
        </w:rPr>
        <w:t>. The proliferation of Bluetooth Low Energy and advances in cellular technology have increased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bandwidth and lowered the cost of wireless connectivity. These improvements enable more IoT devices to cost-effectively connect to the cloud, making it feasible to stream real-time data and high-definition video. The 5G rollout in the U.S. and around the world will continue to further these advancements.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Improvements in Camera and Sensor Technology</w:t>
      </w:r>
      <w:r>
        <w:rPr>
          <w:rFonts w:ascii="Times New Roman" w:cs="Times New Roman" w:eastAsia="Times New Roman" w:hAnsi="Times New Roman"/>
          <w:sz w:val="18"/>
          <w:szCs w:val="18"/>
          <w:color w:val="auto"/>
        </w:rPr>
        <w:t>. Cameras and other sensor technology have experienced rapid innovation,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in capture quality at lower cost. Cameras and other sensors have become smaller, more affordable, more energy-efficient, and more sensitive, resulting in their widespread proliferation.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Powerful Artificial Intelligence</w:t>
      </w:r>
      <w:r>
        <w:rPr>
          <w:rFonts w:ascii="Times New Roman" w:cs="Times New Roman" w:eastAsia="Times New Roman" w:hAnsi="Times New Roman"/>
          <w:sz w:val="18"/>
          <w:szCs w:val="18"/>
          <w:color w:val="auto"/>
        </w:rPr>
        <w:t>. AI algorithms are becoming increasingly accurate and flexible, while AI processing capabilities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edge and in the cloud are growing. The resulting AI capabilities make it possible to analyze quantities of operations and IoT data too voluminous for ordinary human analysis or legacy software, and to distill it down in real-time.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CID Holdco, Inc., a Nevada corporation, helps businesses digitally transform their operations using IoT and AI technology. With significant innovations in RF networking, use of vision system overlays and a cloud-based AI engine, the company offers a differentiated asset tracking and workflow management solution for operations intensive enterprises.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CID Holdco offers a SAAS platform for customer subscription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Real-time asset tracking services allow customers to improve many workflows. For example, inspecting a vehicle as it is approaching to know when a high value asset is on board before it leaves a secure area. This allows operators to respond, halt the vehicle, and investigate. Customer security will know what is leaving and whether it is scheduled to leave. This capability can also be used at gates, docks or storage locations to automatically grant access and record movements for accountability.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common application is tracking inventory. CID Holdco provides a unique capability to dynamically sweep item inventory with roving, inexpensive readers powered by batteries. Due to their low cost and wireless capability, these inexpensive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CID Holdco systems automatically process inbound and outbound personnel or items, using RF tags or access cards,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example application is guided spotting and collision avoidance for vehicles.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short, CID Holdco brings a next generation capability to know when, where and why assets move in the enterprise, providing an opportunity to apply AI to complex edge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state of development of each of our software products and services offerings: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Timing for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Currently under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commercial</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Software Capitalization</w:t>
            </w:r>
          </w:p>
        </w:tc>
        <w:tc>
          <w:tcPr>
            <w:tcW w:w="120" w:type="dxa"/>
            <w:vAlign w:val="bottom"/>
          </w:tcPr>
          <w:p>
            <w:pPr>
              <w:spacing w:after="0"/>
              <w:rPr>
                <w:sz w:val="21"/>
                <w:szCs w:val="21"/>
                <w:color w:val="auto"/>
              </w:rPr>
            </w:pPr>
          </w:p>
        </w:tc>
        <w:tc>
          <w:tcPr>
            <w:tcW w:w="414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release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0" w:type="dxa"/>
            <w:vAlign w:val="bottom"/>
          </w:tcPr>
          <w:p>
            <w:pPr>
              <w:spacing w:after="0"/>
              <w:rPr>
                <w:sz w:val="1"/>
                <w:szCs w:val="1"/>
                <w:color w:val="auto"/>
              </w:rPr>
            </w:pPr>
          </w:p>
        </w:tc>
      </w:tr>
      <w:tr>
        <w:trPr>
          <w:trHeight w:val="198"/>
        </w:trPr>
        <w:tc>
          <w:tcPr>
            <w:tcW w:w="3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BLE Protocol</w:t>
            </w:r>
          </w:p>
        </w:tc>
        <w:tc>
          <w:tcPr>
            <w:tcW w:w="120" w:type="dxa"/>
            <w:vAlign w:val="bottom"/>
            <w:tcBorders>
              <w:top w:val="single" w:sz="8" w:color="CCEEFF"/>
            </w:tcBorders>
            <w:shd w:val="clear" w:color="auto" w:fill="CCEEFF"/>
          </w:tcPr>
          <w:p>
            <w:pPr>
              <w:spacing w:after="0"/>
              <w:rPr>
                <w:sz w:val="17"/>
                <w:szCs w:val="17"/>
                <w:color w:val="auto"/>
              </w:rPr>
            </w:pPr>
          </w:p>
        </w:tc>
        <w:tc>
          <w:tcPr>
            <w:tcW w:w="40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Software protocol development for communication</w:t>
            </w: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between bridges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1.4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Locating Protocol</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Software protocol development for locating items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1.4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Web Backend</w:t>
            </w: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infrastructure to support web services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249,600</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 API</w:t>
            </w:r>
          </w:p>
        </w:tc>
        <w:tc>
          <w:tcPr>
            <w:tcW w:w="426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7"/>
                <w:szCs w:val="17"/>
                <w:color w:val="auto"/>
              </w:rPr>
              <w:t>RestFull interface development for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17"/>
                <w:szCs w:val="17"/>
                <w:color w:val="auto"/>
              </w:rPr>
              <w:t xml:space="preserve"> party software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connection</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Web Front End</w:t>
            </w: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User interface to web services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249,600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AWS Services</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Development of structure to use AWS service modules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CI/CD Pipelines</w:t>
            </w:r>
          </w:p>
        </w:tc>
        <w:tc>
          <w:tcPr>
            <w:tcW w:w="4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Integration and deployment tool development</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3.0 in progress</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57,200</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LORA LoRa &amp; Reliability</w:t>
            </w:r>
          </w:p>
        </w:tc>
        <w:tc>
          <w:tcPr>
            <w:tcW w:w="4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Long range communication protocol development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1.4 in progress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2026 Q1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154,000</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Total Projected Software</w:t>
            </w:r>
          </w:p>
        </w:tc>
        <w:tc>
          <w:tcPr>
            <w:tcW w:w="12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Development Cost</w:t>
            </w:r>
          </w:p>
        </w:tc>
        <w:tc>
          <w:tcPr>
            <w:tcW w:w="1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1,628,200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gridSpan w:val="2"/>
            <w:vMerge w:val="restart"/>
          </w:tcPr>
          <w:p>
            <w:pPr>
              <w:ind w:left="25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0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The costs shown in the table above are largely the cost of human resources associated with the project, with some additional minor costs related to use costs for infrastructure, tools and platforms that support the development. Each module has a team dedicated to the release of the next version of the module.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time of team members spent on the projects are pro-rated against salary levels and attributed to the module capitalization. Time is spent on development, test, compliance and commercialization activities to prepare modules for sale to the general market.” 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Real-Time Location Systems (“RTLS”)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RTLS is a real-time indoor and outdoor location tracking system that locates and monitors any person, asset or vehicle within a defined zone covered by a radio frequency (“RF”) network.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RTLS tags are made up of a small antenna, motion sensors, RTLS microprocessor, and a battery. Most batteries on RTLS tags can last for months (continuous movement) or many years (occasional movement) before needing to be recharged or replaced. The tags transmit a few times in a second or once every few seconds or minutes, depending on how often customers need to refresh the location data for their application.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can utilize UWB or BLE indoors; LORA, GPS and 4G/5G outdoors. Using combinations of these technologies CID Holdco can bridge the gap between inside and outside to give customers a comprehensive tracking solution for their yard, cross dock, airport, sea port, warehouse or distribution center — anywhere they need to track people, assets or vehicles — whether indoors or outside. CID Holdco employs tags and readers from many other vendors as part of their system when appropriate for the application.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unique aspect of CID Holdco is that they provide passive (battery free) transponders at BLE frequencies, in fact they are the only company offering an industrial passive BLE transponder. Using this capability, CID Holdco can deploy systems that combine inexpensive passive tags on general items with more expensive battery powered tags on items of greater interest to create a cost-effective tracking system.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also uncommon for tracking companies to use RF and Vision systems in combination. With the advent of inexpensive AI cameras, it has become cost effective for CID Holdco to pair these vision systems with their RF tracking systems to provide comprehensive coverage.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Tracking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provides personnel tracking enabled with passive or wireless rechargeable ID badges or belt clips, allowing data-driven efficiency and safety.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indoor and outdoor tracking capabilities are supported by CID Holdco innovative technology.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and vehicles can often be tracked with vision systems as well. In many instances, tracking through key POI (Points of Interest) with RF and vision is essential to provide enhanced safety or assurance for the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CID Holdco utilizes vehicle telematics systems where appropriate to track vehicles over wide areas.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Sensors (temperature, motion, pressure etc.) are also often deployed as part of the system to track key process parameters and can be inputs into the rules engine.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Solutions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customers that need to know when, where and why assets and personnel are moving, and to have assurance that orders are progressing, CID Holdco provides a variety of solutions, including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Management and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and Construction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Military Operations and Logistics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Airport and Aviation Ground Support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CID Holdco solutions allow customers to create a connected network of vehicles, ground support equipment (“GSE”) and personnel with more control over the coordination of airport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Forklift Collision Warning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Logistics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Yard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YMS are a combination of software and hardware working together to oversee the movement of trucks and trailers within manufacturing, distribution, warehousing and delivery facilities. The primary goal of yard management 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Artificial Intelligence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72" w:lineRule="exact"/>
        <w:rPr>
          <w:sz w:val="20"/>
          <w:szCs w:val="20"/>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w:t>
      </w:r>
      <w:r>
        <w:rPr>
          <w:rFonts w:ascii="Times New Roman" w:cs="Times New Roman" w:eastAsia="Times New Roman" w:hAnsi="Times New Roman"/>
          <w:sz w:val="18"/>
          <w:szCs w:val="18"/>
          <w:b w:val="1"/>
          <w:bCs w:val="1"/>
          <w:color w:val="auto"/>
        </w:rPr>
        <w:t>AI Cameras</w:t>
      </w:r>
      <w:r>
        <w:rPr>
          <w:rFonts w:ascii="Times New Roman" w:cs="Times New Roman" w:eastAsia="Times New Roman" w:hAnsi="Times New Roman"/>
          <w:sz w:val="18"/>
          <w:szCs w:val="18"/>
          <w:color w:val="auto"/>
        </w:rPr>
        <w:t xml:space="preserve">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a </w:t>
      </w:r>
      <w:r>
        <w:rPr>
          <w:rFonts w:ascii="Times New Roman" w:cs="Times New Roman" w:eastAsia="Times New Roman" w:hAnsi="Times New Roman"/>
          <w:sz w:val="18"/>
          <w:szCs w:val="18"/>
          <w:b w:val="1"/>
          <w:bCs w:val="1"/>
          <w:color w:val="auto"/>
        </w:rPr>
        <w:t>Rules Engine</w:t>
      </w:r>
      <w:r>
        <w:rPr>
          <w:rFonts w:ascii="Times New Roman" w:cs="Times New Roman" w:eastAsia="Times New Roman" w:hAnsi="Times New Roman"/>
          <w:sz w:val="18"/>
          <w:szCs w:val="18"/>
          <w:color w:val="auto"/>
        </w:rPr>
        <w:t xml:space="preserv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 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use AI to implement </w:t>
      </w:r>
      <w:r>
        <w:rPr>
          <w:rFonts w:ascii="Times New Roman" w:cs="Times New Roman" w:eastAsia="Times New Roman" w:hAnsi="Times New Roman"/>
          <w:sz w:val="18"/>
          <w:szCs w:val="18"/>
          <w:b w:val="1"/>
          <w:bCs w:val="1"/>
          <w:color w:val="auto"/>
        </w:rPr>
        <w:t>Enhanced Workflows</w:t>
      </w:r>
      <w:r>
        <w:rPr>
          <w:rFonts w:ascii="Times New Roman" w:cs="Times New Roman" w:eastAsia="Times New Roman" w:hAnsi="Times New Roman"/>
          <w:sz w:val="18"/>
          <w:szCs w:val="18"/>
          <w:color w:val="auto"/>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developing and implementing our AI algorithms, we use the following third-party toolkits: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AWS Services:</w:t>
      </w:r>
    </w:p>
    <w:p>
      <w:pPr>
        <w:spacing w:after="0" w:line="2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AWS KVS: Used for video streaming, not inherently AI, but can be integrated with AI for video analysis in the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Libraries: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YOLOv8 &amp; YOLOv10: These are object detection models specifically used for AI purposes, particularly computer vision.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open-cv: An open-source library used for computer vision tasks, commonly used in AI applications.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deepsort: Used for tracking objects, often paired with AI models like YOLO for real-time AI-based tracking.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pytorch: A deep learning library, essential for AI and machine learning model development.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numpy: A fundamental library for numerical computations, frequently used in AI tasks for handling data arrays.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Tools &amp; Data: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Stable Diffusion: An AI model for generating images.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Midjourney: An AI tool for generating images from text prompts.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Adobe Firefly: AI-powered creative tools for image and video editing.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Roboflow: A platform that assists in building computer vision models, supporting AI workflows.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Tools:</w:t>
      </w:r>
    </w:p>
    <w:p>
      <w:pPr>
        <w:spacing w:after="0" w:line="227" w:lineRule="exact"/>
        <w:rPr>
          <w:sz w:val="20"/>
          <w:szCs w:val="20"/>
          <w:color w:val="auto"/>
        </w:rPr>
      </w:pPr>
    </w:p>
    <w:p>
      <w:pPr>
        <w:ind w:left="5540" w:right="2860" w:hanging="5202"/>
        <w:spacing w:after="0" w:line="783" w:lineRule="auto"/>
        <w:rPr>
          <w:sz w:val="20"/>
          <w:szCs w:val="20"/>
          <w:color w:val="auto"/>
        </w:rPr>
      </w:pPr>
      <w:r>
        <w:rPr>
          <w:rFonts w:ascii="Times New Roman" w:cs="Times New Roman" w:eastAsia="Times New Roman" w:hAnsi="Times New Roman"/>
          <w:sz w:val="18"/>
          <w:szCs w:val="18"/>
          <w:color w:val="auto"/>
        </w:rPr>
        <w:t>— labelImg: Used for labeling images, an important step in AI model training, especially for computer vision.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anticipates having 44 full-time equivalent employees in 2025. These resources are organized into five major departments, each headed by an executive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114300</wp:posOffset>
            </wp:positionV>
            <wp:extent cx="6429375" cy="3429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937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based in the United States with four existing or planned locations of activity: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Las Vegas, Nevada — hosts our Go-To-Market team including our Sales, Marketing and Professional Services leadership, a Western Experience Center for demonstrations as well as customer and channel training facilities.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Bethesda, Maryland — hosts our General &amp; Administration leadership team, an Eastern Experience Center for demonstrations as well as customer and channel training facilities.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Manati, Puerto Rico — the site of our hardware manufacturing, a small factory producing selected tags and bridges that are specific to the unique tracking system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Leaders in Tracking and AutoID Systems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Zebra </w:t>
      </w:r>
      <w:r>
        <w:rPr>
          <w:rFonts w:ascii="Times New Roman" w:cs="Times New Roman" w:eastAsia="Times New Roman" w:hAnsi="Times New Roman"/>
          <w:sz w:val="18"/>
          <w:szCs w:val="18"/>
          <w:color w:val="auto"/>
        </w:rPr>
        <w:t>— Zebra Technologies Corporation is a mobile computing company based in San Francisco, California, specializing in technology used to sense,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 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Samsara </w:t>
      </w:r>
      <w:r>
        <w:rPr>
          <w:rFonts w:ascii="Times New Roman" w:cs="Times New Roman" w:eastAsia="Times New Roman" w:hAnsi="Times New Roman"/>
          <w:sz w:val="18"/>
          <w:szCs w:val="18"/>
          <w:color w:val="auto"/>
        </w:rPr>
        <w:t>— Samsara Inc. is an IoT company headquartered in San Francisco, California, that provides software and insights for physical operations.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HID Global — Originally a German multinational, they were purchased by a Swedish company and relocated their corporate headquarters to Texas. The company is known for its Access Control and Security products and services and have expanded to all aspects of RFID and barcoding, including real-time tracking and AI.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Niche or Regional Tracking System Players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market is crowded with small players as is typical in periods of generational transition. Many are attempting to apply IoT technology in a specific way or focused on a particular vertical application.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Link Labs</w:t>
            </w:r>
          </w:p>
        </w:tc>
        <w:tc>
          <w:tcPr>
            <w:tcW w:w="100" w:type="dxa"/>
            <w:vAlign w:val="bottom"/>
          </w:tcPr>
          <w:p>
            <w:pPr>
              <w:spacing w:after="0"/>
              <w:rPr>
                <w:sz w:val="17"/>
                <w:szCs w:val="17"/>
                <w:color w:val="auto"/>
              </w:rPr>
            </w:pPr>
          </w:p>
        </w:tc>
        <w:tc>
          <w:tcPr>
            <w:tcW w:w="2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Annapolis, MD</w:t>
            </w:r>
          </w:p>
        </w:tc>
        <w:tc>
          <w:tcPr>
            <w:tcW w:w="100" w:type="dxa"/>
            <w:vAlign w:val="bottom"/>
          </w:tcPr>
          <w:p>
            <w:pPr>
              <w:spacing w:after="0"/>
              <w:rPr>
                <w:sz w:val="17"/>
                <w:szCs w:val="17"/>
                <w:color w:val="auto"/>
              </w:rPr>
            </w:pPr>
          </w:p>
        </w:tc>
        <w:tc>
          <w:tcPr>
            <w:tcW w:w="6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BLE with a patented overlay protocol XLE (extreme low energy). Phase-ranging with 3 –</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 years battery life and accuracy in asset location to within a meter. Use pRFID too.</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Cognosos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Atlanta, GA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with Location AI technology, LoRA distance backhaul using Semtech LPWA, 1-</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3m accuracy. Use pRFID too.</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Spot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Irving, TX</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system, focused on Health Care market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Blueiot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claim to have done a BLE implementation with accuracy to 10cm.</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Dusun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some zigbee, broad hardware offer.</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Mokosmart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Shenzen,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Big hardware maker, #1 in our space for private labelling</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Milesight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Xiamen, Fujian,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Lora, BLE and video feeds in their system</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Matter</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Perth, AUS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Telematics and tracking systems, LoRA and BLE</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Abeeway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Biot, France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indoor and outdoor capability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Kontakt.io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Krakow, Poland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Initially a hardware vendor, have grown into full solution with hardware as a key element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Ubisense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Cambridge, UK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Radiant RFID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UHF RFID systems, attempting to migrate to next generation technology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Sensolus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Ghent, Belgium</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Tracking and workflow systems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Litum</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Izmir, Turkey</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Alexandria, VA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Military supplier, long range tracking tags for containers and pallets. ISO 18000-7</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Inpixion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Palo Alto, CA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of BLE and UWB as needed. Open architecture. Inpixon is a business unit of XTI</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Aerospace, Inc.</w:t>
            </w: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68</w:t>
            </w:r>
          </w:p>
        </w:tc>
      </w:tr>
    </w:tbl>
    <w:p>
      <w:pPr>
        <w:sectPr>
          <w:pgSz w:w="11900" w:h="16838" w:orient="portrait"/>
          <w:cols w:equalWidth="0" w:num="1">
            <w:col w:w="11240"/>
          </w:cols>
          <w:pgMar w:left="320" w:top="875" w:right="339" w:bottom="1440" w:gutter="0" w:footer="0" w:header="0"/>
        </w:sectPr>
      </w:pPr>
    </w:p>
    <w:bookmarkStart w:id="76" w:name="page77"/>
    <w:bookmarkEnd w:id="76"/>
    <w:p>
      <w:pPr>
        <w:ind w:right="20"/>
        <w:spacing w:after="0" w:line="282" w:lineRule="auto"/>
        <w:rPr>
          <w:sz w:val="20"/>
          <w:szCs w:val="20"/>
          <w:color w:val="auto"/>
        </w:rPr>
      </w:pPr>
      <w:r>
        <w:rPr>
          <w:rFonts w:ascii="Times New Roman" w:cs="Times New Roman" w:eastAsia="Times New Roman" w:hAnsi="Times New Roman"/>
          <w:sz w:val="18"/>
          <w:szCs w:val="18"/>
          <w:color w:val="auto"/>
        </w:rPr>
        <w:t>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industry specific players, particularly in Health Care, where the requirements can be quite specific and the use cases focused.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Competition is from all over the word, with many of the most important competitors centered in the US market, although China is a big part of this list even if they are not explicitly identified. Many of the devices designed by these players are made in China via contractors.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also a wide technology spread. Some specialize in precise location services using UWB. Some are strictly BLE or LoRA shops.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that this list does not include all of the passive RFID and barcode system companies also active in the market. Their legacy footprint represents one of the best market opportunities to convert.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Link Labs</w:t>
            </w:r>
          </w:p>
        </w:tc>
        <w:tc>
          <w:tcPr>
            <w:tcW w:w="100" w:type="dxa"/>
            <w:vAlign w:val="bottom"/>
          </w:tcPr>
          <w:p>
            <w:pPr>
              <w:spacing w:after="0"/>
              <w:rPr>
                <w:sz w:val="17"/>
                <w:szCs w:val="17"/>
                <w:color w:val="auto"/>
              </w:rPr>
            </w:pPr>
          </w:p>
        </w:tc>
        <w:tc>
          <w:tcPr>
            <w:tcW w:w="2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Annapolis, MD</w:t>
            </w:r>
          </w:p>
        </w:tc>
        <w:tc>
          <w:tcPr>
            <w:tcW w:w="100" w:type="dxa"/>
            <w:vAlign w:val="bottom"/>
          </w:tcPr>
          <w:p>
            <w:pPr>
              <w:spacing w:after="0"/>
              <w:rPr>
                <w:sz w:val="17"/>
                <w:szCs w:val="17"/>
                <w:color w:val="auto"/>
              </w:rPr>
            </w:pPr>
          </w:p>
        </w:tc>
        <w:tc>
          <w:tcPr>
            <w:tcW w:w="67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BLE with a patented overlay protocol XLE (extreme low energy). Phase-ranging with 3 –</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 years battery life and accuracy in asset location to within a meter. Use pRFID too.</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Cognosos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Atlanta, GA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with LocationAI technology, LoRA distance backhaul using Semtech LPWA, 1-</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3m accuracy. Use pRFID too.</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Spot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Irving, TX</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 system, focused on Health Care market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Blueiot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Beijing,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They claim to have done a BLE implementation with accuracy to 10cm.</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Dusun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Hangzhou,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some zigbee, broad hardware offer.</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Mokosmart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Shenzen,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Big hardware maker, #1 in our space for private labelling</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Milesight</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Xiamen, Fujian, China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Lora, BLE and video feeds in their system</w:t>
            </w: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69</w:t>
            </w:r>
          </w:p>
        </w:tc>
      </w:tr>
    </w:tbl>
    <w:p>
      <w:pPr>
        <w:sectPr>
          <w:pgSz w:w="11900" w:h="16838" w:orient="portrait"/>
          <w:cols w:equalWidth="0" w:num="1">
            <w:col w:w="11240"/>
          </w:cols>
          <w:pgMar w:left="320" w:top="877"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234"/>
        </w:trPr>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Digital Matter</w:t>
            </w:r>
          </w:p>
        </w:tc>
        <w:tc>
          <w:tcPr>
            <w:tcW w:w="10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Perth, AUS</w:t>
            </w:r>
          </w:p>
        </w:tc>
        <w:tc>
          <w:tcPr>
            <w:tcW w:w="100" w:type="dxa"/>
            <w:vAlign w:val="bottom"/>
          </w:tcPr>
          <w:p>
            <w:pPr>
              <w:spacing w:after="0"/>
              <w:rPr>
                <w:sz w:val="20"/>
                <w:szCs w:val="20"/>
                <w:color w:val="auto"/>
              </w:rPr>
            </w:pPr>
          </w:p>
        </w:tc>
        <w:tc>
          <w:tcPr>
            <w:tcW w:w="6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Telematics and tracking systems, LoRA and BLE</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Abeeway</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Biot, France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Lorawan and BLE, indoor and outdoor capability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Kontakt.io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Krakow, Poland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Initially a hardware vendor, have grown into full solution with hardware as a key element</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Ubisense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Cambridge, UK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Radiant RFID</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UHF RFID systems, attempting to migrate to next generation technology</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Sensolus</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Ghent, Belgium</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Tracking and workflow systems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Litum</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Izmir, Turkey</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UWB high precision tracking is the focus, also have a line of BLE tracking solutions.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Alexandria, VA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Military supplier, long range tracking tags for containers and pallets. ISO 18000-7</w:t>
            </w: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Inpixion</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Palo Alto, CA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 of BLE and UWB as needed. Open architecture. Inpixon is a business unit of XTI</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Aerospace, Inc.</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Airista</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Timonium, Maryland</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Partnership with Cisco, wifi and BLE product line with good software interfaces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Centrak</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Newtown, PA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Health care focus, Indoor location using wifi and BLE VA contract win was very large.</w:t>
            </w:r>
          </w:p>
        </w:tc>
      </w:tr>
      <w:tr>
        <w:trPr>
          <w:trHeight w:val="655"/>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70</w:t>
            </w:r>
          </w:p>
        </w:tc>
      </w:tr>
    </w:tbl>
    <w:p>
      <w:pPr>
        <w:sectPr>
          <w:pgSz w:w="11900" w:h="16838" w:orient="portrait"/>
          <w:cols w:equalWidth="0" w:num="1">
            <w:col w:w="11240"/>
          </w:cols>
          <w:pgMar w:left="320" w:top="873"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4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21"/>
                <w:szCs w:val="21"/>
                <w:color w:val="auto"/>
              </w:rPr>
            </w:pPr>
          </w:p>
        </w:tc>
        <w:tc>
          <w:tcPr>
            <w:tcW w:w="67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234"/>
        </w:trPr>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Pozyx</w:t>
            </w:r>
          </w:p>
        </w:tc>
        <w:tc>
          <w:tcPr>
            <w:tcW w:w="10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Ghent, Belgium</w:t>
            </w:r>
          </w:p>
        </w:tc>
        <w:tc>
          <w:tcPr>
            <w:tcW w:w="100" w:type="dxa"/>
            <w:vAlign w:val="bottom"/>
          </w:tcPr>
          <w:p>
            <w:pPr>
              <w:spacing w:after="0"/>
              <w:rPr>
                <w:sz w:val="20"/>
                <w:szCs w:val="20"/>
                <w:color w:val="auto"/>
              </w:rPr>
            </w:pPr>
          </w:p>
        </w:tc>
        <w:tc>
          <w:tcPr>
            <w:tcW w:w="6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Indoor and outdoor rtls. Use of GPS BLE and other technologies opportunistically</w:t>
            </w:r>
          </w:p>
        </w:tc>
      </w:tr>
      <w:tr>
        <w:trPr>
          <w:trHeight w:val="395"/>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Sewio</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Brno, Czech Republic</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Primarily a UWB player, competing in the precision location space. Some edge cases with</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BLE</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Ekahau</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Reston, VA</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Wifi and BLE locating health care and indoor focus</w:t>
            </w:r>
          </w:p>
        </w:tc>
      </w:tr>
      <w:tr>
        <w:trPr>
          <w:trHeight w:val="43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Healthcare</w:t>
            </w: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Litchfield, UK</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Health care focus, Indoor location using wifi and BLE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Automation and Sensor Companies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Large automation players such as </w:t>
      </w:r>
      <w:r>
        <w:rPr>
          <w:rFonts w:ascii="Times New Roman" w:cs="Times New Roman" w:eastAsia="Times New Roman" w:hAnsi="Times New Roman"/>
          <w:sz w:val="18"/>
          <w:szCs w:val="18"/>
          <w:b w:val="1"/>
          <w:bCs w:val="1"/>
          <w:color w:val="auto"/>
        </w:rPr>
        <w:t>Honeywell, Siemens, Rockwell Automation, Mitsubishi, Panasonic, Omron, Sick, Schneider Electric</w:t>
      </w:r>
      <w:r>
        <w:rPr>
          <w:rFonts w:ascii="Times New Roman" w:cs="Times New Roman" w:eastAsia="Times New Roman" w:hAnsi="Times New Roman"/>
          <w:sz w:val="18"/>
          <w:szCs w:val="18"/>
          <w:color w:val="auto"/>
        </w:rPr>
        <w:t xml:space="preserve">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are more often seen as complimentary to the solutions of the company. Their channel partners are prime targets to take on the solution set provided by the company to augment existing offerings from their primary line card.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MES or WMS Players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group includes </w:t>
      </w:r>
      <w:r>
        <w:rPr>
          <w:rFonts w:ascii="Times New Roman" w:cs="Times New Roman" w:eastAsia="Times New Roman" w:hAnsi="Times New Roman"/>
          <w:sz w:val="18"/>
          <w:szCs w:val="18"/>
          <w:b w:val="1"/>
          <w:bCs w:val="1"/>
          <w:color w:val="auto"/>
        </w:rPr>
        <w:t>Korber, SAP, Microsoft, Oracle, Blue Yonder, Infor, Manhattan Associates</w:t>
      </w:r>
      <w:r>
        <w:rPr>
          <w:rFonts w:ascii="Times New Roman" w:cs="Times New Roman" w:eastAsia="Times New Roman" w:hAnsi="Times New Roman"/>
          <w:sz w:val="18"/>
          <w:szCs w:val="18"/>
          <w:color w:val="auto"/>
        </w:rPr>
        <w:t xml:space="preserve"> etc. and can compete with the company in some applications but are most often commercial partners in the solution. SEE ID will act as an edge module that is integrated into their platform for enhanced visibility, safety, assurance, or execution in the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and Integrator Vendor Consultants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IBM, CiscoJuniper Networks, JMA, Sirerra Wireless, Dell, Arista, HPE </w:t>
      </w:r>
      <w:r>
        <w:rPr>
          <w:rFonts w:ascii="Times New Roman" w:cs="Times New Roman" w:eastAsia="Times New Roman" w:hAnsi="Times New Roman"/>
          <w:sz w:val="18"/>
          <w:szCs w:val="18"/>
          <w:color w:val="auto"/>
        </w:rPr>
        <w:t>have some extensive infrastructure and software of their own to enhance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Workflow Automation, Integration &amp; AI Vendor Consultants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solutionsIoT system.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Competitive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competitive factors in the markets in which we operate include:</w:t>
      </w:r>
    </w:p>
    <w:p>
      <w:pPr>
        <w:spacing w:after="0" w:line="221" w:lineRule="exact"/>
        <w:rPr>
          <w:sz w:val="20"/>
          <w:szCs w:val="20"/>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Implementation </w:t>
      </w:r>
      <w:r>
        <w:rPr>
          <w:rFonts w:ascii="Times New Roman" w:cs="Times New Roman" w:eastAsia="Times New Roman" w:hAnsi="Times New Roman"/>
          <w:sz w:val="18"/>
          <w:szCs w:val="18"/>
          <w:color w:val="auto"/>
        </w:rPr>
        <w:t>— while this is an emerging area, we are investing heavily in this battleground feature. We believe that soon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aspect of the buying decision will be the extent to which AI has been implemented to simplify the complex logistics processes and intervene when needed to enable greater enterprise performance.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TCO (Total Cost of Ownership) </w:t>
      </w:r>
      <w:r>
        <w:rPr>
          <w:rFonts w:ascii="Times New Roman" w:cs="Times New Roman" w:eastAsia="Times New Roman" w:hAnsi="Times New Roman"/>
          <w:sz w:val="18"/>
          <w:szCs w:val="18"/>
          <w:color w:val="auto"/>
        </w:rPr>
        <w:t>— Our systems are intended to run for decades in an enterprise, with costs over that time playing a key role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buying decision. The ability for the customer to extend the system easily, not be subject to custom programming charges, avoid proprietary devices and keep pace with data structure and security changes is an important competitive advantage.</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ROI (Return on Investment) </w:t>
      </w:r>
      <w:r>
        <w:rPr>
          <w:rFonts w:ascii="Times New Roman" w:cs="Times New Roman" w:eastAsia="Times New Roman" w:hAnsi="Times New Roman"/>
          <w:sz w:val="18"/>
          <w:szCs w:val="18"/>
          <w:color w:val="auto"/>
        </w:rPr>
        <w:t>— Our value to the enterprise vs the benefit is part of every buy decision. This includes the total cost of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79"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Accuracy and Reliability </w:t>
      </w:r>
      <w:r>
        <w:rPr>
          <w:rFonts w:ascii="Times New Roman" w:cs="Times New Roman" w:eastAsia="Times New Roman" w:hAnsi="Times New Roman"/>
          <w:sz w:val="18"/>
          <w:szCs w:val="18"/>
          <w:color w:val="auto"/>
        </w:rPr>
        <w:t>— many competitors advertise pinpoint location accuracy to win customers. However, most processes do not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 Services </w:t>
      </w:r>
      <w:r>
        <w:rPr>
          <w:rFonts w:ascii="Times New Roman" w:cs="Times New Roman" w:eastAsia="Times New Roman" w:hAnsi="Times New Roman"/>
          <w:sz w:val="18"/>
          <w:szCs w:val="18"/>
          <w:color w:val="auto"/>
        </w:rPr>
        <w:t>— The processes that we impact are critical to the functioning of an enterprise. To commit to this new technology, users need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Friendly country sourcing </w:t>
      </w:r>
      <w:r>
        <w:rPr>
          <w:rFonts w:ascii="Times New Roman" w:cs="Times New Roman" w:eastAsia="Times New Roman" w:hAnsi="Times New Roman"/>
          <w:sz w:val="18"/>
          <w:szCs w:val="18"/>
          <w:color w:val="auto"/>
        </w:rPr>
        <w:t>— So many competitors rely on Chinese or Taiwan sourcing, excluding them from consideration for 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Military contracts and making them less desirable for private sector selection. Sourcing from DFAR compliant countries and making our core components in the USA positions us particularly well for the crucial US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Focused Customer Acquisition: </w:t>
      </w:r>
      <w:r>
        <w:rPr>
          <w:rFonts w:ascii="Times New Roman" w:cs="Times New Roman" w:eastAsia="Times New Roman" w:hAnsi="Times New Roman"/>
          <w:sz w:val="18"/>
          <w:szCs w:val="18"/>
          <w:color w:val="auto"/>
        </w:rPr>
        <w:t>With a rapidly digitizing market, we believe that there is a significant opportunity to continue to grow our customer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 promote our capabilities. We plan to continually invest in our sales and marketing coverage, including channel partners, and leverage our go-to-market model to continue acquiring new customers.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Expand Within Our Existing Customer Base. </w:t>
      </w:r>
      <w:r>
        <w:rPr>
          <w:rFonts w:ascii="Times New Roman" w:cs="Times New Roman" w:eastAsia="Times New Roman" w:hAnsi="Times New Roman"/>
          <w:sz w:val="18"/>
          <w:szCs w:val="18"/>
          <w:color w:val="auto"/>
        </w:rPr>
        <w:t>Once we solve the first problem for our customers, we see a significant opportunity to expand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within that same account. This includes increasing the number of physical assets enrolled as well as expanding across our customers’ multiple sites and divisions.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0" w:name="page81"/>
    <w:bookmarkEnd w:id="80"/>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Customer-centric Innovation and Rapid Product Releases. </w:t>
      </w:r>
      <w:r>
        <w:rPr>
          <w:rFonts w:ascii="Times New Roman" w:cs="Times New Roman" w:eastAsia="Times New Roman" w:hAnsi="Times New Roman"/>
          <w:sz w:val="18"/>
          <w:szCs w:val="18"/>
          <w:color w:val="auto"/>
        </w:rPr>
        <w:t>Our architecture was designed as a platform from the beginning to enable fast 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Channel development. </w:t>
      </w:r>
      <w:r>
        <w:rPr>
          <w:rFonts w:ascii="Times New Roman" w:cs="Times New Roman" w:eastAsia="Times New Roman" w:hAnsi="Times New Roman"/>
          <w:sz w:val="18"/>
          <w:szCs w:val="18"/>
          <w:color w:val="auto"/>
        </w:rPr>
        <w:t>Our vision is to be a channel focused company. Rapid acquisition of targeted channel partners in all of the global markets will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metric. Our unique technology, very attractive commercial model, as well as the training and support capability we offer will drive channel acquisition.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Expand Technology Partnerships and Integrations. </w:t>
      </w:r>
      <w:r>
        <w:rPr>
          <w:rFonts w:ascii="Times New Roman" w:cs="Times New Roman" w:eastAsia="Times New Roman" w:hAnsi="Times New Roman"/>
          <w:sz w:val="18"/>
          <w:szCs w:val="18"/>
          <w:color w:val="auto"/>
        </w:rPr>
        <w:t>Our use of COTS devices and integration with existing software for many of our solutions makes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useful collaborators in our markets. We leverage the combined expertise of multiple partners, each looking at specific technical and commercial areas to ensure we are at the forefront. 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Expand Internationally. </w:t>
      </w:r>
      <w:r>
        <w:rPr>
          <w:rFonts w:ascii="Times New Roman" w:cs="Times New Roman" w:eastAsia="Times New Roman" w:hAnsi="Times New Roman"/>
          <w:sz w:val="18"/>
          <w:szCs w:val="18"/>
          <w:color w:val="auto"/>
        </w:rPr>
        <w:t>A key focus of our company is to continue to expand our global reach. In the short term we are already expanding channel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and expect to form a sales company in Southern Germany or Northern Switzerland next year. To support our offshore engineering team, add customer support capability and some sales opportunities already emerging in the region, we also plan to form an Indian subsidiary in 2025. Note that our product platforms were designed from the outset to meet international standards and regulations.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Monetizing data streams. </w:t>
      </w:r>
      <w:r>
        <w:rPr>
          <w:rFonts w:ascii="Times New Roman" w:cs="Times New Roman" w:eastAsia="Times New Roman" w:hAnsi="Times New Roman"/>
          <w:sz w:val="18"/>
          <w:szCs w:val="18"/>
          <w:color w:val="auto"/>
        </w:rPr>
        <w:t>As a data producer, the company has access to valuable data that is of interest to industry analysts, financial markets,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Acquisitions. </w:t>
      </w:r>
      <w:r>
        <w:rPr>
          <w:rFonts w:ascii="Times New Roman" w:cs="Times New Roman" w:eastAsia="Times New Roman" w:hAnsi="Times New Roman"/>
          <w:sz w:val="18"/>
          <w:szCs w:val="18"/>
          <w:color w:val="auto"/>
        </w:rPr>
        <w:t>Note that it is likely that we will also look to accelerate growth by acquisition. Potential targets are being evaluated based on the extent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they can help us in one or more of the strategies’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Factors Summary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These risks include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as we have built our technology and market position, and we may not be able to achieve or sustain profitability on a consistent basis for an extended period of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 growth makes it difficult to evaluate future prospects and increases the risk that we will not continue to grow at or near projected rates. Forecasts may be unreliable.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has not happened in our history to date, our emerging technology may encounter failures, up to and including broad recalls, as we continue to product maturity and beyond. With this comes the threat of financial penalties and legal action from customers.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uncertainty, particularly in the AI space, makes it difficult to anticipate potential impacts on the business of the company.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IoT and AI spaces already have a history of IP challenges and litigation. Our patents may be challenged, and suits may be brought against us, especially as we gain momentum and public success. This may result in unexpected legal costs, settlements, license fees and barriers to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Supply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agreements in place with Wiliot, the company which provides our chip and passive labels for tracking and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We’re ordering chips from Wiliot and from Identiv. Identiv is recognized as one of the world’s largest producers of specialty RFID tags, inlays and labels. In fact, Identiv is the main supplier for Wiliot.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between CID Holdco, Inc. (Client) and Arshon Technology (Contractor) outlines several material terms, including the rights and obligations of both parties, as well as termination and payment provisions. The Contractor is responsible for providing services such as designing and developing Perth PCBs, including schematics, prototypes, production boards, and test jigs. Deliverables include Gerber files, BOM, schematics, and PCBs. These services are to be performed independently, with the Contractor taking responsibility for reporting compensation as income and complying with all applicable laws. The Client is obligated to provide payments as outlined in the Statement of Work (SOW) and reimburse pre-approved travel and related expenses. Intellectual property rights for all deliverables created during the performance of services are assigned to the Client, and the Contractor is required to maintain confidentiality of all Client-provided information, returning or destroying such information upon termination of the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the Contractor is required to return all work products and confidential information, while the Client must pay any accrued but unpaid fees.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 terms of the agreement between Wiliot Ltd. and CID Holdco Inc. dba Dot Ai Corporation (the “Partner”) include key rights, obligations, termination provisions, and payment terms. Under the agreement, Wiliot grants the Partner non-exclusive rights to promote, market, and resell Wiliot’s IoT Pixels, Hardware, and Cloud subscriptions as part of an Integrated Solution. The Partner also has the right to provide professional services related to Wiliot’s products. The Partner is required to maintain certification and compliance with integration requirements while ensuring customer relationships align with the agreement’s terms. Intellectual property rights remain with Wiliot for its products and solutions, while the Partner retains rights to its own developments based on Wiliot’s intellectual property with proper attribution.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 can be terminated under several conditions, including mutual convenience with 90 days’ notice, material breach not remedied within 30 days, insolvency, or bankruptcy. Upon termination, the Partner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agreement emphasizes a collaborative yet clearly delineated partnership, protecting both parties’ intellectual property and operational interests.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under the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At the time of this filing, we are in the process of setting up our manufacturing subsidiary with assembly and test lines in Puerto Rico.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Assembly &amp;</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EU</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Admin</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Corporate HQ</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Systems Lab</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11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Subsidiary</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c>
          <w:tcPr>
            <w:tcW w:w="1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Bethesda,</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Las Vegas</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Worcester</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Manati</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Germany or</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Bangalore India</w:t>
            </w: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Maryland</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Nevada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Massachusetts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Puerto Rico</w:t>
            </w:r>
          </w:p>
        </w:tc>
        <w:tc>
          <w:tcPr>
            <w:tcW w:w="11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Switzerland</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8"/>
                <w:szCs w:val="18"/>
                <w:color w:val="auto"/>
              </w:rPr>
            </w:pP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Terms</w:t>
            </w:r>
          </w:p>
        </w:tc>
        <w:tc>
          <w:tcPr>
            <w:tcW w:w="136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63 months</w:t>
            </w:r>
          </w:p>
        </w:tc>
        <w:tc>
          <w:tcPr>
            <w:tcW w:w="18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annual sub-lease</w:t>
            </w:r>
          </w:p>
        </w:tc>
        <w:tc>
          <w:tcPr>
            <w:tcW w:w="14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monthly lease</w:t>
            </w:r>
          </w:p>
        </w:tc>
        <w:tc>
          <w:tcPr>
            <w:tcW w:w="13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monthly sub-</w:t>
            </w:r>
          </w:p>
        </w:tc>
        <w:tc>
          <w:tcPr>
            <w:tcW w:w="1180" w:type="dxa"/>
            <w:vAlign w:val="bottom"/>
            <w:shd w:val="clear" w:color="auto" w:fill="CCEEFF"/>
          </w:tcPr>
          <w:p>
            <w:pPr>
              <w:spacing w:after="0"/>
              <w:rPr>
                <w:sz w:val="17"/>
                <w:szCs w:val="17"/>
                <w:color w:val="auto"/>
              </w:rPr>
            </w:pPr>
          </w:p>
        </w:tc>
        <w:tc>
          <w:tcPr>
            <w:tcW w:w="172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TBD</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lease</w:t>
            </w:r>
          </w:p>
        </w:tc>
        <w:tc>
          <w:tcPr>
            <w:tcW w:w="1180" w:type="dxa"/>
            <w:vAlign w:val="bottom"/>
            <w:shd w:val="clear" w:color="auto" w:fill="CCEEFF"/>
          </w:tcPr>
          <w:p>
            <w:pPr>
              <w:spacing w:after="0"/>
              <w:rPr>
                <w:sz w:val="10"/>
                <w:szCs w:val="10"/>
                <w:color w:val="auto"/>
              </w:rPr>
            </w:pPr>
          </w:p>
        </w:tc>
        <w:tc>
          <w:tcPr>
            <w:tcW w:w="172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gridSpan w:val="2"/>
            <w:vMerge w:val="continue"/>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Lessor</w:t>
            </w:r>
          </w:p>
        </w:tc>
        <w:tc>
          <w:tcPr>
            <w:tcW w:w="13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IN-REL 7500</w:t>
            </w:r>
          </w:p>
        </w:tc>
        <w:tc>
          <w:tcPr>
            <w:tcW w:w="18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POPE</w:t>
            </w:r>
          </w:p>
        </w:tc>
        <w:tc>
          <w:tcPr>
            <w:tcW w:w="14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WORCLAB</w:t>
            </w:r>
          </w:p>
        </w:tc>
        <w:tc>
          <w:tcPr>
            <w:tcW w:w="13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ENZYMATIC</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OGR, LLC</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TECHNOLOGIES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Monthly Cost</w:t>
            </w:r>
          </w:p>
        </w:tc>
        <w:tc>
          <w:tcPr>
            <w:tcW w:w="12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$7,051.38</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3887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 w:cs="Times New Roman" w:eastAsia="Times New Roman" w:hAnsi="Times New Roman"/>
          <w:sz w:val="18"/>
          <w:szCs w:val="18"/>
          <w:i w:val="1"/>
          <w:iCs w:val="1"/>
          <w:color w:val="auto"/>
        </w:rPr>
        <w:t>Risk Factors — Intellectual Property</w:t>
      </w:r>
      <w:r>
        <w:rPr>
          <w:rFonts w:ascii="Times New Roman" w:cs="Times New Roman" w:eastAsia="Times New Roman" w:hAnsi="Times New Roman"/>
          <w:sz w:val="18"/>
          <w:szCs w:val="18"/>
          <w:color w:val="auto"/>
        </w:rPr>
        <w:t>” for a discussion of 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wide variety of laws and regulations in the United States and other jurisdictions and devote considerable resources to compliance with these laws and regulations.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 — Risks Related to Government Regulation</w:t>
      </w:r>
      <w:r>
        <w:rPr>
          <w:rFonts w:ascii="Times New Roman" w:cs="Times New Roman" w:eastAsia="Times New Roman" w:hAnsi="Times New Roman"/>
          <w:sz w:val="18"/>
          <w:szCs w:val="18"/>
          <w:color w:val="auto"/>
        </w:rPr>
        <w:t>” for additional information about the laws and regulations to which we are subject and the risks to our business associated with such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dedicated to protecting and securing the data of our customers as part of our overall data protection and privacy program.</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 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 — Risks Related to Government Regulation</w:t>
      </w:r>
      <w:r>
        <w:rPr>
          <w:rFonts w:ascii="Times New Roman" w:cs="Times New Roman" w:eastAsia="Times New Roman" w:hAnsi="Times New Roman"/>
          <w:sz w:val="18"/>
          <w:szCs w:val="18"/>
          <w:color w:val="auto"/>
        </w:rPr>
        <w:t>” for additional information about the laws and regulations to which we are subject and the risks to our business associated with such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been made aware of a complaint (the “Complaint”) filed by William Reny (“Plaintiff”), a greater than ten percent (10%) holder of the Company’s outstanding common stock, par value $0.001 per share, against SEE ID, Charles Maddox and Ed Nabrotzky, each a director of SEE ID, and Does 1-20 (collectively with SEE ID, Mr. Maddox and Mr. Nabrotzky, the “Defendants”), in the District Court of Clark County, Nevada.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$50,000.00.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the Defendants intend to vigorously defend themselves against this litigation and to pursue available legal remedies. Except as required by law, the Company does not intend to comment further on this matter.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34"/>
        </w:trPr>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 (Class 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Sheldon Paul</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58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72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76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David Carlson</w:t>
            </w: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66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68</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Ed Nabrotzky. </w:t>
      </w:r>
      <w:r>
        <w:rPr>
          <w:rFonts w:ascii="Times New Roman" w:cs="Times New Roman" w:eastAsia="Times New Roman" w:hAnsi="Times New Roman"/>
          <w:sz w:val="18"/>
          <w:szCs w:val="18"/>
          <w:color w:val="auto"/>
        </w:rPr>
        <w:t>Mr. Nabrotzky is the co-founder and Chief Executive Officer of CID Holdco. Mr. Nabrotzky previously served as the President of Litum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January 2022 to August 2022, served as an Adjunct Faculty Member at the Simon Business School, University of Rochester from December 2019 to June 2022, and served as the Director, Sales &amp; Strategy at Panasonic North America from January 2019 to October 2021. From September 2011 to January 2019, Mr. Nabrotzky served as the Chief Solutions Officer at Omni-ID. Mr. Nabrotzky also served as the President of Dynamic e-Horizons Inc. from August 2009 to March 2012. Prior to that, he was with Molex as the Group Product Marketing from January 2006 to December 2009. Mr. Nabrotzky started his career with Woodhead Industries Inc. in April 1998 and served the company until December 2006 as the VP &amp; General Manager. Mr. Nabrotzky is preparing to defend his dissertation in completing a PhD in Technology Management from Indiana State University, an MBA from Ivey Business School at Western University, and a B.Sc. in Computer Science from Western University. Mr. Nabrotzky has been selected to serve as a member of the Board of Directors of the Company because of the perspective and experience he brings as our co-founder and Chief Executive Officer as well as his management experience.</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Charlie Maddox. </w:t>
      </w:r>
      <w:r>
        <w:rPr>
          <w:rFonts w:ascii="Times New Roman" w:cs="Times New Roman" w:eastAsia="Times New Roman" w:hAnsi="Times New Roman"/>
          <w:sz w:val="18"/>
          <w:szCs w:val="18"/>
          <w:color w:val="auto"/>
        </w:rPr>
        <w:t>Mr. Maddox serves as the Chief Financial Officer and Chief Operating Officer of CID Holdco. A seasoned entrepreneur and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Charlie has co-founded multiple startups valued collectively at over $300M and has raised more than $8M in seed capital for CID Holdco. Leveraging over 20 years of experience in finance, operations, and strategic planning, he has been instrumental in scaling technology-driven businesses and driving operational efficiency as CID Holdco transitions to a publicly traded company. Mr. Maddox holds an MBA from Worcester Polytechnic Institute (WPI) and a B.Sc. in Computer Science from Florida State University (FSU).</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his tech career, Charlie served as a USAF C-17 pilot and Director of Operations, managing the continuous global deployment of $11.12B in assets. His disciplined, data-driven leadership style has been honed through years of managing high-stakes operations and advising early-stage companies as an angel investor. At CID Holdco, Charlie aligns operational excellence with long-term strategic goals, ensuring robust financial performance while supporting the company’s innovative plug-and-play tracking solutions and mission to streamline operations through AI-powered insights.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Vijayan Nambiar. </w:t>
      </w:r>
      <w:r>
        <w:rPr>
          <w:rFonts w:ascii="Times New Roman" w:cs="Times New Roman" w:eastAsia="Times New Roman" w:hAnsi="Times New Roman"/>
          <w:sz w:val="18"/>
          <w:szCs w:val="18"/>
          <w:color w:val="auto"/>
        </w:rPr>
        <w:t>Mr. Nambiar is Chief Technology Officer of CID Holdco. Ms. Nambiar brings over 24 years of experience in leading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from conception to field rollout for a variety of next-gen embedded real-time hardware &amp; cloud solutions. Ms.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Jeff Saling </w:t>
      </w:r>
      <w:r>
        <w:rPr>
          <w:rFonts w:ascii="Times New Roman" w:cs="Times New Roman" w:eastAsia="Times New Roman" w:hAnsi="Times New Roman"/>
          <w:sz w:val="18"/>
          <w:szCs w:val="18"/>
          <w:color w:val="auto"/>
        </w:rPr>
        <w:t>is a serial entrepreneur, seasoned executive, and prolific investor with over 30 years of experience in launching, scaling, and exiting startups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SaaS and cloud domains. He is currently the executive director and co-founder of StartUpNV, Nevada’s non-profit statewide startup accelerator, where he leads the vision, strategy, and operations to support and accelerate the growth of Nevada-based startups. Jeff is also an active angel investor and co-president of Sierra Angels, one of the longest running angel groups in the US, and a general partner of 1864 Fund, a seed-stage venture capital fund that invests in high-potential startups outside of traditional venture enclaves.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Janic Bryant Howroyd </w:t>
      </w:r>
      <w:r>
        <w:rPr>
          <w:rFonts w:ascii="Times New Roman" w:cs="Times New Roman" w:eastAsia="Times New Roman" w:hAnsi="Times New Roman"/>
          <w:sz w:val="18"/>
          <w:szCs w:val="18"/>
          <w:color w:val="auto"/>
        </w:rPr>
        <w:t>has more than 40 years of experience as a director and executive of not-for-profit and for profit companies. Since September 1978,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Howroyd has served as the founder and chief executive officer of the ActOne Group, an international talent and technology enterprise focusing on employment, talent management and digital solutions. Ms. Howroyd has served as a board member of ShoulderUp Technology Acquisition Gorp.,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Sheldon W. Paul </w:t>
      </w:r>
      <w:r>
        <w:rPr>
          <w:rFonts w:ascii="Times New Roman" w:cs="Times New Roman" w:eastAsia="Times New Roman" w:hAnsi="Times New Roman"/>
          <w:sz w:val="18"/>
          <w:szCs w:val="18"/>
          <w:color w:val="auto"/>
        </w:rPr>
        <w:t>is an obstetrician-gynecologist in Las Vegas, Nevada and is affiliated with Summerlin Hospital Medical Center. He received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David Carlson</w:t>
      </w:r>
      <w:r>
        <w:rPr>
          <w:rFonts w:ascii="Times New Roman" w:cs="Times New Roman" w:eastAsia="Times New Roman" w:hAnsi="Times New Roman"/>
          <w:sz w:val="18"/>
          <w:szCs w:val="18"/>
          <w:color w:val="auto"/>
        </w:rPr>
        <w:t>, DO, MBA has been the Chief Medical Officer in South King County for Virginia Mason Franciscan Health since 2023. He recently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medical director for Seamar Community Health Centers in Pierce and Thurston Counties from during 2023. Prior to joining VMFH, Dr. Carlson served as chief physician officer for Multicare from 2017 to 2022, chief physician executive for Hospital Sisters Health System from 2014 to 2017, and chief medical officer 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Walter Skowronski </w:t>
      </w:r>
      <w:r>
        <w:rPr>
          <w:rFonts w:ascii="Times New Roman" w:cs="Times New Roman" w:eastAsia="Times New Roman" w:hAnsi="Times New Roman"/>
          <w:sz w:val="18"/>
          <w:szCs w:val="18"/>
          <w:color w:val="auto"/>
        </w:rPr>
        <w:t>has more than 40 years of experience as a senior financial executive of NYSE-listed public companies. From July 2023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and Treasurer and Vice President of Investor Relations. Mr. Skowronski became Vice President and Treasurer of Lockheed Martin in March 1999 upon the merger of Lockheed Corp. and Martin Marietta Corp. and developed the new finance and treasury function for the organization.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Phyllis Newhouse </w:t>
      </w:r>
      <w:r>
        <w:rPr>
          <w:rFonts w:ascii="Times New Roman" w:cs="Times New Roman" w:eastAsia="Times New Roman" w:hAnsi="Times New Roman"/>
          <w:sz w:val="18"/>
          <w:szCs w:val="18"/>
          <w:color w:val="auto"/>
        </w:rPr>
        <w:t>previously served as Chief Executive Officer of ShoulderUp Technology Acquisition Corp. Ms. Newhouse is known as a pioneer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 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 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 F. Kennedy University, and she received an Honorary Doctor of Philosophy from CICA International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Our board of directors currently consists of seven members. The primary responsibilities of our board of directors are to provide oversight, strategic guidance, counseling and direction to our management. Our board of directors meets on a regular basis and additionally as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Our board of directors is divided into three classes, Class I, Class II and Class III, with members of each class serving staggered three-year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our board of directors is divided into the following classes:</w:t>
      </w:r>
    </w:p>
    <w:p>
      <w:pPr>
        <w:spacing w:after="0" w:line="207"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Dr. Sheldon Paul and Phyllis Newhouse, whose terms will expire at the first annual meeting of stockholders to be held in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Janice Bryant Howroyd and Walter Skowronski whose term will expire at the Company’s second annual meeting of stockholders to be held in 2027;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Edmund Nabrotzky, Dr. David Carlson and Jeff Saling, whose terms will expire at the Company’s third annual meeting of stockholders to be held in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and a Nominating and Corporate Governance Committee, each of which has the composition and responsibilities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the Company’s independent auditors to perform audit services and any permissible non-audit services;</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Janice Bryant Howroyd, Walter Skowronski and Dr. David Carlson, with Walter Skowronski serving as the audit committee chair. The Board has affirmatively determined that Janice Bryant Howroyd, Walter Skowronski and Dr. David Carlson,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Jeff Saling, and Dr. David Carlson, with Jeff Saling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Business Ethics for Employees, Executive Officers, and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https://daic.ai/.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may contain forward-looking statements that are based on our current plans, considerations, expectations and determinations regarding future compensation programs. Actual compensation programs that we adopt may differ materially from the prior programs summarized or referred to in this discussion. All descriptions and share counts in this section are provided on a pre-Business Combination basis.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 a Compensation Discussion and Analysis (CD&amp;A) and certain of the other compensation tables required by Item 402 of Regulation S-K in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executives are our Named Executive Officers: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 Nabrotzky,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SEE ID’s named executive officers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10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4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 Nabrotzky</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235,821</w:t>
            </w:r>
          </w:p>
        </w:tc>
      </w:tr>
      <w:tr>
        <w:trPr>
          <w:trHeight w:val="196"/>
        </w:trPr>
        <w:tc>
          <w:tcPr>
            <w:tcW w:w="2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Charles Maddox</w:t>
            </w:r>
          </w:p>
        </w:tc>
        <w:tc>
          <w:tcPr>
            <w:tcW w:w="1120" w:type="dxa"/>
            <w:vAlign w:val="bottom"/>
            <w:gridSpan w:val="2"/>
          </w:tcPr>
          <w:p>
            <w:pPr>
              <w:jc w:val="right"/>
              <w:ind w:right="19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Officer/Chief Operations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11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248,585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had not issued any equity awards as of December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employment agreements of the named executive officers as of December 31, 2024. Each employment agreement of the named executive officers does not have a specific term and provides that the applicable named executive officer is an at-will employee.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Edmund Nabrotzky and SEE ID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Nabrotzky is employed by SEE ID for the position of Chief Executive Officer (CEO), and his duties are those normally associated with his position and such duties as are assigned to him from time to time, subject to the oversight and direction of the Board of Directors of SEE ID or its designee. Mr. Nabrotzky’s annual base salary as of December 31, 2024 was $230,000 and he is entitled to receive a cash bonus from SEE ID as incentive for key performance milestones, to be paid in amounts and at such times as are reasonably determined by the Board of Directors of SEE ID.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Charles Maddox and SEE ID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Maddox is employed by SEE ID for the positions of Chief Operating Officer and Chief Financial Officer, and his duties are those normally associated with his position and such duties as are assigned to him from time to time, subject to the oversight and direction of the CEO or his designee. Mr. Maddox’s annual base salary as of December 31, 2024 was $230,000 and he is eligible to receive an annual cash bonus from SEE ID’s net income, to be paid in amounts and at such times as are reasonably determined by the Board of Directors of SEE ID.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between Vijayan Nambiar and SEE ID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Nambiar is employed by SEE ID for the position of Chief Technology Officer, and his duties are those normally associated with his position and such duties as are assigned to him from time to time, subject to the oversight and direction of the CEO or his designee. Mr. Nambiar’s annual base salary as of December 31, 2024 was $230,000.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the following Change of Control Payments were made to the following executive officers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ID:</w:t>
      </w:r>
    </w:p>
    <w:p>
      <w:pPr>
        <w:spacing w:after="0" w:line="20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Edmund Nabrotzky (Chief Executive Officer): $320,000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Maddox (Chief Financial Officer/Chief Operations Officer): $250,000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Vijayan Nambiar (Chief Technology Officer): $200,000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 Reny (Chief Revenue Officer): $60,000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Change of Control Payments could constitute “parachute payments” under Section 280G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Prior to the Closing, the SEE ID intends to (i) solicit from each person who has a right to Change of Control Payments that would be deemed to constitute “parachute payments” a waiver of such person’s rights to some of such payments (a “</w:t>
      </w:r>
      <w:r>
        <w:rPr>
          <w:rFonts w:ascii="Times New Roman" w:cs="Times New Roman" w:eastAsia="Times New Roman" w:hAnsi="Times New Roman"/>
          <w:sz w:val="18"/>
          <w:szCs w:val="18"/>
          <w:b w:val="1"/>
          <w:bCs w:val="1"/>
          <w:i w:val="1"/>
          <w:iCs w:val="1"/>
          <w:color w:val="auto"/>
        </w:rPr>
        <w:t>Parachute Payment Waiver</w:t>
      </w:r>
      <w:r>
        <w:rPr>
          <w:rFonts w:ascii="Times New Roman" w:cs="Times New Roman" w:eastAsia="Times New Roman" w:hAnsi="Times New Roman"/>
          <w:sz w:val="18"/>
          <w:szCs w:val="18"/>
          <w:color w:val="auto"/>
        </w:rPr>
        <w:t>”) so that all remaining payments applicable to such person shall not be deemed “excess parachute payments” that would not be deductible under Section 280G of the Code (“</w:t>
      </w:r>
      <w:r>
        <w:rPr>
          <w:rFonts w:ascii="Times New Roman" w:cs="Times New Roman" w:eastAsia="Times New Roman" w:hAnsi="Times New Roman"/>
          <w:sz w:val="18"/>
          <w:szCs w:val="18"/>
          <w:b w:val="1"/>
          <w:bCs w:val="1"/>
          <w:i w:val="1"/>
          <w:iCs w:val="1"/>
          <w:color w:val="auto"/>
        </w:rPr>
        <w:t>Waived 280G Payments</w:t>
      </w:r>
      <w:r>
        <w:rPr>
          <w:rFonts w:ascii="Times New Roman" w:cs="Times New Roman" w:eastAsia="Times New Roman" w:hAnsi="Times New Roman"/>
          <w:sz w:val="18"/>
          <w:szCs w:val="18"/>
          <w:color w:val="auto"/>
        </w:rPr>
        <w:t>”) and (ii) submit to the SEE ID stockholders for approval all Waived 280G Payments that may be received by a person who has delivered a Parachute Payment Waiver in accordance with Section 280G(b)(5)(B) of the Code. If the requisite approval is not obtained, the applicable Waived 280G Payment will not be made to the extent that it would cause any amount to constitute a “parachute payment.”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adopt other change of control bonus plans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Sales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Sales Incentive Plan will be adopted to incentivize the business development team’s achievement of certain performance targets, and such plan will be subject to change from time to time. Certain employees may receive cash commissions and/or incentive stock options under the sales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engage a third-party compensation consultant to identify a peer group of similarly situated companies and assist the Company with designing an appropriate compensation structure, targeting a structure and compensation metrics that are within the median range for peer group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of the Combined Company and amended and restated bylaws, each to be effective upon the Closing, will provide that we will indemnify our directors and officers, and may indemnify our employees and other agents, to the fullest extent permitted by Delaware law. Delaware law prohibits the amended and restated certificate of incorporation of the Combined Company from limiting the liability of our directors for the following:</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amended and restated certificate of incorporation of the Combined Company does not eliminate a director’s duty of care and, in appropriate circumstances, equitable remedies, such as injunctive or other forms of non-monetary relief, remain available under Delaware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the amended and restated certificate of incorporation of the Combined Company and amended and restated bylaws, we intend to enter into an indemnification agreement with each member of our board of directors and each of our officers prior to the Closing.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certificate of incorporation of the Combined Company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ind w:right="2720" w:firstLine="2727"/>
        <w:spacing w:after="0" w:line="409"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Registration Rights and Lock Up Agreement</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and Lock-Up Agreement with the Holders pursuant to which, (1) subject to certain exceptions, the Holders may not transfer or make any public announcement of any intention to effect a transfer of any of the equity interests of securities of the Company beneficially owned by the Holder during the period ending 180 days after the Closing Date; and (2) the Holders are entitled to certain “shelf” and “piggyback” registration rights. The Registration Rights and Lock-Up Agreement also provides that the Company will pay certain expenses relating to such registrations and indemnify the stockholder signatories thereto against (or make contributions in respect of) certain liabilities that may arise under the Securities 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Assumption Agreement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Common Stock of the Company as of December 1, 2025 by:</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Common Stock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the Company’s Common Stock beneficially owned by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beneficial ownership of Common Stock is based on 27,636,939 shares of our Common Stock issued and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9"/>
                <w:szCs w:val="29"/>
                <w:b w:val="1"/>
                <w:bCs w:val="1"/>
                <w:i w:val="1"/>
                <w:iCs w:val="1"/>
                <w:color w:val="auto"/>
                <w:vertAlign w:val="superscript"/>
              </w:rPr>
              <w:t>(1)</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600" w:type="dxa"/>
            <w:vAlign w:val="bottom"/>
            <w:gridSpan w:val="2"/>
            <w:vMerge w:val="continue"/>
          </w:tcPr>
          <w:p>
            <w:pPr>
              <w:spacing w:after="0"/>
              <w:rPr>
                <w:sz w:val="22"/>
                <w:szCs w:val="22"/>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3,571,614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2,052,788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Vijayan Nambiar</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Sheldon Paul</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709,717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Janice Bryant Howroyd </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Phyllis Newhouse </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3,377,730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9,711,849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Tremaine Renny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4,967,391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Jeffery Andersen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1,524,924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9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ShoulderUp 2021 Trust </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1,751.180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112,842 shares directly held by SSP Technology Holdings, LLC; (ii) 478,094 shares directly held by The Paul Family Trust ; and (iii) 118,781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1,023,314 shares directly held by Phyllis Newhouse; and (ii) 2,354,416 shares directly held by ShoulderUp 2021 Trust. Ms. Newhouse is the trustee of ShoulderUp 2021 Trust and may be deemed to share voting and investment power over the shares held by ShoulderUp 2021 Trust.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ShoulderUp 2021 Trust. The address of the principal business office of ShoulderUp 2021 Trust is 2291 Loring Oak PL NW Marietta, GA 30064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listed in the table below may from time to time offer and sell any or all of the shares of Common Stock and Warrants set forth below pursuant to this prospectus. When we refer to the “Selling Securityholders” in this prospectus, we refer to the persons listed in the table below, and the pledgees, donees, permitted transferees, assignees, successors and others who later come to hold any of the Selling Securityholders’ interest in the shares of Common Stock after the date of this prospectus other than through a public sale.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w:t>
      </w:r>
    </w:p>
    <w:p>
      <w:pPr>
        <w:spacing w:after="0" w:line="15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Securityholders for whom we are registering shares of Common Stock for resale to the public,</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the Selling Securityholders beneficially owned prior to the offering for resale of the securities under this prospectus,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of Common Stock that may be offered from time to time for resale for the account of the Selling Securityholders pursuant to this prospectus,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to be beneficially owned by the Selling Securityholders after the offering of the resale securities (assuming all of the offered shares of Common Stock are sold by the Selling Securityholders).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registration of the shares of Common Stock does not necessarily mean that the Selling Securityholders will sell all or any of such Common Stock. A Selling Securityholder may sell all, some or none of such securities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K Maddox</w:t>
            </w:r>
            <w:r>
              <w:rPr>
                <w:rFonts w:ascii="Times New Roman" w:cs="Times New Roman" w:eastAsia="Times New Roman" w:hAnsi="Times New Roman"/>
                <w:sz w:val="29"/>
                <w:szCs w:val="29"/>
                <w:color w:val="auto"/>
                <w:vertAlign w:val="superscript"/>
              </w:rPr>
              <w:t>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2,052,788</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2,052,788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Edmund S Nabrotzky</w:t>
            </w:r>
            <w:r>
              <w:rPr>
                <w:rFonts w:ascii="Times New Roman" w:cs="Times New Roman" w:eastAsia="Times New Roman" w:hAnsi="Times New Roman"/>
                <w:sz w:val="29"/>
                <w:szCs w:val="29"/>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3,571,614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SJP Investments, LLC</w:t>
            </w:r>
            <w:r>
              <w:rPr>
                <w:rFonts w:ascii="Times New Roman" w:cs="Times New Roman" w:eastAsia="Times New Roman" w:hAnsi="Times New Roman"/>
                <w:sz w:val="29"/>
                <w:szCs w:val="29"/>
                <w:color w:val="auto"/>
                <w:vertAlign w:val="superscript"/>
              </w:rPr>
              <w:t>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SSP Technology Holdings, LLC</w:t>
            </w:r>
            <w:r>
              <w:rPr>
                <w:rFonts w:ascii="Times New Roman" w:cs="Times New Roman" w:eastAsia="Times New Roman" w:hAnsi="Times New Roman"/>
                <w:sz w:val="29"/>
                <w:szCs w:val="2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112,842</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Less than a percent</w:t>
      </w:r>
    </w:p>
    <w:p>
      <w:pPr>
        <w:spacing w:after="0" w:line="168" w:lineRule="exact"/>
        <w:rPr>
          <w:sz w:val="20"/>
          <w:szCs w:val="20"/>
          <w:color w:val="auto"/>
        </w:rPr>
      </w:pPr>
    </w:p>
    <w:p>
      <w:pPr>
        <w:ind w:left="380" w:hanging="345"/>
        <w:spacing w:after="0"/>
        <w:tabs>
          <w:tab w:leader="none" w:pos="38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141" w:lineRule="exact"/>
        <w:rPr>
          <w:sz w:val="20"/>
          <w:szCs w:val="20"/>
          <w:color w:val="auto"/>
        </w:rPr>
      </w:pPr>
    </w:p>
    <w:p>
      <w:pPr>
        <w:ind w:left="380" w:hanging="345"/>
        <w:spacing w:after="0"/>
        <w:tabs>
          <w:tab w:leader="none" w:pos="38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Maddox is the Chief Financial Officer and Chief Operating Officer of the Company.</w:t>
      </w:r>
    </w:p>
    <w:p>
      <w:pPr>
        <w:spacing w:after="0" w:line="141" w:lineRule="exact"/>
        <w:rPr>
          <w:sz w:val="20"/>
          <w:szCs w:val="20"/>
          <w:color w:val="auto"/>
        </w:rPr>
      </w:pPr>
    </w:p>
    <w:p>
      <w:pPr>
        <w:ind w:left="380" w:hanging="345"/>
        <w:spacing w:after="0"/>
        <w:tabs>
          <w:tab w:leader="none" w:pos="38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Nabrotzky is the Chief Executive Officer and a director of the Company.</w:t>
      </w:r>
    </w:p>
    <w:p>
      <w:pPr>
        <w:spacing w:after="0" w:line="252" w:lineRule="exact"/>
        <w:rPr>
          <w:sz w:val="20"/>
          <w:szCs w:val="20"/>
          <w:color w:val="auto"/>
        </w:rPr>
      </w:pPr>
    </w:p>
    <w:p>
      <w:pPr>
        <w:ind w:left="380" w:right="20" w:hanging="345"/>
        <w:spacing w:after="0" w:line="195" w:lineRule="auto"/>
        <w:tabs>
          <w:tab w:leader="none" w:pos="38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SJP Investments, LLC. Steven Paul is the managing member of SJP Investments, LLC. The address of the principal business office of SJP Investments, LLC is 1000 N Green Valley Pkwy, Ste 440-350, Henderson, NV 89074.</w:t>
      </w:r>
    </w:p>
    <w:p>
      <w:pPr>
        <w:spacing w:after="0" w:line="254" w:lineRule="exact"/>
        <w:rPr>
          <w:sz w:val="20"/>
          <w:szCs w:val="20"/>
          <w:color w:val="auto"/>
        </w:rPr>
      </w:pPr>
    </w:p>
    <w:p>
      <w:pPr>
        <w:jc w:val="both"/>
        <w:ind w:left="380" w:right="40" w:hanging="345"/>
        <w:spacing w:after="0" w:line="210" w:lineRule="auto"/>
        <w:tabs>
          <w:tab w:leader="none" w:pos="38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SSP Technology Holdings, LLC. Sheldon Paul is the managing member of SSP Technology Holdings, LLC. Mr. Paul is a director of the Company. The address of the principal business office of SSP Technology Holdings, LLC is 1000 N Green Valley Pkwy, Ste 440-350, Henderson, NV 89074.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Paul Family Trust dated June 3,</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0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2005</w:t>
            </w:r>
            <w:r>
              <w:rPr>
                <w:rFonts w:ascii="Times New Roman" w:cs="Times New Roman" w:eastAsia="Times New Roman" w:hAnsi="Times New Roman"/>
                <w:sz w:val="29"/>
                <w:szCs w:val="29"/>
                <w:color w:val="auto"/>
                <w:vertAlign w:val="superscript"/>
              </w:rPr>
              <w:t>6</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478,094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478,094</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Sheldon Paul IT</w:t>
            </w:r>
            <w:r>
              <w:rPr>
                <w:rFonts w:ascii="Times New Roman" w:cs="Times New Roman" w:eastAsia="Times New Roman" w:hAnsi="Times New Roman"/>
                <w:sz w:val="29"/>
                <w:szCs w:val="29"/>
                <w:color w:val="auto"/>
                <w:vertAlign w:val="superscript"/>
              </w:rPr>
              <w:t>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118,781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118,781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Tracking Technology Holdings, LLC</w:t>
            </w:r>
            <w:r>
              <w:rPr>
                <w:rFonts w:ascii="Times New Roman" w:cs="Times New Roman" w:eastAsia="Times New Roman" w:hAnsi="Times New Roman"/>
                <w:sz w:val="29"/>
                <w:szCs w:val="29"/>
                <w:color w:val="auto"/>
                <w:vertAlign w:val="superscript"/>
              </w:rPr>
              <w:t>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William Tremaine Reny</w:t>
            </w:r>
            <w:r>
              <w:rPr>
                <w:rFonts w:ascii="Times New Roman" w:cs="Times New Roman" w:eastAsia="Times New Roman" w:hAnsi="Times New Roman"/>
                <w:sz w:val="29"/>
                <w:szCs w:val="29"/>
                <w:color w:val="auto"/>
                <w:vertAlign w:val="superscript"/>
              </w:rPr>
              <w:t>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4,967,391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4,967,391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 Kent Greene Traditional IRA</w:t>
            </w:r>
            <w:r>
              <w:rPr>
                <w:rFonts w:ascii="Times New Roman" w:cs="Times New Roman" w:eastAsia="Times New Roman" w:hAnsi="Times New Roman"/>
                <w:sz w:val="29"/>
                <w:szCs w:val="29"/>
                <w:color w:val="auto"/>
                <w:vertAlign w:val="superscript"/>
              </w:rPr>
              <w:t>10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Adam S Creer &amp; Susanne H Creer JT</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 Boyack &amp; L Boyack TTEE, Boyack</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Family TST, U/A DTD 08/17/2011</w:t>
            </w:r>
            <w:r>
              <w:rPr>
                <w:rFonts w:ascii="Times New Roman" w:cs="Times New Roman" w:eastAsia="Times New Roman" w:hAnsi="Times New Roman"/>
                <w:sz w:val="29"/>
                <w:szCs w:val="29"/>
                <w:color w:val="auto"/>
                <w:vertAlign w:val="superscript"/>
              </w:rPr>
              <w:t>12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Brent Gordon Bergquist</w:t>
            </w:r>
            <w:r>
              <w:rPr>
                <w:rFonts w:ascii="Times New Roman" w:cs="Times New Roman" w:eastAsia="Times New Roman" w:hAnsi="Times New Roman"/>
                <w:sz w:val="29"/>
                <w:szCs w:val="29"/>
                <w:color w:val="auto"/>
                <w:vertAlign w:val="superscript"/>
              </w:rPr>
              <w:t>13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40" w:hanging="345"/>
        <w:spacing w:after="0" w:line="210" w:lineRule="auto"/>
        <w:tabs>
          <w:tab w:leader="none" w:pos="38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Paul Family Trust dated June 3, 2005. Sheldon Paul is the sole trustee of The Paul Family Trust dated June 3, 2005. Mr. Paul is a director of the Company. The address of the principal business office of The Paul Family Trust dated June 3, 2005 is 8671 Golden Canyon, Las Vegas, NV 89129.</w:t>
      </w:r>
    </w:p>
    <w:p>
      <w:pPr>
        <w:spacing w:after="0" w:line="254" w:lineRule="exact"/>
        <w:rPr>
          <w:sz w:val="20"/>
          <w:szCs w:val="20"/>
          <w:color w:val="auto"/>
        </w:rPr>
      </w:pPr>
    </w:p>
    <w:p>
      <w:pPr>
        <w:ind w:left="380" w:right="40" w:hanging="345"/>
        <w:spacing w:after="0" w:line="195" w:lineRule="auto"/>
        <w:tabs>
          <w:tab w:leader="none" w:pos="38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Sheldon Paul IT. Sheldon Paul is the sole trustee of The Sheldon Paul IT. Mr. Paul is a director of the Company. The address of the principal business office of The Sheldon Paul IT is 333 N Rancho Drive, Ste 730, Las Vegas, NV 89106.</w:t>
      </w:r>
    </w:p>
    <w:p>
      <w:pPr>
        <w:spacing w:after="0" w:line="254" w:lineRule="exact"/>
        <w:rPr>
          <w:sz w:val="20"/>
          <w:szCs w:val="20"/>
          <w:color w:val="auto"/>
        </w:rPr>
      </w:pPr>
    </w:p>
    <w:p>
      <w:pPr>
        <w:ind w:left="380" w:right="40" w:hanging="345"/>
        <w:spacing w:after="0" w:line="195" w:lineRule="auto"/>
        <w:tabs>
          <w:tab w:leader="none" w:pos="38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Tracking Technology Holdings, LLC, which includes 1,317,750 issued in a private placement offering on June 18, 2025. The address of the principal business office of Tracking Technology Holdings is 199 N. Arroyo Grande Blvd, Ste 150, Henderson, NV 89074.</w:t>
      </w:r>
    </w:p>
    <w:p>
      <w:pPr>
        <w:spacing w:after="0" w:line="254" w:lineRule="exact"/>
        <w:rPr>
          <w:sz w:val="20"/>
          <w:szCs w:val="20"/>
          <w:color w:val="auto"/>
        </w:rPr>
      </w:pPr>
    </w:p>
    <w:p>
      <w:pPr>
        <w:ind w:left="380" w:right="20" w:hanging="345"/>
        <w:spacing w:after="0" w:line="195" w:lineRule="auto"/>
        <w:tabs>
          <w:tab w:leader="none" w:pos="38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Tremaine Reny. Mr. Renny was the Founder and CEO of SEE ID prior to the closing of the Business Combination. The address of the principal business office of William Tremaine Reny is 9 Hawk Ridge Drive, Las Vegas, NV 89135.</w:t>
      </w:r>
    </w:p>
    <w:p>
      <w:pPr>
        <w:spacing w:after="0" w:line="254" w:lineRule="exact"/>
        <w:rPr>
          <w:sz w:val="20"/>
          <w:szCs w:val="20"/>
          <w:color w:val="auto"/>
        </w:rPr>
      </w:pPr>
    </w:p>
    <w:p>
      <w:pPr>
        <w:ind w:left="380" w:right="2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 Kent Greene Traditional IRA. The address of the principal business office of A. Kent Green Traditional IRA is 40 Daisy Meadow Terrace, Henderson, NV 89074.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S. Creer &amp; Susanne H. Creer JT TEN. The address of the principal business office of Adam S. Creer &amp; Susanne H. Creer JT TEN is 8028 South Big Spring Drive, west Jordan, UT 84081.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 Boyack &amp; L. Boyack TTEE, Boyack Family TST, U/A DTD 08/17/2011. The address of the principal business office of N. Boyack &amp; L. Boyack TTEE, Boyack Family TST, U/A DTD 08/17/2011 is 4325 Jerdon Court,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Gordon Bergquist. The address of the principal business office of Brent Gordon Bergquist is 2056 Sapphire Valley Avenue, Henderson, NV 89074.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Brian Freeman</w:t>
            </w:r>
            <w:r>
              <w:rPr>
                <w:rFonts w:ascii="Times New Roman" w:cs="Times New Roman" w:eastAsia="Times New Roman" w:hAnsi="Times New Roman"/>
                <w:sz w:val="29"/>
                <w:szCs w:val="29"/>
                <w:color w:val="auto"/>
                <w:vertAlign w:val="superscript"/>
              </w:rPr>
              <w:t>14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Charlene Denise Hanna</w:t>
            </w:r>
            <w:r>
              <w:rPr>
                <w:rFonts w:ascii="Times New Roman" w:cs="Times New Roman" w:eastAsia="Times New Roman" w:hAnsi="Times New Roman"/>
                <w:sz w:val="29"/>
                <w:szCs w:val="29"/>
                <w:color w:val="auto"/>
                <w:vertAlign w:val="superscript"/>
              </w:rPr>
              <w:t>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Neilson Kenworthy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Julie Edwards Kenworthy</w:t>
            </w:r>
            <w:r>
              <w:rPr>
                <w:rFonts w:ascii="Times New Roman" w:cs="Times New Roman" w:eastAsia="Times New Roman" w:hAnsi="Times New Roman"/>
                <w:sz w:val="29"/>
                <w:szCs w:val="29"/>
                <w:color w:val="auto"/>
                <w:vertAlign w:val="superscript"/>
              </w:rPr>
              <w:t>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Conner Paul and Sage Paul</w:t>
            </w:r>
            <w:r>
              <w:rPr>
                <w:rFonts w:ascii="Times New Roman" w:cs="Times New Roman" w:eastAsia="Times New Roman" w:hAnsi="Times New Roman"/>
                <w:sz w:val="29"/>
                <w:szCs w:val="29"/>
                <w:color w:val="auto"/>
                <w:vertAlign w:val="superscript"/>
              </w:rPr>
              <w:t>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13,250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Darcy Alan Stewart &amp; Colleen Stewart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Douglas L Glenn</w:t>
            </w:r>
            <w:r>
              <w:rPr>
                <w:rFonts w:ascii="Times New Roman" w:cs="Times New Roman" w:eastAsia="Times New Roman" w:hAnsi="Times New Roman"/>
                <w:sz w:val="29"/>
                <w:szCs w:val="29"/>
                <w:color w:val="auto"/>
                <w:vertAlign w:val="superscript"/>
              </w:rPr>
              <w:t>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Kazuyoshi Hayashi &amp; Diana J Hayashi,</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TTEES, U/A DTD 08/03/2023</w:t>
            </w:r>
          </w:p>
        </w:tc>
        <w:tc>
          <w:tcPr>
            <w:tcW w:w="10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Hayashi Revocable Trust</w:t>
            </w:r>
            <w:r>
              <w:rPr>
                <w:rFonts w:ascii="Times New Roman" w:cs="Times New Roman" w:eastAsia="Times New Roman" w:hAnsi="Times New Roman"/>
                <w:sz w:val="29"/>
                <w:szCs w:val="29"/>
                <w:color w:val="auto"/>
                <w:vertAlign w:val="superscript"/>
              </w:rPr>
              <w:t>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Reynolds</w:t>
            </w:r>
            <w:r>
              <w:rPr>
                <w:rFonts w:ascii="Times New Roman" w:cs="Times New Roman" w:eastAsia="Times New Roman" w:hAnsi="Times New Roman"/>
                <w:sz w:val="29"/>
                <w:szCs w:val="29"/>
                <w:color w:val="auto"/>
                <w:vertAlign w:val="superscript"/>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Freeman. The address of the principal business office of Brian Freeman is 8929 Monte Oro Drive,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Charlene Denise Hanna. The address of the principal business office of Charlene Denise Hanna is 8012 Funny Cide Street,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Neilson Kenworthy and Julie Edwards Kenworthy. The address of the principal business office of Christopher Neilson Kenworthy and Julie Edwards Kenworthy is 13438 South Corner Bridge Lane, Draper, UT 84020.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Conner Paul and Sage Paul. The address of the principal business office of Conner Paul and Sage Paul is 1800 Remembrance Hill Street, Las Vegas, NV 89144.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Darcy Alan Stewart &amp; Colleen Stewart JT Ten. The address of the principal business office of Darcy Alan Stewart &amp; Colleen Stewart JT Ten is 5048 North Long Sky Drive, St. George, UT 84770.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Douglas L. Glenn. The address of the principal business office of Douglas L. Glenn is 5818 Toofer Winds Court, Las Vegas, NV 89131.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Kazuyoshi Hayashi &amp; Diana J. Hayashi, TTEES U/A DTD 08/03/2023 Hayashi Revocable Trust. The address of the principal business office of Kazuyoshi Hayashi &amp; Diana J. Hayashi, TTEES U/A DTD 08/03/2023 Hayashi Revocable Trust is 943 South Signal Hill, Fruit Heights, UT 84037.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Reynolds. The address of the principal business office of Jacob Reynolds is 8544 Verde Park Circle, Las Vegas, NV 89129.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Stewart and Melanie Stewart</w:t>
            </w:r>
            <w:r>
              <w:rPr>
                <w:rFonts w:ascii="Times New Roman" w:cs="Times New Roman" w:eastAsia="Times New Roman" w:hAnsi="Times New Roman"/>
                <w:sz w:val="29"/>
                <w:szCs w:val="29"/>
                <w:color w:val="auto"/>
                <w:vertAlign w:val="superscript"/>
              </w:rPr>
              <w:t>22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Kathryn J Skaggs</w:t>
            </w:r>
            <w:r>
              <w:rPr>
                <w:rFonts w:ascii="Times New Roman" w:cs="Times New Roman" w:eastAsia="Times New Roman" w:hAnsi="Times New Roman"/>
                <w:sz w:val="29"/>
                <w:szCs w:val="29"/>
                <w:color w:val="auto"/>
                <w:vertAlign w:val="superscript"/>
              </w:rPr>
              <w:t>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Kelly Robb Thomas</w:t>
            </w:r>
            <w:r>
              <w:rPr>
                <w:rFonts w:ascii="Times New Roman" w:cs="Times New Roman" w:eastAsia="Times New Roman" w:hAnsi="Times New Roman"/>
                <w:sz w:val="29"/>
                <w:szCs w:val="29"/>
                <w:color w:val="auto"/>
                <w:vertAlign w:val="superscript"/>
              </w:rPr>
              <w:t>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Mahlon B Edwards</w:t>
            </w:r>
            <w:r>
              <w:rPr>
                <w:rFonts w:ascii="Times New Roman" w:cs="Times New Roman" w:eastAsia="Times New Roman" w:hAnsi="Times New Roman"/>
                <w:sz w:val="29"/>
                <w:szCs w:val="29"/>
                <w:color w:val="auto"/>
                <w:vertAlign w:val="superscript"/>
              </w:rPr>
              <w:t>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R Bawden &amp; Trisha L Bawden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Com Pro</w:t>
            </w:r>
            <w:r>
              <w:rPr>
                <w:rFonts w:ascii="Times New Roman" w:cs="Times New Roman" w:eastAsia="Times New Roman" w:hAnsi="Times New Roman"/>
                <w:sz w:val="29"/>
                <w:szCs w:val="29"/>
                <w:color w:val="auto"/>
                <w:vertAlign w:val="superscript"/>
              </w:rPr>
              <w:t>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Matthew K Nielsen and Brandi Nielsen</w:t>
            </w:r>
            <w:r>
              <w:rPr>
                <w:rFonts w:ascii="Times New Roman" w:cs="Times New Roman" w:eastAsia="Times New Roman" w:hAnsi="Times New Roman"/>
                <w:sz w:val="29"/>
                <w:szCs w:val="29"/>
                <w:color w:val="auto"/>
                <w:vertAlign w:val="superscript"/>
              </w:rPr>
              <w:t>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Michael and Meagan Shaw Brokerage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Account</w:t>
            </w:r>
            <w:r>
              <w:rPr>
                <w:rFonts w:ascii="Times New Roman" w:cs="Times New Roman" w:eastAsia="Times New Roman" w:hAnsi="Times New Roman"/>
                <w:sz w:val="29"/>
                <w:szCs w:val="29"/>
                <w:color w:val="auto"/>
                <w:vertAlign w:val="superscript"/>
              </w:rPr>
              <w:t>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Peter Winston Debry</w:t>
            </w:r>
            <w:r>
              <w:rPr>
                <w:rFonts w:ascii="Times New Roman" w:cs="Times New Roman" w:eastAsia="Times New Roman" w:hAnsi="Times New Roman"/>
                <w:sz w:val="29"/>
                <w:szCs w:val="29"/>
                <w:color w:val="auto"/>
                <w:vertAlign w:val="superscript"/>
              </w:rPr>
              <w:t>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Freeman</w:t>
            </w:r>
            <w:r>
              <w:rPr>
                <w:rFonts w:ascii="Times New Roman" w:cs="Times New Roman" w:eastAsia="Times New Roman" w:hAnsi="Times New Roman"/>
                <w:sz w:val="29"/>
                <w:szCs w:val="29"/>
                <w:color w:val="auto"/>
                <w:vertAlign w:val="superscript"/>
              </w:rPr>
              <w:t>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Revocable Trust</w:t>
            </w:r>
            <w:r>
              <w:rPr>
                <w:rFonts w:ascii="Times New Roman" w:cs="Times New Roman" w:eastAsia="Times New Roman" w:hAnsi="Times New Roman"/>
                <w:sz w:val="29"/>
                <w:szCs w:val="29"/>
                <w:color w:val="auto"/>
                <w:vertAlign w:val="superscript"/>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Randall Scott Thomas</w:t>
            </w:r>
            <w:r>
              <w:rPr>
                <w:rFonts w:ascii="Times New Roman" w:cs="Times New Roman" w:eastAsia="Times New Roman" w:hAnsi="Times New Roman"/>
                <w:sz w:val="29"/>
                <w:szCs w:val="29"/>
                <w:color w:val="auto"/>
                <w:vertAlign w:val="superscript"/>
              </w:rPr>
              <w:t>32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Allen</w:t>
            </w:r>
            <w:r>
              <w:rPr>
                <w:rFonts w:ascii="Times New Roman" w:cs="Times New Roman" w:eastAsia="Times New Roman" w:hAnsi="Times New Roman"/>
                <w:sz w:val="29"/>
                <w:szCs w:val="29"/>
                <w:color w:val="auto"/>
                <w:vertAlign w:val="superscript"/>
              </w:rPr>
              <w:t>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Jacob Stewart and Melanie Stewart. The address of the principal business office of Jacob Stewart and Melanie Stewart is 7866 Morning Gallop Court,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Kathryn J. Skaggs. The address of the principal business office of Kathryn J. Skaggs is 40502 Corte De Opalo, Murrieta, CA 92562.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Kelly Robb Thomas. The address of the principal business office of Kelly Robb Thomas is 2000 Silverton Drive, Henderson, NV 89074.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Mahlon B. Edwards. The address of the principal business office of Mahlon B. Edwards is 1056 Oilipuu Place, Honolulu, HI 96825.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R. Bawden &amp; Trisha L. Bawden Com Pro. The address of the principal business office of Marc R. Bawden &amp; Trisha L. Bawden Com Pro is 5835 Angelic Dreams Court, Las Vegas, NV 89149.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K. Nielsen and Brandi Nielsen. The address of the principal business office of Matthew K. Nielsen and Brandi Nielsen is 1108 Emerald Tint Court, Las Vegas, NV 89144.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and Meagan Shaw Brokerage Account. The address of the principal business office of Michael and Meagan Shaw Brokerage Account is 7361 Dazzle Point Street, Las Vegas, NV 89084.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Peter Winston Debry. The address of the principal business office of Peter Winston Debry is 10025 Robin Oaks Drive, Las Vegas, NV 89117.</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Freeman. The address of the principal business office of Paul Freeman is 7900 Orchard Port Avenue,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Revocable Trust. The address of the principal business office of Paul Revocable Trust is 189 South 1210 West, St. George, UT 84770.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Randall Scott Thomas. The address of the principal business office of Randall Scott Thomas is 1655 Shootout Place, Henderson, NV 89002.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Allen. The address of the principal business office of Ryan Allen is 1474 East Toliman Way, Washington, UT 84780.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Samuel Lee Richardson</w:t>
            </w:r>
            <w:r>
              <w:rPr>
                <w:rFonts w:ascii="Times New Roman" w:cs="Times New Roman" w:eastAsia="Times New Roman" w:hAnsi="Times New Roman"/>
                <w:sz w:val="29"/>
                <w:szCs w:val="29"/>
                <w:color w:val="auto"/>
                <w:vertAlign w:val="superscript"/>
              </w:rPr>
              <w:t>34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Young Irrevocable TR Scott V Young</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TTEE Christine Young TTEE U/A</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DTD 6/10/02</w:t>
            </w:r>
            <w:r>
              <w:rPr>
                <w:rFonts w:ascii="Times New Roman" w:cs="Times New Roman" w:eastAsia="Times New Roman" w:hAnsi="Times New Roman"/>
                <w:sz w:val="29"/>
                <w:szCs w:val="29"/>
                <w:color w:val="auto"/>
                <w:vertAlign w:val="superscript"/>
              </w:rPr>
              <w:t>35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Steven and Jennette Paul Rev Living</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36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Susan Polley &amp; James Polley</w:t>
            </w:r>
            <w:r>
              <w:rPr>
                <w:rFonts w:ascii="Times New Roman" w:cs="Times New Roman" w:eastAsia="Times New Roman" w:hAnsi="Times New Roman"/>
                <w:sz w:val="29"/>
                <w:szCs w:val="29"/>
                <w:color w:val="auto"/>
                <w:vertAlign w:val="superscript"/>
              </w:rPr>
              <w:t>37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1997 Edwards Trust Trustee Keith 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Edwards</w:t>
            </w:r>
            <w:r>
              <w:rPr>
                <w:rFonts w:ascii="Times New Roman" w:cs="Times New Roman" w:eastAsia="Times New Roman" w:hAnsi="Times New Roman"/>
                <w:sz w:val="29"/>
                <w:szCs w:val="29"/>
                <w:color w:val="auto"/>
                <w:vertAlign w:val="superscript"/>
              </w:rPr>
              <w:t>38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GSKHO, LLC</w:t>
            </w:r>
            <w:r>
              <w:rPr>
                <w:rFonts w:ascii="Times New Roman" w:cs="Times New Roman" w:eastAsia="Times New Roman" w:hAnsi="Times New Roman"/>
                <w:sz w:val="29"/>
                <w:szCs w:val="29"/>
                <w:color w:val="auto"/>
                <w:vertAlign w:val="superscript"/>
              </w:rPr>
              <w:t>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and Amy Walker</w:t>
            </w:r>
            <w:r>
              <w:rPr>
                <w:rFonts w:ascii="Times New Roman" w:cs="Times New Roman" w:eastAsia="Times New Roman" w:hAnsi="Times New Roman"/>
                <w:sz w:val="29"/>
                <w:szCs w:val="29"/>
                <w:color w:val="auto"/>
                <w:vertAlign w:val="superscript"/>
              </w:rPr>
              <w:t>40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A Hammack</w:t>
            </w:r>
            <w:r>
              <w:rPr>
                <w:rFonts w:ascii="Times New Roman" w:cs="Times New Roman" w:eastAsia="Times New Roman" w:hAnsi="Times New Roman"/>
                <w:sz w:val="29"/>
                <w:szCs w:val="29"/>
                <w:color w:val="auto"/>
                <w:vertAlign w:val="superscript"/>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Dudley &amp; Loryn Dudley</w:t>
            </w:r>
            <w:r>
              <w:rPr>
                <w:rFonts w:ascii="Times New Roman" w:cs="Times New Roman" w:eastAsia="Times New Roman" w:hAnsi="Times New Roman"/>
                <w:sz w:val="29"/>
                <w:szCs w:val="29"/>
                <w:color w:val="auto"/>
                <w:vertAlign w:val="superscript"/>
              </w:rPr>
              <w:t>42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Ryan Spencer Stephens</w:t>
            </w:r>
            <w:r>
              <w:rPr>
                <w:rFonts w:ascii="Times New Roman" w:cs="Times New Roman" w:eastAsia="Times New Roman" w:hAnsi="Times New Roman"/>
                <w:sz w:val="29"/>
                <w:szCs w:val="29"/>
                <w:color w:val="auto"/>
                <w:vertAlign w:val="superscript"/>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Raymond Mark Turner &amp; Virginia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Turner TTEES The Turner Family</w:t>
            </w:r>
          </w:p>
        </w:tc>
        <w:tc>
          <w:tcPr>
            <w:tcW w:w="10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 DTD 10/21/2016</w:t>
            </w:r>
            <w:r>
              <w:rPr>
                <w:rFonts w:ascii="Times New Roman" w:cs="Times New Roman" w:eastAsia="Times New Roman" w:hAnsi="Times New Roman"/>
                <w:sz w:val="29"/>
                <w:szCs w:val="29"/>
                <w:color w:val="auto"/>
                <w:vertAlign w:val="superscript"/>
              </w:rPr>
              <w:t>44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Lee Richardson. The address of the principal business office of Samuel Lee Richardson is 8720 Melissa Meadows Street, Las Vegas, NV 89131.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Young Irrevocable TR Scott V Young TTEE Christine Young TTEE U/A DTD 6/10/02. The address of the principal business office of Young Irrevocable TR Scott V Young TTEE Christine Young TTEE U/A DTD 6/10/02 is 30 Sankaty Circle,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Steven and Jennette Paul Rev Living Trust. The address of the principal business office of The Steven and Jennette Paul Rev Living Trust is 31871 Paseo Monte Vista, San Juan Capistrano, CA 92675.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Susan Polley &amp; James Polley. The address of the principal business office of Susan Polley &amp; James Polley is 8647 Golden Canyon Road,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1997 Edwards Trust Trustee Keith R. Edwards. The address of the principal business office of 1997 Edwards Trust Trustee Keith R. Edwards is 1512 Homecoming Ave., South Jordan, UT 84095.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GSKHO, LLC. The address of the principal business office of GSKHO, LLC is 1165 Grove Creek Dr., Pleasant Grove, UT 84062.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and Amy Walker. The address of the principal business office of James and Amy Walker is P.O. Box 1290, Logandale, NV 89021.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A. Hammack. The address of the principal business office of Jeffrey A. Hammack is 7731 Mojave Yucca Court, Las Vegas, NV 89131.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Dudley &amp; Loryn Dudley. The address of the principal business office of Ryan Dudley &amp; Loryn Dudley is 2649 S. Fairmont Estates Dr., Greenacres, Was 99016.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Spencer Stephens. The address of the principal business office of Ryan Spencer Stephens is 3128 Swiss Drive, Santa Clara, UT 84765.</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Raymond Mark Turner &amp; Virginia Turner TTEES The Turner Family Trust DTD 10/21/2016. The address of the principal business office of Raymond Mark Turner &amp; Virginia Turner TTEES The Turner Family Trust DTD 10/21/2016 is 923 Konga Drive, Las Vegas, NV 89123.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41"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Johnathan Jerotz &amp; Sarah Jerotz JT</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45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121,250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Kory Coleman</w:t>
            </w:r>
            <w:r>
              <w:rPr>
                <w:rFonts w:ascii="Times New Roman" w:cs="Times New Roman" w:eastAsia="Times New Roman" w:hAnsi="Times New Roman"/>
                <w:sz w:val="29"/>
                <w:szCs w:val="29"/>
                <w:color w:val="auto"/>
                <w:vertAlign w:val="superscript"/>
              </w:rPr>
              <w:t>46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97,000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Phillips Shackelford Jr.</w:t>
            </w:r>
            <w:r>
              <w:rPr>
                <w:rFonts w:ascii="Times New Roman" w:cs="Times New Roman" w:eastAsia="Times New Roman" w:hAnsi="Times New Roman"/>
                <w:sz w:val="29"/>
                <w:szCs w:val="29"/>
                <w:color w:val="auto"/>
                <w:vertAlign w:val="superscript"/>
              </w:rPr>
              <w:t>47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Aaron Nemec</w:t>
            </w:r>
            <w:r>
              <w:rPr>
                <w:rFonts w:ascii="Times New Roman" w:cs="Times New Roman" w:eastAsia="Times New Roman" w:hAnsi="Times New Roman"/>
                <w:sz w:val="29"/>
                <w:szCs w:val="29"/>
                <w:color w:val="auto"/>
                <w:vertAlign w:val="superscript"/>
              </w:rPr>
              <w:t>48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72,750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Just</w:t>
            </w:r>
            <w:r>
              <w:rPr>
                <w:rFonts w:ascii="Times New Roman" w:cs="Times New Roman" w:eastAsia="Times New Roman" w:hAnsi="Times New Roman"/>
                <w:sz w:val="29"/>
                <w:szCs w:val="29"/>
                <w:color w:val="auto"/>
                <w:vertAlign w:val="superscript"/>
              </w:rPr>
              <w:t>49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S. Rodgers</w:t>
            </w:r>
            <w:r>
              <w:rPr>
                <w:rFonts w:ascii="Times New Roman" w:cs="Times New Roman" w:eastAsia="Times New Roman" w:hAnsi="Times New Roman"/>
                <w:sz w:val="29"/>
                <w:szCs w:val="29"/>
                <w:color w:val="auto"/>
                <w:vertAlign w:val="superscript"/>
              </w:rPr>
              <w:t>50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48,500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Christopher John Winspear &amp; Gina</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Gilbert Winspear JT</w:t>
            </w:r>
            <w:r>
              <w:rPr>
                <w:rFonts w:ascii="Times New Roman" w:cs="Times New Roman" w:eastAsia="Times New Roman" w:hAnsi="Times New Roman"/>
                <w:sz w:val="29"/>
                <w:szCs w:val="29"/>
                <w:color w:val="auto"/>
                <w:vertAlign w:val="superscript"/>
              </w:rPr>
              <w:t>51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Trent Stimpson</w:t>
            </w:r>
            <w:r>
              <w:rPr>
                <w:rFonts w:ascii="Times New Roman" w:cs="Times New Roman" w:eastAsia="Times New Roman" w:hAnsi="Times New Roman"/>
                <w:sz w:val="29"/>
                <w:szCs w:val="29"/>
                <w:color w:val="auto"/>
                <w:vertAlign w:val="superscript"/>
              </w:rPr>
              <w:t>52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Jacob Porter</w:t>
            </w:r>
            <w:r>
              <w:rPr>
                <w:rFonts w:ascii="Times New Roman" w:cs="Times New Roman" w:eastAsia="Times New Roman" w:hAnsi="Times New Roman"/>
                <w:sz w:val="29"/>
                <w:szCs w:val="29"/>
                <w:color w:val="auto"/>
                <w:vertAlign w:val="superscript"/>
              </w:rPr>
              <w:t>53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Christy Nichol Nemec</w:t>
            </w:r>
            <w:r>
              <w:rPr>
                <w:rFonts w:ascii="Times New Roman" w:cs="Times New Roman" w:eastAsia="Times New Roman" w:hAnsi="Times New Roman"/>
                <w:sz w:val="29"/>
                <w:szCs w:val="29"/>
                <w:color w:val="auto"/>
                <w:vertAlign w:val="superscript"/>
              </w:rPr>
              <w:t>54</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Bryson T. Smith</w:t>
            </w:r>
            <w:r>
              <w:rPr>
                <w:rFonts w:ascii="Times New Roman" w:cs="Times New Roman" w:eastAsia="Times New Roman" w:hAnsi="Times New Roman"/>
                <w:sz w:val="29"/>
                <w:szCs w:val="29"/>
                <w:color w:val="auto"/>
                <w:vertAlign w:val="superscript"/>
              </w:rPr>
              <w:t>55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30,312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Davies Brothers, LLC</w:t>
            </w:r>
            <w:r>
              <w:rPr>
                <w:rFonts w:ascii="Times New Roman" w:cs="Times New Roman" w:eastAsia="Times New Roman" w:hAnsi="Times New Roman"/>
                <w:sz w:val="29"/>
                <w:szCs w:val="29"/>
                <w:color w:val="auto"/>
                <w:vertAlign w:val="superscript"/>
              </w:rPr>
              <w:t>56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Johnathan Jerotz &amp; Sarah Jerotz JT Ten. The address of the principal business office of Johnathan Jerotz &amp; Sarah Jerotz JT Ten is 3304 Lone Hill Ln, Encinitas, CA 92024.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Kory Coleman. The address of the principal business office of Kory Coleman is 529 E. Oak Hollow Ct., Bountiful, UT 84010.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Phillips Shackelford Jr. The address of the principal business office of John Phillips Shackelford Jr. is 2100 S. Ocean Dr., Apt. 17K, Fort Lauderdale, FL 33316.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Aaron Nemec. The address of the principal business office of Aaron Nemec is 1783 E.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Just. The address of the principal business office of Steven Just is 3179 S. Cobble Way,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S. Rodgers. The address of the principal business office of Michael S. Rodgers is P.O. Box 891, Meridian, ID 83680.</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John Winspear &amp; Gina Gilbert Winspear JT. The address of the principal business office of Christopher John Winspear &amp; Gina Gilbert Winspear JT is 4776 Barcelona Ridge Ct., Las Vegas, NV 89129.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Trent Simpson. The address of the principal business office of Trent Simpson is 6667 Trinity Creek Ln,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Jacob Porter. The address of the principal business office of James Jacob Porter, 5 The Ests, Dorado, PR 00646.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Christy Nichol Nemec. The address of the principal business office of Christy Nichol Nemec is 1783 E. Lone Shore Ln,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Bryson T. Smith. The address of the principal business office of Bryson T. Smith is 4622 N. Arches Ave.,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Davies Brothers, LLC. The address of the principal business office of Davies Brothers, LLC is 2305 W. Boulder Bar Dr.,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Logan Properties, LLC</w:t>
            </w:r>
            <w:r>
              <w:rPr>
                <w:rFonts w:ascii="Times New Roman" w:cs="Times New Roman" w:eastAsia="Times New Roman" w:hAnsi="Times New Roman"/>
                <w:sz w:val="29"/>
                <w:szCs w:val="29"/>
                <w:color w:val="auto"/>
                <w:vertAlign w:val="superscript"/>
              </w:rPr>
              <w:t>57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Jewell James</w:t>
            </w:r>
            <w:r>
              <w:rPr>
                <w:rFonts w:ascii="Times New Roman" w:cs="Times New Roman" w:eastAsia="Times New Roman" w:hAnsi="Times New Roman"/>
                <w:sz w:val="29"/>
                <w:szCs w:val="29"/>
                <w:color w:val="auto"/>
                <w:vertAlign w:val="superscript"/>
              </w:rPr>
              <w:t>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PRK Investments, LLC</w:t>
            </w:r>
            <w:r>
              <w:rPr>
                <w:rFonts w:ascii="Times New Roman" w:cs="Times New Roman" w:eastAsia="Times New Roman" w:hAnsi="Times New Roman"/>
                <w:sz w:val="29"/>
                <w:szCs w:val="29"/>
                <w:color w:val="auto"/>
                <w:vertAlign w:val="superscript"/>
              </w:rPr>
              <w:t>59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20,591</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 Shockley</w:t>
            </w:r>
            <w:r>
              <w:rPr>
                <w:rFonts w:ascii="Times New Roman" w:cs="Times New Roman" w:eastAsia="Times New Roman" w:hAnsi="Times New Roman"/>
                <w:sz w:val="29"/>
                <w:szCs w:val="29"/>
                <w:color w:val="auto"/>
                <w:vertAlign w:val="superscript"/>
              </w:rPr>
              <w:t>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Ty Snyder</w:t>
            </w:r>
            <w:r>
              <w:rPr>
                <w:rFonts w:ascii="Times New Roman" w:cs="Times New Roman" w:eastAsia="Times New Roman" w:hAnsi="Times New Roman"/>
                <w:sz w:val="29"/>
                <w:szCs w:val="29"/>
                <w:color w:val="auto"/>
                <w:vertAlign w:val="superscript"/>
              </w:rPr>
              <w:t>61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Ray Olson</w:t>
            </w:r>
            <w:r>
              <w:rPr>
                <w:rFonts w:ascii="Times New Roman" w:cs="Times New Roman" w:eastAsia="Times New Roman" w:hAnsi="Times New Roman"/>
                <w:sz w:val="29"/>
                <w:szCs w:val="29"/>
                <w:color w:val="auto"/>
                <w:vertAlign w:val="superscript"/>
              </w:rPr>
              <w:t>62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Majerus</w:t>
            </w:r>
            <w:r>
              <w:rPr>
                <w:rFonts w:ascii="Times New Roman" w:cs="Times New Roman" w:eastAsia="Times New Roman" w:hAnsi="Times New Roman"/>
                <w:sz w:val="29"/>
                <w:szCs w:val="29"/>
                <w:color w:val="auto"/>
                <w:vertAlign w:val="superscript"/>
              </w:rPr>
              <w:t>63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Bradley Chatlin</w:t>
            </w:r>
            <w:r>
              <w:rPr>
                <w:rFonts w:ascii="Times New Roman" w:cs="Times New Roman" w:eastAsia="Times New Roman" w:hAnsi="Times New Roman"/>
                <w:sz w:val="29"/>
                <w:szCs w:val="29"/>
                <w:color w:val="auto"/>
                <w:vertAlign w:val="superscript"/>
              </w:rPr>
              <w:t>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Darin Ball</w:t>
            </w:r>
            <w:r>
              <w:rPr>
                <w:rFonts w:ascii="Times New Roman" w:cs="Times New Roman" w:eastAsia="Times New Roman" w:hAnsi="Times New Roman"/>
                <w:sz w:val="29"/>
                <w:szCs w:val="29"/>
                <w:color w:val="auto"/>
                <w:vertAlign w:val="superscript"/>
              </w:rPr>
              <w:t>65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Ibos</w:t>
            </w:r>
            <w:r>
              <w:rPr>
                <w:rFonts w:ascii="Times New Roman" w:cs="Times New Roman" w:eastAsia="Times New Roman" w:hAnsi="Times New Roman"/>
                <w:sz w:val="29"/>
                <w:szCs w:val="29"/>
                <w:color w:val="auto"/>
                <w:vertAlign w:val="superscript"/>
              </w:rPr>
              <w:t>66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Wendy Foster</w:t>
            </w:r>
            <w:r>
              <w:rPr>
                <w:rFonts w:ascii="Times New Roman" w:cs="Times New Roman" w:eastAsia="Times New Roman" w:hAnsi="Times New Roman"/>
                <w:sz w:val="29"/>
                <w:szCs w:val="29"/>
                <w:color w:val="auto"/>
                <w:vertAlign w:val="superscript"/>
              </w:rPr>
              <w:t>67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Logan Properties, LLC. John R. Logan is the sole member of Logan Properties, LLC. The address of the principal business office of Logan Properties is 1105 W. Jackson, Tupelo, MS 38804.</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Jewell James. The address of the principal business office of Jewell James is P.O. Box 2727, Pearland, TX 77588.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PRK Investments, LLC. Richard Pinol and David Kracke are the managing members of PRK Investments, LLC. The address of the principal business office of PRK Investments is 1487 S. David Lane,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Shockley. The address of the principal business office of Rob Shockley is 1313 S. Watermark Ave.,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Ty Snyder. The address of the principal business office of Ty Snyder is 2855 W. Torana Dr., Meridian, ID 83646.</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Ray Olson. The address of the principal business office of James Ray Olson is 5660 E. Franklin Rd., Suite 321, Nampa, ID 83687.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Majerus. The address of the principal business office of Steve Majerus is 7737 Camino Sin Puente, Rancho Santa Fe, CA 92607.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Bradley Chatlin. The address of the principal business office of Bradley Chatlin is 2387 N. Stonecrest Place,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Darin Ball. The address of the principal business office of Darin Ball is 2605 S. Arthur St., Spokane, WA 99203.</w:t>
      </w:r>
    </w:p>
    <w:p>
      <w:pPr>
        <w:spacing w:after="0" w:line="163"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Ibos. The address of the principal business office of Jeffrey Ibos is P.O. Box 2084, Covington, LA 70434.</w:t>
      </w:r>
    </w:p>
    <w:p>
      <w:pPr>
        <w:spacing w:after="0" w:line="252"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Foster. The address of the principal business office of Wendy Foster is 13403 Stockton Creek Rd., Preston, ID 83263.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Price and Judy Price JT Ten</w:t>
            </w:r>
            <w:r>
              <w:rPr>
                <w:rFonts w:ascii="Times New Roman" w:cs="Times New Roman" w:eastAsia="Times New Roman" w:hAnsi="Times New Roman"/>
                <w:sz w:val="29"/>
                <w:szCs w:val="29"/>
                <w:color w:val="auto"/>
                <w:vertAlign w:val="superscript"/>
              </w:rPr>
              <w:t>68</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23,401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Steven Lloyd</w:t>
            </w:r>
            <w:r>
              <w:rPr>
                <w:rFonts w:ascii="Times New Roman" w:cs="Times New Roman" w:eastAsia="Times New Roman" w:hAnsi="Times New Roman"/>
                <w:sz w:val="29"/>
                <w:szCs w:val="29"/>
                <w:color w:val="auto"/>
                <w:vertAlign w:val="superscript"/>
              </w:rPr>
              <w:t>69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Kristopher Townsend &amp; Amanda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Townsend JT Ten</w:t>
            </w:r>
            <w:r>
              <w:rPr>
                <w:rFonts w:ascii="Times New Roman" w:cs="Times New Roman" w:eastAsia="Times New Roman" w:hAnsi="Times New Roman"/>
                <w:sz w:val="29"/>
                <w:szCs w:val="29"/>
                <w:color w:val="auto"/>
                <w:vertAlign w:val="superscript"/>
              </w:rPr>
              <w:t>70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DDJ Investments, LLC</w:t>
            </w:r>
            <w:r>
              <w:rPr>
                <w:rFonts w:ascii="Times New Roman" w:cs="Times New Roman" w:eastAsia="Times New Roman" w:hAnsi="Times New Roman"/>
                <w:sz w:val="29"/>
                <w:szCs w:val="29"/>
                <w:color w:val="auto"/>
                <w:vertAlign w:val="superscript"/>
              </w:rPr>
              <w:t>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 Hardee</w:t>
            </w:r>
            <w:r>
              <w:rPr>
                <w:rFonts w:ascii="Times New Roman" w:cs="Times New Roman" w:eastAsia="Times New Roman" w:hAnsi="Times New Roman"/>
                <w:sz w:val="29"/>
                <w:szCs w:val="29"/>
                <w:color w:val="auto"/>
                <w:vertAlign w:val="superscript"/>
              </w:rPr>
              <w:t>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Scott Thompson</w:t>
            </w:r>
            <w:r>
              <w:rPr>
                <w:rFonts w:ascii="Times New Roman" w:cs="Times New Roman" w:eastAsia="Times New Roman" w:hAnsi="Times New Roman"/>
                <w:sz w:val="29"/>
                <w:szCs w:val="29"/>
                <w:color w:val="auto"/>
                <w:vertAlign w:val="superscript"/>
              </w:rPr>
              <w:t>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John R. Stegner &amp; Laurie K.E. Stegner</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Payette Investments, LLC</w:t>
            </w:r>
            <w:r>
              <w:rPr>
                <w:rFonts w:ascii="Times New Roman" w:cs="Times New Roman" w:eastAsia="Times New Roman" w:hAnsi="Times New Roman"/>
                <w:sz w:val="29"/>
                <w:szCs w:val="29"/>
                <w:color w:val="auto"/>
                <w:vertAlign w:val="superscript"/>
              </w:rPr>
              <w:t>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 Lamm</w:t>
            </w:r>
            <w:r>
              <w:rPr>
                <w:rFonts w:ascii="Times New Roman" w:cs="Times New Roman" w:eastAsia="Times New Roman" w:hAnsi="Times New Roman"/>
                <w:sz w:val="29"/>
                <w:szCs w:val="29"/>
                <w:color w:val="auto"/>
                <w:vertAlign w:val="superscript"/>
              </w:rPr>
              <w:t>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Darren Davies</w:t>
            </w:r>
            <w:r>
              <w:rPr>
                <w:rFonts w:ascii="Times New Roman" w:cs="Times New Roman" w:eastAsia="Times New Roman" w:hAnsi="Times New Roman"/>
                <w:sz w:val="29"/>
                <w:szCs w:val="29"/>
                <w:color w:val="auto"/>
                <w:vertAlign w:val="superscript"/>
              </w:rPr>
              <w:t>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Hemanth Kumar</w:t>
            </w:r>
            <w:r>
              <w:rPr>
                <w:rFonts w:ascii="Times New Roman" w:cs="Times New Roman" w:eastAsia="Times New Roman" w:hAnsi="Times New Roman"/>
                <w:sz w:val="29"/>
                <w:szCs w:val="29"/>
                <w:color w:val="auto"/>
                <w:vertAlign w:val="superscript"/>
              </w:rPr>
              <w:t>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420" w:right="40" w:hanging="358"/>
        <w:spacing w:after="0" w:line="195" w:lineRule="auto"/>
        <w:tabs>
          <w:tab w:leader="none" w:pos="42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Charles Price and Judy Price JT Ten. The address of the principal business office of Charles Price and Judy Price JT Ten is 5001 W. Tia Inez St., Eagle, ID 83616.</w:t>
      </w:r>
    </w:p>
    <w:p>
      <w:pPr>
        <w:spacing w:after="0" w:line="254" w:lineRule="exact"/>
        <w:rPr>
          <w:sz w:val="20"/>
          <w:szCs w:val="20"/>
          <w:color w:val="auto"/>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Lloyd. The address of the principal business office of Steven Lloyd is 3505 N. Llama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Kristopher Townsend &amp; Amanda Townsend JT Ten. The address of the principal business office of Kristopher Townsend &amp; Amanda Townsend JT Ten is 3011 N. Merlot Place,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DDJ Investments, LLC. The address of the principal business office of DDJ Investments, LLC is 1487 S. David Lane,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Hardee. The address of the principal business office of Greg Hardee is 3371 E. Heartleaf Dr.,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Thompson. The address of the principal business office of Scott Thompson is 457 West Two Rivers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R. Stegner &amp; Laurie K.E. Stegner JT Ten. The address of the principal business office of John R. Stegner &amp; Laurie K.E. Stegner JT Ten is 420 W. Main St., Suite 403,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217"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Payette Investments, LLC. Matthew T. Moore and Donal C. Christensen are the controlling members of Payette Investments, LLC. The address of the principal business office of Payette Investments LLC is 202 N.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Suite 300, Boise, ID 83702.</w:t>
      </w:r>
    </w:p>
    <w:p>
      <w:pPr>
        <w:spacing w:after="0" w:line="129"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 Lamm. The address of the principal business office of Scott C. Lamm is 1775 W. State St. #222,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Darren Davies. The address of the principal business office of Darren Davies is 3704 S. Riva Ridge Way, Boise, ID 83709.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Hemanth Kumar. The address of the principal business office of Hemanth Kumar is 2644 Rue Montpellier Ave, Henderson, NV 89044.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Clark Investments, LLC</w:t>
            </w:r>
            <w:r>
              <w:rPr>
                <w:rFonts w:ascii="Times New Roman" w:cs="Times New Roman" w:eastAsia="Times New Roman" w:hAnsi="Times New Roman"/>
                <w:sz w:val="29"/>
                <w:szCs w:val="29"/>
                <w:color w:val="auto"/>
                <w:vertAlign w:val="superscript"/>
              </w:rPr>
              <w:t>79</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Lance Churchill</w:t>
            </w:r>
            <w:r>
              <w:rPr>
                <w:rFonts w:ascii="Times New Roman" w:cs="Times New Roman" w:eastAsia="Times New Roman" w:hAnsi="Times New Roman"/>
                <w:sz w:val="29"/>
                <w:szCs w:val="29"/>
                <w:color w:val="auto"/>
                <w:vertAlign w:val="superscript"/>
              </w:rPr>
              <w:t>80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and Valynn Price</w:t>
            </w:r>
            <w:r>
              <w:rPr>
                <w:rFonts w:ascii="Times New Roman" w:cs="Times New Roman" w:eastAsia="Times New Roman" w:hAnsi="Times New Roman"/>
                <w:sz w:val="29"/>
                <w:szCs w:val="29"/>
                <w:color w:val="auto"/>
                <w:vertAlign w:val="superscript"/>
              </w:rPr>
              <w:t>81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Luke Nemec</w:t>
            </w:r>
            <w:r>
              <w:rPr>
                <w:rFonts w:ascii="Times New Roman" w:cs="Times New Roman" w:eastAsia="Times New Roman" w:hAnsi="Times New Roman"/>
                <w:sz w:val="29"/>
                <w:szCs w:val="29"/>
                <w:color w:val="auto"/>
                <w:vertAlign w:val="superscript"/>
              </w:rPr>
              <w:t>82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Jerry Lee Miles</w:t>
            </w:r>
            <w:r>
              <w:rPr>
                <w:rFonts w:ascii="Times New Roman" w:cs="Times New Roman" w:eastAsia="Times New Roman" w:hAnsi="Times New Roman"/>
                <w:sz w:val="29"/>
                <w:szCs w:val="29"/>
                <w:color w:val="auto"/>
                <w:vertAlign w:val="superscript"/>
              </w:rPr>
              <w:t>83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Timothy Smith &amp; Molly Smith JT Ten</w:t>
            </w:r>
            <w:r>
              <w:rPr>
                <w:rFonts w:ascii="Times New Roman" w:cs="Times New Roman" w:eastAsia="Times New Roman" w:hAnsi="Times New Roman"/>
                <w:sz w:val="29"/>
                <w:szCs w:val="29"/>
                <w:color w:val="auto"/>
                <w:vertAlign w:val="superscript"/>
              </w:rPr>
              <w:t>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The Clausen Family Trust</w:t>
            </w:r>
            <w:r>
              <w:rPr>
                <w:rFonts w:ascii="Times New Roman" w:cs="Times New Roman" w:eastAsia="Times New Roman" w:hAnsi="Times New Roman"/>
                <w:sz w:val="29"/>
                <w:szCs w:val="29"/>
                <w:color w:val="auto"/>
                <w:vertAlign w:val="superscript"/>
              </w:rPr>
              <w:t>85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Tina Marie Slippy</w:t>
            </w:r>
            <w:r>
              <w:rPr>
                <w:rFonts w:ascii="Times New Roman" w:cs="Times New Roman" w:eastAsia="Times New Roman" w:hAnsi="Times New Roman"/>
                <w:sz w:val="29"/>
                <w:szCs w:val="29"/>
                <w:color w:val="auto"/>
                <w:vertAlign w:val="superscript"/>
              </w:rPr>
              <w:t>86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Metcalf</w:t>
            </w:r>
            <w:r>
              <w:rPr>
                <w:rFonts w:ascii="Times New Roman" w:cs="Times New Roman" w:eastAsia="Times New Roman" w:hAnsi="Times New Roman"/>
                <w:sz w:val="29"/>
                <w:szCs w:val="29"/>
                <w:color w:val="auto"/>
                <w:vertAlign w:val="superscript"/>
              </w:rPr>
              <w:t>87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Gary Allen</w:t>
            </w:r>
            <w:r>
              <w:rPr>
                <w:rFonts w:ascii="Times New Roman" w:cs="Times New Roman" w:eastAsia="Times New Roman" w:hAnsi="Times New Roman"/>
                <w:sz w:val="29"/>
                <w:szCs w:val="29"/>
                <w:color w:val="auto"/>
                <w:vertAlign w:val="superscript"/>
              </w:rPr>
              <w:t>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E. Kulbe</w:t>
            </w:r>
            <w:r>
              <w:rPr>
                <w:rFonts w:ascii="Times New Roman" w:cs="Times New Roman" w:eastAsia="Times New Roman" w:hAnsi="Times New Roman"/>
                <w:sz w:val="29"/>
                <w:szCs w:val="29"/>
                <w:color w:val="auto"/>
                <w:vertAlign w:val="superscript"/>
              </w:rPr>
              <w:t>89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Linda M. Kulbe</w:t>
            </w:r>
            <w:r>
              <w:rPr>
                <w:rFonts w:ascii="Times New Roman" w:cs="Times New Roman" w:eastAsia="Times New Roman" w:hAnsi="Times New Roman"/>
                <w:sz w:val="29"/>
                <w:szCs w:val="29"/>
                <w:color w:val="auto"/>
                <w:vertAlign w:val="superscript"/>
              </w:rPr>
              <w:t>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Courtnie V. Kulbe</w:t>
            </w:r>
            <w:r>
              <w:rPr>
                <w:rFonts w:ascii="Times New Roman" w:cs="Times New Roman" w:eastAsia="Times New Roman" w:hAnsi="Times New Roman"/>
                <w:sz w:val="29"/>
                <w:szCs w:val="29"/>
                <w:color w:val="auto"/>
                <w:vertAlign w:val="superscript"/>
              </w:rPr>
              <w:t>91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Clark Investments, LLC. The address of the principal business office of Clark Investments, LLC is 710 Riverpoint Ct, Ste 100, West Sacramento, CA 95605.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Lance Churchill. The address of the principal business office of Lance Churchill is 967 E. Parkcenter Blvd. #302,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and Valynn Price. The address of the principal business office of David and Valynn Price is 2601 E. Picard Ct.,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Luke Nemec. The address of the principal business office of Luke Nemec is 1783 East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Lee Miles. The address of the principal business office of Jerry Lee Miles is 1661 East Lone Shore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Timothy Smith &amp; Molly Smith JT Ten. The address of the principal business office of Timothy Smith &amp; Molly Smith JT Ten is 3200 Birch Street, Baker City, OR 97814.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Clausen Family Trust. The address of the principal business office of The Clausen Family Trust is 1881 Heron Ridge Drive, Bloomfield Hills, MI 78302.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Tina Marie Slippy. The address of the principal business office of Tina Marie Slippy is 609 W. Colchester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James Metcalf. The address of the principal business office of James Metcalf is 2415 Wild Eagle Ter., Reno, NV 89511.</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Gary Allen. The address of the principal business office of Gary Allen is 3819 N. 2300E, Filer, ID 83328.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Kulbe. The address of the principal business office of Eric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Linda M. Kulbe. The address of the principal business office of Linda M. Kulbe is 24577 County Road 50, Iliff, CO 80736.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Courtnie V. Kulbe. The address of the principal business office of Courtnie V. Kulbe is 10121 Crooked Stick Trail, Lone Tree, CO 80124.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68"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Callie V. Kulbe</w:t>
            </w:r>
            <w:r>
              <w:rPr>
                <w:rFonts w:ascii="Times New Roman" w:cs="Times New Roman" w:eastAsia="Times New Roman" w:hAnsi="Times New Roman"/>
                <w:sz w:val="29"/>
                <w:szCs w:val="29"/>
                <w:color w:val="auto"/>
                <w:vertAlign w:val="superscript"/>
              </w:rPr>
              <w:t>92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Charlsie V. Kulbe</w:t>
            </w:r>
            <w:r>
              <w:rPr>
                <w:rFonts w:ascii="Times New Roman" w:cs="Times New Roman" w:eastAsia="Times New Roman" w:hAnsi="Times New Roman"/>
                <w:sz w:val="29"/>
                <w:szCs w:val="29"/>
                <w:color w:val="auto"/>
                <w:vertAlign w:val="superscript"/>
              </w:rPr>
              <w:t>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Jackie K. Kulbe</w:t>
            </w:r>
            <w:r>
              <w:rPr>
                <w:rFonts w:ascii="Times New Roman" w:cs="Times New Roman" w:eastAsia="Times New Roman" w:hAnsi="Times New Roman"/>
                <w:sz w:val="29"/>
                <w:szCs w:val="29"/>
                <w:color w:val="auto"/>
                <w:vertAlign w:val="superscript"/>
              </w:rPr>
              <w:t>94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Conklin</w:t>
            </w:r>
            <w:r>
              <w:rPr>
                <w:rFonts w:ascii="Times New Roman" w:cs="Times New Roman" w:eastAsia="Times New Roman" w:hAnsi="Times New Roman"/>
                <w:sz w:val="29"/>
                <w:szCs w:val="29"/>
                <w:color w:val="auto"/>
                <w:vertAlign w:val="superscript"/>
              </w:rPr>
              <w:t>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Royce Chigbrow</w:t>
            </w:r>
            <w:r>
              <w:rPr>
                <w:rFonts w:ascii="Times New Roman" w:cs="Times New Roman" w:eastAsia="Times New Roman" w:hAnsi="Times New Roman"/>
                <w:sz w:val="29"/>
                <w:szCs w:val="29"/>
                <w:color w:val="auto"/>
                <w:vertAlign w:val="superscript"/>
              </w:rPr>
              <w:t>96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Carley Mings</w:t>
            </w:r>
            <w:r>
              <w:rPr>
                <w:rFonts w:ascii="Times New Roman" w:cs="Times New Roman" w:eastAsia="Times New Roman" w:hAnsi="Times New Roman"/>
                <w:sz w:val="29"/>
                <w:szCs w:val="29"/>
                <w:color w:val="auto"/>
                <w:vertAlign w:val="superscript"/>
              </w:rPr>
              <w:t>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Nead</w:t>
            </w:r>
            <w:r>
              <w:rPr>
                <w:rFonts w:ascii="Times New Roman" w:cs="Times New Roman" w:eastAsia="Times New Roman" w:hAnsi="Times New Roman"/>
                <w:sz w:val="29"/>
                <w:szCs w:val="29"/>
                <w:color w:val="auto"/>
                <w:vertAlign w:val="superscript"/>
              </w:rPr>
              <w:t>98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RMO Ventures</w:t>
            </w:r>
            <w:r>
              <w:rPr>
                <w:rFonts w:ascii="Times New Roman" w:cs="Times New Roman" w:eastAsia="Times New Roman" w:hAnsi="Times New Roman"/>
                <w:sz w:val="29"/>
                <w:szCs w:val="29"/>
                <w:color w:val="auto"/>
                <w:vertAlign w:val="superscript"/>
              </w:rPr>
              <w:t>99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Maxemilian Gilman</w:t>
            </w:r>
            <w:r>
              <w:rPr>
                <w:rFonts w:ascii="Times New Roman" w:cs="Times New Roman" w:eastAsia="Times New Roman" w:hAnsi="Times New Roman"/>
                <w:sz w:val="29"/>
                <w:szCs w:val="29"/>
                <w:color w:val="auto"/>
                <w:vertAlign w:val="superscript"/>
              </w:rPr>
              <w:t>100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Casey Oiness</w:t>
            </w:r>
            <w:r>
              <w:rPr>
                <w:rFonts w:ascii="Times New Roman" w:cs="Times New Roman" w:eastAsia="Times New Roman" w:hAnsi="Times New Roman"/>
                <w:sz w:val="29"/>
                <w:szCs w:val="29"/>
                <w:color w:val="auto"/>
                <w:vertAlign w:val="superscript"/>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Wendy Zolezzi</w:t>
            </w:r>
            <w:r>
              <w:rPr>
                <w:rFonts w:ascii="Times New Roman" w:cs="Times New Roman" w:eastAsia="Times New Roman" w:hAnsi="Times New Roman"/>
                <w:sz w:val="29"/>
                <w:szCs w:val="29"/>
                <w:color w:val="auto"/>
                <w:vertAlign w:val="superscript"/>
              </w:rPr>
              <w:t>102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Brooks Kochvar</w:t>
            </w:r>
            <w:r>
              <w:rPr>
                <w:rFonts w:ascii="Times New Roman" w:cs="Times New Roman" w:eastAsia="Times New Roman" w:hAnsi="Times New Roman"/>
                <w:sz w:val="29"/>
                <w:szCs w:val="29"/>
                <w:color w:val="auto"/>
                <w:vertAlign w:val="superscript"/>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Gilman</w:t>
            </w:r>
            <w:r>
              <w:rPr>
                <w:rFonts w:ascii="Times New Roman" w:cs="Times New Roman" w:eastAsia="Times New Roman" w:hAnsi="Times New Roman"/>
                <w:sz w:val="29"/>
                <w:szCs w:val="29"/>
                <w:color w:val="auto"/>
                <w:vertAlign w:val="superscript"/>
              </w:rPr>
              <w:t>104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Callie V. Kulbe. The address of the principal business office of Callie V.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Charlsie V. Kulbe. The address of the principal business office of Charlsie V.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Jackie K. Kulbe. The address of the principal business office of Jackie K. Kulbe is 10121 Crooked Stick Trail, Lone Tree, CO 80124.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Conklin. The address of the principal business office of Michael Conklin is 2030 S. Hills Ave, Meridian, ID 83642.</w:t>
      </w:r>
    </w:p>
    <w:p>
      <w:pPr>
        <w:spacing w:after="0" w:line="257"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Royce Chigbrow. The address of the principal business office of Royce Chigbrow is 412 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 Apt. 521,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Carley Mings. The address of the principal business office of Carley Mings is 381 W. Ridgeline Dr.,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Nead. The address of the principal business office of Spencer Nead is 187 S. Steel Farm Ave.,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RMO Ventures. The address of the principal business office of RMO Ventures is 530 South Robinson Blvd, Nampa, ID 83687.</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Maxemilian Gilman. The address of the principal business office of Maxemilian Gilman is 3700 Clawson Rd, Apt. 121, Austin, TX 78704.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Casey Oiness. The address of the principal business office of Casey Oiness is 3430 Evergreen Point Road, Medina, WA 98039.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Wendy Zolezzi. The address of the principal business office of Wendy Zolezzi is 2660 Bad Rock Cir,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Brooks Kochvar. The address of the principal business office of Brooks Kochvar is 4327 N. Nines Ridge Ln, Boise, ID 83702.</w:t>
      </w:r>
    </w:p>
    <w:p>
      <w:pPr>
        <w:spacing w:after="0" w:line="257"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Gilman. The address of the principal business office of Steven Gilman is 1201 N.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Boise, ID 83702.</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987"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Steven Mings</w:t>
            </w:r>
            <w:r>
              <w:rPr>
                <w:rFonts w:ascii="Times New Roman" w:cs="Times New Roman" w:eastAsia="Times New Roman" w:hAnsi="Times New Roman"/>
                <w:sz w:val="29"/>
                <w:szCs w:val="29"/>
                <w:color w:val="auto"/>
                <w:vertAlign w:val="superscript"/>
              </w:rPr>
              <w:t>105</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Bethany Anderson</w:t>
            </w:r>
            <w:r>
              <w:rPr>
                <w:rFonts w:ascii="Times New Roman" w:cs="Times New Roman" w:eastAsia="Times New Roman" w:hAnsi="Times New Roman"/>
                <w:sz w:val="29"/>
                <w:szCs w:val="29"/>
                <w:color w:val="auto"/>
                <w:vertAlign w:val="superscript"/>
              </w:rPr>
              <w:t>106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Brent Robinson</w:t>
            </w:r>
            <w:r>
              <w:rPr>
                <w:rFonts w:ascii="Times New Roman" w:cs="Times New Roman" w:eastAsia="Times New Roman" w:hAnsi="Times New Roman"/>
                <w:sz w:val="29"/>
                <w:szCs w:val="29"/>
                <w:color w:val="auto"/>
                <w:vertAlign w:val="superscript"/>
              </w:rPr>
              <w:t>107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Doug French</w:t>
            </w:r>
            <w:r>
              <w:rPr>
                <w:rFonts w:ascii="Times New Roman" w:cs="Times New Roman" w:eastAsia="Times New Roman" w:hAnsi="Times New Roman"/>
                <w:sz w:val="29"/>
                <w:szCs w:val="29"/>
                <w:color w:val="auto"/>
                <w:vertAlign w:val="superscript"/>
              </w:rPr>
              <w:t>108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Karie Beyer</w:t>
            </w:r>
            <w:r>
              <w:rPr>
                <w:rFonts w:ascii="Times New Roman" w:cs="Times New Roman" w:eastAsia="Times New Roman" w:hAnsi="Times New Roman"/>
                <w:sz w:val="29"/>
                <w:szCs w:val="29"/>
                <w:color w:val="auto"/>
                <w:vertAlign w:val="superscript"/>
              </w:rPr>
              <w:t>109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Richard Handke</w:t>
            </w:r>
            <w:r>
              <w:rPr>
                <w:rFonts w:ascii="Times New Roman" w:cs="Times New Roman" w:eastAsia="Times New Roman" w:hAnsi="Times New Roman"/>
                <w:sz w:val="29"/>
                <w:szCs w:val="29"/>
                <w:color w:val="auto"/>
                <w:vertAlign w:val="superscript"/>
              </w:rPr>
              <w:t>110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Erin and Jacob Hut JT Ten</w:t>
            </w:r>
            <w:r>
              <w:rPr>
                <w:rFonts w:ascii="Times New Roman" w:cs="Times New Roman" w:eastAsia="Times New Roman" w:hAnsi="Times New Roman"/>
                <w:sz w:val="29"/>
                <w:szCs w:val="29"/>
                <w:color w:val="auto"/>
                <w:vertAlign w:val="superscript"/>
              </w:rPr>
              <w:t>111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Steven D. Robinson &amp; Lori A. Robinson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Matthew Gustavel &amp; Molly Gustavel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113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Kenneth W. Stephens</w:t>
            </w:r>
            <w:r>
              <w:rPr>
                <w:rFonts w:ascii="Times New Roman" w:cs="Times New Roman" w:eastAsia="Times New Roman" w:hAnsi="Times New Roman"/>
                <w:sz w:val="29"/>
                <w:szCs w:val="29"/>
                <w:color w:val="auto"/>
                <w:vertAlign w:val="superscript"/>
              </w:rPr>
              <w:t>114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Roger P. Scala</w:t>
            </w:r>
            <w:r>
              <w:rPr>
                <w:rFonts w:ascii="Times New Roman" w:cs="Times New Roman" w:eastAsia="Times New Roman" w:hAnsi="Times New Roman"/>
                <w:sz w:val="29"/>
                <w:szCs w:val="29"/>
                <w:color w:val="auto"/>
                <w:vertAlign w:val="superscript"/>
              </w:rPr>
              <w:t>115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Sullivan</w:t>
            </w:r>
            <w:r>
              <w:rPr>
                <w:rFonts w:ascii="Times New Roman" w:cs="Times New Roman" w:eastAsia="Times New Roman" w:hAnsi="Times New Roman"/>
                <w:sz w:val="29"/>
                <w:szCs w:val="29"/>
                <w:color w:val="auto"/>
                <w:vertAlign w:val="superscript"/>
              </w:rPr>
              <w:t>116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Mings. The address of the principal business office of Steven Mings is 750 W. Bannock, Unit 1958, Boise, ID 83701.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Bethany Anderson. The address of the principal business office of Bethany Anderson is 10432 W. Milclay St., Boise, ID 83704.</w:t>
      </w:r>
    </w:p>
    <w:p>
      <w:pPr>
        <w:spacing w:after="0" w:line="257" w:lineRule="exact"/>
        <w:rPr>
          <w:rFonts w:ascii="Times New Roman" w:cs="Times New Roman" w:eastAsia="Times New Roman" w:hAnsi="Times New Roman"/>
          <w:sz w:val="30"/>
          <w:szCs w:val="30"/>
          <w:color w:val="auto"/>
          <w:vertAlign w:val="superscript"/>
        </w:rPr>
      </w:pPr>
    </w:p>
    <w:p>
      <w:pPr>
        <w:ind w:left="380" w:right="20" w:hanging="345"/>
        <w:spacing w:after="0" w:line="211"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Brent Robinson. The address of the principal business office of Brent Robinson is 926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Ave., Seattle, WA 98122.</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Doug French. The address of the principal business office of Doug French is 3918 N. Whitehead St.</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Karie Beyer. The address of the principal business office of Karie Beyer is 515 North Henry St, Kaysville, UT 84037.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Richard Handke. The address of the principal business office of Richard Handke is 3565 W. Muirfield,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Erin and Jacob Hut JT Ten. The address of the principal business office of Erin &amp; Jacob Hut JT Ten is 6811 S. Granite Mountain Ln, Spokane, WA 99223.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217"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Steven D. Robinson &amp; Lori A. Robinson JT Ten. The address of the principal business office of Steven D. Robinson &amp; Lori A. Robinson JT Ten is 4535 NE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Seattle, WA 98105.</w:t>
      </w:r>
    </w:p>
    <w:p>
      <w:pPr>
        <w:spacing w:after="0" w:line="129"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Gustavel &amp; Molly Gustavel JT Ten. The address of the principal business office of Matthew Gustavel &amp; Molly Gustavel JT Ten is 655 E. Orion Dr., Boise, ID 83702.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W. Stephens. The address of the principal business office of Kenneth W. Stephens is 918 N. Eagle Hills Way,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Roger P. Scala. The address of the principal business office of Roger P. Scala is 4925 Icaria Way, Oceanside, CA 92056.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Sullivan. The address of the principal business office of Cameron Sullivan is 2864 N. Chancery Pl.,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Dominic Quilici</w:t>
            </w:r>
            <w:r>
              <w:rPr>
                <w:rFonts w:ascii="Times New Roman" w:cs="Times New Roman" w:eastAsia="Times New Roman" w:hAnsi="Times New Roman"/>
                <w:sz w:val="29"/>
                <w:szCs w:val="29"/>
                <w:color w:val="auto"/>
                <w:vertAlign w:val="superscript"/>
              </w:rPr>
              <w:t>117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Duskin Terteling</w:t>
            </w:r>
            <w:r>
              <w:rPr>
                <w:rFonts w:ascii="Times New Roman" w:cs="Times New Roman" w:eastAsia="Times New Roman" w:hAnsi="Times New Roman"/>
                <w:sz w:val="29"/>
                <w:szCs w:val="29"/>
                <w:color w:val="auto"/>
                <w:vertAlign w:val="superscript"/>
              </w:rPr>
              <w:t>118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Russell Kawano</w:t>
            </w:r>
            <w:r>
              <w:rPr>
                <w:rFonts w:ascii="Times New Roman" w:cs="Times New Roman" w:eastAsia="Times New Roman" w:hAnsi="Times New Roman"/>
                <w:sz w:val="29"/>
                <w:szCs w:val="29"/>
                <w:color w:val="auto"/>
                <w:vertAlign w:val="superscript"/>
              </w:rPr>
              <w:t>119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Shanna Vincent</w:t>
            </w:r>
            <w:r>
              <w:rPr>
                <w:rFonts w:ascii="Times New Roman" w:cs="Times New Roman" w:eastAsia="Times New Roman" w:hAnsi="Times New Roman"/>
                <w:sz w:val="29"/>
                <w:szCs w:val="29"/>
                <w:color w:val="auto"/>
                <w:vertAlign w:val="superscript"/>
              </w:rPr>
              <w:t>120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 Johnson</w:t>
            </w:r>
            <w:r>
              <w:rPr>
                <w:rFonts w:ascii="Times New Roman" w:cs="Times New Roman" w:eastAsia="Times New Roman" w:hAnsi="Times New Roman"/>
                <w:sz w:val="29"/>
                <w:szCs w:val="29"/>
                <w:color w:val="auto"/>
                <w:vertAlign w:val="superscript"/>
              </w:rPr>
              <w:t>121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Brian J. Neville</w:t>
            </w:r>
            <w:r>
              <w:rPr>
                <w:rFonts w:ascii="Times New Roman" w:cs="Times New Roman" w:eastAsia="Times New Roman" w:hAnsi="Times New Roman"/>
                <w:sz w:val="29"/>
                <w:szCs w:val="29"/>
                <w:color w:val="auto"/>
                <w:vertAlign w:val="superscript"/>
              </w:rPr>
              <w:t>122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G. Grigg &amp; Debora A. Grigg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Jessica Clow</w:t>
            </w:r>
            <w:r>
              <w:rPr>
                <w:rFonts w:ascii="Times New Roman" w:cs="Times New Roman" w:eastAsia="Times New Roman" w:hAnsi="Times New Roman"/>
                <w:sz w:val="29"/>
                <w:szCs w:val="29"/>
                <w:color w:val="auto"/>
                <w:vertAlign w:val="superscript"/>
              </w:rPr>
              <w:t>124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Jake Conklin</w:t>
            </w:r>
            <w:r>
              <w:rPr>
                <w:rFonts w:ascii="Times New Roman" w:cs="Times New Roman" w:eastAsia="Times New Roman" w:hAnsi="Times New Roman"/>
                <w:sz w:val="29"/>
                <w:szCs w:val="29"/>
                <w:color w:val="auto"/>
                <w:vertAlign w:val="superscript"/>
              </w:rPr>
              <w:t>125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Tucker Allen</w:t>
            </w:r>
            <w:r>
              <w:rPr>
                <w:rFonts w:ascii="Times New Roman" w:cs="Times New Roman" w:eastAsia="Times New Roman" w:hAnsi="Times New Roman"/>
                <w:sz w:val="29"/>
                <w:szCs w:val="29"/>
                <w:color w:val="auto"/>
                <w:vertAlign w:val="superscript"/>
              </w:rPr>
              <w:t>126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Dominic Quilici. The address of the principal business office of Dominic Quilici is 4441 E. Parkcenter Blvd.,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Duskin Terteling. The address of the principal business office of Duskin Terteling is 6985 E. LaCuesta St.,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Russell Kawano. The address of the principal business office of Russell Kawano is 2171 Crosscreek Ln.,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Shanna Vincent. The address of the principal business office of Shanna Vincent is 1064 Don Vincent Lane,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 Johnson. The address of the principal business office of Sam Johnson is 3312 W. Bluecanyon St.,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Brian J. Neville. The address of the principal business office of Brian J. Neville is 2016 W. Winterwood Ct.,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G. Grigg &amp; Debora A. Grigg JT Ten. The address of the principal business office of Mark G. Grigg &amp; Debora A. Grigg JT Ten is 949 S. 1050 East, Albion, ID 83311.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Jessica Clow. The address of the principal business office of Jessica Clow is 13893 W. Woodspring Dr.,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Jake Conklin. The address of the principal business office of Jake Conklin is 11347 West Dallan Ct.,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Tucker Allen. The address of the principal business office of Tucker Allen is 1660 Hidden Way, Malvern, PA 19355.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Jordan Buich</w:t>
            </w:r>
            <w:r>
              <w:rPr>
                <w:rFonts w:ascii="Times New Roman" w:cs="Times New Roman" w:eastAsia="Times New Roman" w:hAnsi="Times New Roman"/>
                <w:sz w:val="29"/>
                <w:szCs w:val="29"/>
                <w:color w:val="auto"/>
                <w:vertAlign w:val="superscript"/>
              </w:rPr>
              <w:t>127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Suzanne McKinney &amp; Richard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McKinney JT Ten</w:t>
            </w:r>
            <w:r>
              <w:rPr>
                <w:rFonts w:ascii="Times New Roman" w:cs="Times New Roman" w:eastAsia="Times New Roman" w:hAnsi="Times New Roman"/>
                <w:sz w:val="29"/>
                <w:szCs w:val="29"/>
                <w:color w:val="auto"/>
                <w:vertAlign w:val="superscript"/>
              </w:rPr>
              <w:t>128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Mark Skelton &amp; Rochelle Skelton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129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Mary Vincent</w:t>
            </w:r>
            <w:r>
              <w:rPr>
                <w:rFonts w:ascii="Times New Roman" w:cs="Times New Roman" w:eastAsia="Times New Roman" w:hAnsi="Times New Roman"/>
                <w:sz w:val="29"/>
                <w:szCs w:val="29"/>
                <w:color w:val="auto"/>
                <w:vertAlign w:val="superscript"/>
              </w:rPr>
              <w:t>130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Buich</w:t>
            </w:r>
            <w:r>
              <w:rPr>
                <w:rFonts w:ascii="Times New Roman" w:cs="Times New Roman" w:eastAsia="Times New Roman" w:hAnsi="Times New Roman"/>
                <w:sz w:val="29"/>
                <w:szCs w:val="29"/>
                <w:color w:val="auto"/>
                <w:vertAlign w:val="superscript"/>
              </w:rPr>
              <w:t>131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Gina M. Stantucci</w:t>
            </w:r>
            <w:r>
              <w:rPr>
                <w:rFonts w:ascii="Times New Roman" w:cs="Times New Roman" w:eastAsia="Times New Roman" w:hAnsi="Times New Roman"/>
                <w:sz w:val="29"/>
                <w:szCs w:val="29"/>
                <w:color w:val="auto"/>
                <w:vertAlign w:val="superscript"/>
              </w:rPr>
              <w:t>132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Marcus Stuart</w:t>
            </w:r>
            <w:r>
              <w:rPr>
                <w:rFonts w:ascii="Times New Roman" w:cs="Times New Roman" w:eastAsia="Times New Roman" w:hAnsi="Times New Roman"/>
                <w:sz w:val="29"/>
                <w:szCs w:val="29"/>
                <w:color w:val="auto"/>
                <w:vertAlign w:val="superscript"/>
              </w:rPr>
              <w:t>133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Greg Gale</w:t>
            </w:r>
            <w:r>
              <w:rPr>
                <w:rFonts w:ascii="Times New Roman" w:cs="Times New Roman" w:eastAsia="Times New Roman" w:hAnsi="Times New Roman"/>
                <w:sz w:val="29"/>
                <w:szCs w:val="29"/>
                <w:color w:val="auto"/>
                <w:vertAlign w:val="superscript"/>
              </w:rPr>
              <w:t>134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Monica L. Davis</w:t>
            </w:r>
            <w:r>
              <w:rPr>
                <w:rFonts w:ascii="Times New Roman" w:cs="Times New Roman" w:eastAsia="Times New Roman" w:hAnsi="Times New Roman"/>
                <w:sz w:val="29"/>
                <w:szCs w:val="29"/>
                <w:color w:val="auto"/>
                <w:vertAlign w:val="superscript"/>
              </w:rPr>
              <w:t>135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T. Stockham</w:t>
            </w:r>
            <w:r>
              <w:rPr>
                <w:rFonts w:ascii="Times New Roman" w:cs="Times New Roman" w:eastAsia="Times New Roman" w:hAnsi="Times New Roman"/>
                <w:sz w:val="29"/>
                <w:szCs w:val="29"/>
                <w:color w:val="auto"/>
                <w:vertAlign w:val="superscript"/>
              </w:rPr>
              <w:t>136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Nikolas A. Buich</w:t>
            </w:r>
            <w:r>
              <w:rPr>
                <w:rFonts w:ascii="Times New Roman" w:cs="Times New Roman" w:eastAsia="Times New Roman" w:hAnsi="Times New Roman"/>
                <w:sz w:val="29"/>
                <w:szCs w:val="29"/>
                <w:color w:val="auto"/>
                <w:vertAlign w:val="superscript"/>
              </w:rPr>
              <w:t>137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Dylan Rodgers</w:t>
            </w:r>
            <w:r>
              <w:rPr>
                <w:rFonts w:ascii="Times New Roman" w:cs="Times New Roman" w:eastAsia="Times New Roman" w:hAnsi="Times New Roman"/>
                <w:sz w:val="29"/>
                <w:szCs w:val="29"/>
                <w:color w:val="auto"/>
                <w:vertAlign w:val="superscript"/>
              </w:rPr>
              <w:t>138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Jeremy Palmerton &amp; Wendy Palmerton</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JT Ten</w:t>
            </w:r>
            <w:r>
              <w:rPr>
                <w:rFonts w:ascii="Times New Roman" w:cs="Times New Roman" w:eastAsia="Times New Roman" w:hAnsi="Times New Roman"/>
                <w:sz w:val="29"/>
                <w:szCs w:val="29"/>
                <w:color w:val="auto"/>
                <w:vertAlign w:val="superscript"/>
              </w:rPr>
              <w:t>139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Jordan Buich. The address of the principal business office of Jordan Buich is 132 Monarch Bay Dr., Dana Point, CA 92629.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Suzanne McKinney &amp; Richard McKinney JT Ten. The address of the principal business office of Suzanne McKinney &amp; Richard McKinney JT Ten is 1331 E. Lone Creek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Skelton &amp; Rochelle Skelton JT Ten. The address of the principal business office of Mark Skelton &amp; Rochelle Skelton JT Ten is 3846 S. Baja Way, Boise, ID 83709.</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Vincent. The address of the principal business office of Mary Vincent is 2291 Bensley St., Henderson, NV 89044.</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David Buich. The address of the principal business office of David Buich is PO Box 516, Eagle, ID 83616.</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Gina M. Stantucci. The address of the principal business office of Gina M. Stantucci is 1837B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North, Nashville, TN 37208.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Marcus Stuart. The address of the principal business office of Marcus Stuart is 5298 N. Hickory Tree Way, Boise, ID 83713.</w:t>
      </w:r>
    </w:p>
    <w:p>
      <w:pPr>
        <w:spacing w:after="0" w:line="257"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 Gale. The address of the principal business office of Greg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Scottsdale, AZ 85254.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Monica L. Davis. The address of the principal business office of Monica L. Davis is 998 E. Winding Creek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T. Stockham. The address of the principal business office of Robert T. Stockham is 3608 S. Julianite Ave.,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Nikolas A. Buich. The address of the principal business office of Nikolas A. Buich is 1064 S. Don Vincent Lane,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Dylan Rodgers. The address of the principal business office of Dylan Rodgers is PO Box 891, Meridian, ID 83680.</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Palmerton &amp; Wendy Palmerton JT Ten. The address of the principal business office of Jeremy Palmerton &amp; Wendy Palmerton JT Ten is 3458 N. Weston Way, Meridian, ID 83646.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555"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Marshburn</w:t>
            </w:r>
            <w:r>
              <w:rPr>
                <w:rFonts w:ascii="Times New Roman" w:cs="Times New Roman" w:eastAsia="Times New Roman" w:hAnsi="Times New Roman"/>
                <w:sz w:val="29"/>
                <w:szCs w:val="29"/>
                <w:color w:val="auto"/>
                <w:vertAlign w:val="superscript"/>
              </w:rPr>
              <w:t>140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Danible Realty LLC</w:t>
            </w:r>
            <w:r>
              <w:rPr>
                <w:rFonts w:ascii="Times New Roman" w:cs="Times New Roman" w:eastAsia="Times New Roman" w:hAnsi="Times New Roman"/>
                <w:sz w:val="29"/>
                <w:szCs w:val="29"/>
                <w:color w:val="auto"/>
                <w:vertAlign w:val="superscript"/>
              </w:rPr>
              <w:t>141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Kyle Delorey</w:t>
            </w:r>
            <w:r>
              <w:rPr>
                <w:rFonts w:ascii="Times New Roman" w:cs="Times New Roman" w:eastAsia="Times New Roman" w:hAnsi="Times New Roman"/>
                <w:sz w:val="29"/>
                <w:szCs w:val="29"/>
                <w:color w:val="auto"/>
                <w:vertAlign w:val="superscript"/>
              </w:rPr>
              <w:t>142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Melhorn &amp; Stephanie Melhorn JT Ten</w:t>
            </w:r>
            <w:r>
              <w:rPr>
                <w:rFonts w:ascii="Times New Roman" w:cs="Times New Roman" w:eastAsia="Times New Roman" w:hAnsi="Times New Roman"/>
                <w:sz w:val="29"/>
                <w:szCs w:val="29"/>
                <w:color w:val="auto"/>
                <w:vertAlign w:val="superscript"/>
              </w:rPr>
              <w:t>143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Randall Moss</w:t>
            </w:r>
            <w:r>
              <w:rPr>
                <w:rFonts w:ascii="Times New Roman" w:cs="Times New Roman" w:eastAsia="Times New Roman" w:hAnsi="Times New Roman"/>
                <w:sz w:val="29"/>
                <w:szCs w:val="29"/>
                <w:color w:val="auto"/>
                <w:vertAlign w:val="superscript"/>
              </w:rPr>
              <w:t>144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Nathan Smith</w:t>
            </w:r>
            <w:r>
              <w:rPr>
                <w:rFonts w:ascii="Times New Roman" w:cs="Times New Roman" w:eastAsia="Times New Roman" w:hAnsi="Times New Roman"/>
                <w:sz w:val="29"/>
                <w:szCs w:val="29"/>
                <w:color w:val="auto"/>
                <w:vertAlign w:val="superscript"/>
              </w:rPr>
              <w:t>145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Neal Stuart</w:t>
            </w:r>
            <w:r>
              <w:rPr>
                <w:rFonts w:ascii="Times New Roman" w:cs="Times New Roman" w:eastAsia="Times New Roman" w:hAnsi="Times New Roman"/>
                <w:sz w:val="29"/>
                <w:szCs w:val="29"/>
                <w:color w:val="auto"/>
                <w:vertAlign w:val="superscript"/>
              </w:rPr>
              <w:t>146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Clinton Christensen</w:t>
            </w:r>
            <w:r>
              <w:rPr>
                <w:rFonts w:ascii="Times New Roman" w:cs="Times New Roman" w:eastAsia="Times New Roman" w:hAnsi="Times New Roman"/>
                <w:sz w:val="29"/>
                <w:szCs w:val="29"/>
                <w:color w:val="auto"/>
                <w:vertAlign w:val="superscript"/>
              </w:rPr>
              <w:t>147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Kelsie Nalder</w:t>
            </w:r>
            <w:r>
              <w:rPr>
                <w:rFonts w:ascii="Times New Roman" w:cs="Times New Roman" w:eastAsia="Times New Roman" w:hAnsi="Times New Roman"/>
                <w:sz w:val="29"/>
                <w:szCs w:val="29"/>
                <w:color w:val="auto"/>
                <w:vertAlign w:val="superscript"/>
              </w:rPr>
              <w:t>148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D. Barnes</w:t>
            </w:r>
            <w:r>
              <w:rPr>
                <w:rFonts w:ascii="Times New Roman" w:cs="Times New Roman" w:eastAsia="Times New Roman" w:hAnsi="Times New Roman"/>
                <w:sz w:val="29"/>
                <w:szCs w:val="29"/>
                <w:color w:val="auto"/>
                <w:vertAlign w:val="superscript"/>
              </w:rPr>
              <w:t>149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Jack Lunsford &amp; Katie Lunsford JT Ten</w:t>
            </w:r>
            <w:r>
              <w:rPr>
                <w:rFonts w:ascii="Times New Roman" w:cs="Times New Roman" w:eastAsia="Times New Roman" w:hAnsi="Times New Roman"/>
                <w:sz w:val="29"/>
                <w:szCs w:val="29"/>
                <w:color w:val="auto"/>
                <w:vertAlign w:val="superscript"/>
              </w:rPr>
              <w:t>150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Garn</w:t>
            </w:r>
            <w:r>
              <w:rPr>
                <w:rFonts w:ascii="Times New Roman" w:cs="Times New Roman" w:eastAsia="Times New Roman" w:hAnsi="Times New Roman"/>
                <w:sz w:val="29"/>
                <w:szCs w:val="29"/>
                <w:color w:val="auto"/>
                <w:vertAlign w:val="superscript"/>
              </w:rPr>
              <w:t>151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Garrett Jones</w:t>
            </w:r>
            <w:r>
              <w:rPr>
                <w:rFonts w:ascii="Times New Roman" w:cs="Times New Roman" w:eastAsia="Times New Roman" w:hAnsi="Times New Roman"/>
                <w:sz w:val="29"/>
                <w:szCs w:val="29"/>
                <w:color w:val="auto"/>
                <w:vertAlign w:val="superscript"/>
              </w:rPr>
              <w:t>152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Mark Marshburn. The address of the principal business office of Mark Marshburn is 7135 N. Spurwing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Danible Realty LLC. Alexis Danible is the sole member of Danible Realty LLC. The address of the principal business office of Danible Realty LLC is 10907 W. Annafaye St., Star, ID 83669.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Kyle Delorey. The address of the principal business office of Kyle Delorey 6807 W. Los Flores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Melhorn &amp; Stephanie Melhorn JT Ten. The address of the principal business office of Michael Melhorn &amp; Stephanie Melhorn JT Ten is 5130 W. Tia Inez St.,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 Randall Moss. The address of the principal business office of J. Randall Moss is 1930 N. Wind Cave Way, Eagle, ID 83616.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Nathan Smith. The address of the principal business office of Nathan Smith is 6864 N. Pira, Meridian, ID 83646.</w:t>
      </w:r>
    </w:p>
    <w:p>
      <w:pPr>
        <w:spacing w:after="0" w:line="251"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Neal Stuart. The address of the principal business office of Neal Stuart is 2148 W. Three Lakes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Clinton Christensen. The address of the principal business office of Clinton Christensen is 3817 B North 2300 East, Filer, ID 83328.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Kelsie Nalder. The address of the principal business office of Kelsie Nalder is 946 Applewood Dr., Buhl, ID 83316.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Joshua D. Barnes. The address of the principal business office of Joshua D. Barnes is 3681 N. 2500 East, Twin Falls, ID 83301.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Jack Lunsford &amp; Katie Lunsford JT Ten. The address of the principal business office of Jack Lunsford &amp; Katie Lunsford JT Ten is 6560 N. Big Cedar Way,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Garn. The address of the principal business office of Paul Garn is 1059 Pinewood Circle, Twin Falls, ID 83301.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Garrett Jones. The address of the principal business office of Garrett Jones is 3949 S. Northbridge Way, Boise, ID 83706.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68"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0" w:type="dxa"/>
            <w:vAlign w:val="bottom"/>
          </w:tcPr>
          <w:p>
            <w:pPr>
              <w:spacing w:after="0"/>
              <w:rPr>
                <w:sz w:val="1"/>
                <w:szCs w:val="1"/>
                <w:color w:val="auto"/>
              </w:rPr>
            </w:pPr>
          </w:p>
        </w:tc>
      </w:tr>
      <w:tr>
        <w:trPr>
          <w:trHeight w:val="19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63"/>
        </w:trPr>
        <w:tc>
          <w:tcPr>
            <w:tcW w:w="3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Jared Leuzinger</w:t>
            </w:r>
            <w:r>
              <w:rPr>
                <w:rFonts w:ascii="Times New Roman" w:cs="Times New Roman" w:eastAsia="Times New Roman" w:hAnsi="Times New Roman"/>
                <w:sz w:val="29"/>
                <w:szCs w:val="29"/>
                <w:color w:val="auto"/>
                <w:vertAlign w:val="superscript"/>
              </w:rPr>
              <w:t>158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Holly Kawano</w:t>
            </w:r>
            <w:r>
              <w:rPr>
                <w:rFonts w:ascii="Times New Roman" w:cs="Times New Roman" w:eastAsia="Times New Roman" w:hAnsi="Times New Roman"/>
                <w:sz w:val="29"/>
                <w:szCs w:val="29"/>
                <w:color w:val="auto"/>
                <w:vertAlign w:val="superscript"/>
              </w:rPr>
              <w:t>159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Papineau Boyd</w:t>
            </w:r>
            <w:r>
              <w:rPr>
                <w:rFonts w:ascii="Times New Roman" w:cs="Times New Roman" w:eastAsia="Times New Roman" w:hAnsi="Times New Roman"/>
                <w:sz w:val="29"/>
                <w:szCs w:val="29"/>
                <w:color w:val="auto"/>
                <w:vertAlign w:val="superscript"/>
              </w:rPr>
              <w:t>160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Louis Piccioni &amp; Nita Piccioni JT Ten</w:t>
            </w:r>
            <w:r>
              <w:rPr>
                <w:rFonts w:ascii="Times New Roman" w:cs="Times New Roman" w:eastAsia="Times New Roman" w:hAnsi="Times New Roman"/>
                <w:sz w:val="29"/>
                <w:szCs w:val="29"/>
                <w:color w:val="auto"/>
                <w:vertAlign w:val="superscript"/>
              </w:rPr>
              <w:t>161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Ryan Beattie</w:t>
            </w:r>
            <w:r>
              <w:rPr>
                <w:rFonts w:ascii="Times New Roman" w:cs="Times New Roman" w:eastAsia="Times New Roman" w:hAnsi="Times New Roman"/>
                <w:sz w:val="29"/>
                <w:szCs w:val="29"/>
                <w:color w:val="auto"/>
                <w:vertAlign w:val="superscript"/>
              </w:rPr>
              <w:t>162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Stone</w:t>
            </w:r>
            <w:r>
              <w:rPr>
                <w:rFonts w:ascii="Times New Roman" w:cs="Times New Roman" w:eastAsia="Times New Roman" w:hAnsi="Times New Roman"/>
                <w:sz w:val="29"/>
                <w:szCs w:val="29"/>
                <w:color w:val="auto"/>
                <w:vertAlign w:val="superscript"/>
              </w:rPr>
              <w:t>163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Rory Jones</w:t>
            </w:r>
            <w:r>
              <w:rPr>
                <w:rFonts w:ascii="Times New Roman" w:cs="Times New Roman" w:eastAsia="Times New Roman" w:hAnsi="Times New Roman"/>
                <w:sz w:val="29"/>
                <w:szCs w:val="29"/>
                <w:color w:val="auto"/>
                <w:vertAlign w:val="superscript"/>
              </w:rPr>
              <w:t>164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Riley Jones</w:t>
            </w:r>
            <w:r>
              <w:rPr>
                <w:rFonts w:ascii="Times New Roman" w:cs="Times New Roman" w:eastAsia="Times New Roman" w:hAnsi="Times New Roman"/>
                <w:sz w:val="29"/>
                <w:szCs w:val="29"/>
                <w:color w:val="auto"/>
                <w:vertAlign w:val="superscript"/>
              </w:rPr>
              <w:t>165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Richard E. O’Bringer Revokable Living Trust</w:t>
            </w:r>
            <w:r>
              <w:rPr>
                <w:rFonts w:ascii="Times New Roman" w:cs="Times New Roman" w:eastAsia="Times New Roman" w:hAnsi="Times New Roman"/>
                <w:sz w:val="29"/>
                <w:szCs w:val="29"/>
                <w:color w:val="auto"/>
                <w:vertAlign w:val="superscript"/>
              </w:rPr>
              <w:t>166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Jeffery Pender</w:t>
            </w:r>
            <w:r>
              <w:rPr>
                <w:rFonts w:ascii="Times New Roman" w:cs="Times New Roman" w:eastAsia="Times New Roman" w:hAnsi="Times New Roman"/>
                <w:sz w:val="29"/>
                <w:szCs w:val="29"/>
                <w:color w:val="auto"/>
                <w:vertAlign w:val="superscript"/>
              </w:rPr>
              <w:t>167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Coronet &amp; Ken Coronet JT Ten</w:t>
            </w:r>
            <w:r>
              <w:rPr>
                <w:rFonts w:ascii="Times New Roman" w:cs="Times New Roman" w:eastAsia="Times New Roman" w:hAnsi="Times New Roman"/>
                <w:sz w:val="29"/>
                <w:szCs w:val="29"/>
                <w:color w:val="auto"/>
                <w:vertAlign w:val="superscript"/>
              </w:rPr>
              <w:t>168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Louise Buich</w:t>
            </w:r>
            <w:r>
              <w:rPr>
                <w:rFonts w:ascii="Times New Roman" w:cs="Times New Roman" w:eastAsia="Times New Roman" w:hAnsi="Times New Roman"/>
                <w:sz w:val="29"/>
                <w:szCs w:val="29"/>
                <w:color w:val="auto"/>
                <w:vertAlign w:val="superscript"/>
              </w:rPr>
              <w:t>169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6,007</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6,007</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Jared Leuzinger. The address of the principal business office of Jared Leuzinger is 1390 N. Deep Creek Way, Meridian, ID 83642-4215.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Holly Kawano. The address of the principal business office of Holly Kawano is 2484 Sunshine Dr., Boise, ID 83712.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Sean Papineau Boyd. The address of the principal business office of Sean Papineau Boyd is 838 Bryant Ave., Walla Walla, WA 99362.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Louis Piccioni &amp; Nita Piccioni JT Ten. The address of the principal business office of Louis Piccioni &amp; Nita Piccioni JT Ten is 1217 E. Lone Creek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Beattie. The address of the principal business office of Ryan Beattie is 11497 W. Blackmoor St., Boise, ID 83709.</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Stone. The address of the principal business office of Eric Stone is 1082 E. Tuttle St., Meridian, ID 83646.</w:t>
      </w:r>
    </w:p>
    <w:p>
      <w:pPr>
        <w:spacing w:after="0" w:line="163"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Rory Jones. The address of the principal business office of Rory Jones is 910 E. Curling Dr., Boise, ID 83702.</w:t>
      </w:r>
    </w:p>
    <w:p>
      <w:pPr>
        <w:spacing w:after="0" w:line="164" w:lineRule="exact"/>
        <w:rPr>
          <w:rFonts w:ascii="Times New Roman" w:cs="Times New Roman" w:eastAsia="Times New Roman" w:hAnsi="Times New Roman"/>
          <w:sz w:val="30"/>
          <w:szCs w:val="30"/>
          <w:color w:val="auto"/>
          <w:vertAlign w:val="superscript"/>
        </w:rPr>
      </w:pPr>
    </w:p>
    <w:p>
      <w:pPr>
        <w:ind w:left="380" w:hanging="345"/>
        <w:spacing w:after="0" w:line="224"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Riley Jones. The address of the principal business office of Riley Jones is 1641 S. Annett, Boise, ID 83705.</w:t>
      </w:r>
    </w:p>
    <w:p>
      <w:pPr>
        <w:spacing w:after="0" w:line="252"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Richard E. O’Bringer Revokable Living Trust. Richard O’Bringer is the sole trustee. The address of the principal business office of the Richard E. O’Bringer Revokable Living Trust is 11413 Perugino Dr., Las Vegas, NV 89138.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Jeffery Pender. The address of the principal business office of Jeffery Pender is Calcada Marques Abrantes 95, RC ESQ Lisbon, Portugal 1200-718.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Scott Coronet &amp; Ken Coronet JT Ten. The address of the principal business office of Scott Coronet &amp; Ken Coronet JT Ten is 15006 Alexander, Huntersville, NC 28078.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Karen Louise Buich. The address of the principal business office of Karen Louise Buich is 1109 S. Renovare Lane, Eagle, ID 83616.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Laurie S. Forster</w:t>
            </w:r>
            <w:r>
              <w:rPr>
                <w:rFonts w:ascii="Times New Roman" w:cs="Times New Roman" w:eastAsia="Times New Roman" w:hAnsi="Times New Roman"/>
                <w:sz w:val="29"/>
                <w:szCs w:val="29"/>
                <w:color w:val="auto"/>
                <w:vertAlign w:val="superscript"/>
              </w:rPr>
              <w:t>170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Kalisa Houdek</w:t>
            </w:r>
            <w:r>
              <w:rPr>
                <w:rFonts w:ascii="Times New Roman" w:cs="Times New Roman" w:eastAsia="Times New Roman" w:hAnsi="Times New Roman"/>
                <w:sz w:val="29"/>
                <w:szCs w:val="29"/>
                <w:color w:val="auto"/>
                <w:vertAlign w:val="superscript"/>
              </w:rPr>
              <w:t>171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Ray</w:t>
            </w:r>
            <w:r>
              <w:rPr>
                <w:rFonts w:ascii="Times New Roman" w:cs="Times New Roman" w:eastAsia="Times New Roman" w:hAnsi="Times New Roman"/>
                <w:sz w:val="29"/>
                <w:szCs w:val="29"/>
                <w:color w:val="auto"/>
                <w:vertAlign w:val="superscript"/>
              </w:rPr>
              <w:t>172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Darwin Chen</w:t>
            </w:r>
            <w:r>
              <w:rPr>
                <w:rFonts w:ascii="Times New Roman" w:cs="Times New Roman" w:eastAsia="Times New Roman" w:hAnsi="Times New Roman"/>
                <w:sz w:val="29"/>
                <w:szCs w:val="29"/>
                <w:color w:val="auto"/>
                <w:vertAlign w:val="superscript"/>
              </w:rPr>
              <w:t>173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Jami Vincent</w:t>
            </w:r>
            <w:r>
              <w:rPr>
                <w:rFonts w:ascii="Times New Roman" w:cs="Times New Roman" w:eastAsia="Times New Roman" w:hAnsi="Times New Roman"/>
                <w:sz w:val="29"/>
                <w:szCs w:val="29"/>
                <w:color w:val="auto"/>
                <w:vertAlign w:val="superscript"/>
              </w:rPr>
              <w:t>174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Jerry Nemec</w:t>
            </w:r>
            <w:r>
              <w:rPr>
                <w:rFonts w:ascii="Times New Roman" w:cs="Times New Roman" w:eastAsia="Times New Roman" w:hAnsi="Times New Roman"/>
                <w:sz w:val="29"/>
                <w:szCs w:val="29"/>
                <w:color w:val="auto"/>
                <w:vertAlign w:val="superscript"/>
              </w:rPr>
              <w:t>175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Gregory Goodman &amp; Laree Goodman JT</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 Kyle Nagy Trust</w:t>
            </w:r>
            <w:r>
              <w:rPr>
                <w:rFonts w:ascii="Times New Roman" w:cs="Times New Roman" w:eastAsia="Times New Roman" w:hAnsi="Times New Roman"/>
                <w:sz w:val="29"/>
                <w:szCs w:val="29"/>
                <w:color w:val="auto"/>
                <w:vertAlign w:val="superscript"/>
              </w:rPr>
              <w:t>177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Multipro Inc</w:t>
            </w:r>
            <w:r>
              <w:rPr>
                <w:rFonts w:ascii="Times New Roman" w:cs="Times New Roman" w:eastAsia="Times New Roman" w:hAnsi="Times New Roman"/>
                <w:sz w:val="29"/>
                <w:szCs w:val="29"/>
                <w:color w:val="auto"/>
                <w:vertAlign w:val="superscript"/>
              </w:rPr>
              <w:t>178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Hanson</w:t>
            </w:r>
            <w:r>
              <w:rPr>
                <w:rFonts w:ascii="Times New Roman" w:cs="Times New Roman" w:eastAsia="Times New Roman" w:hAnsi="Times New Roman"/>
                <w:sz w:val="29"/>
                <w:szCs w:val="29"/>
                <w:color w:val="auto"/>
                <w:vertAlign w:val="superscript"/>
              </w:rPr>
              <w:t>179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Laurie S. Forster. The address of the principal business office of Laurie S. Forster is 13005 Lake Shore Dr.,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Kalisa Houdek. The address of the principal business office of Kalisa Houdek is 9421 S. Palena Ave., Kuna, ID 83634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William Ray. The address of the principal business office of William Ray is 5387 Rainbow Pkwy, Toomsuba, MS 39364.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Darwin Chen. The address of the principal business office of Darwin Chen is 18124 Wedge Pkwy #115, Reno, NV 89511.</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Jami Vincent. The address of the principal business office of Jami Vincent is 2436 E. Halsey, Eagle, ID 83616.</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Jerry Nemec. The address of the principal business office of Jerry Nemec is 609 W. Colchester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Gregory Goodman &amp; Laree Goodman JT Ten. The address of the principal business office of Gregory Goodman &amp; Laree Goodman JT Ten is 5064 W. Caragana St.,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Kyle Nagy Trust. The address of the principal business office of The Kyle Nagy Trust is 2634 Sunday Grace Drive, Henderson, NV 89052.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Multipro Inc. The address of the principal business office of Multipro Inc. is 6315 W. Mesa Vista Ave., Las Vegas, NV 89118.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 Hanson. The address of the principal business office of Paul Hanson is 300 N. Chief Garry Dr., Liberty Lake, WA 99019.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Excaliber Holdings Inc.</w:t>
            </w:r>
            <w:r>
              <w:rPr>
                <w:rFonts w:ascii="Times New Roman" w:cs="Times New Roman" w:eastAsia="Times New Roman" w:hAnsi="Times New Roman"/>
                <w:sz w:val="29"/>
                <w:szCs w:val="29"/>
                <w:color w:val="auto"/>
                <w:vertAlign w:val="superscript"/>
              </w:rPr>
              <w:t>180</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Leslie D. Penney</w:t>
            </w:r>
            <w:r>
              <w:rPr>
                <w:rFonts w:ascii="Times New Roman" w:cs="Times New Roman" w:eastAsia="Times New Roman" w:hAnsi="Times New Roman"/>
                <w:sz w:val="29"/>
                <w:szCs w:val="29"/>
                <w:color w:val="auto"/>
                <w:vertAlign w:val="superscript"/>
              </w:rPr>
              <w:t>181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Tatum Gale</w:t>
            </w:r>
            <w:r>
              <w:rPr>
                <w:rFonts w:ascii="Times New Roman" w:cs="Times New Roman" w:eastAsia="Times New Roman" w:hAnsi="Times New Roman"/>
                <w:sz w:val="29"/>
                <w:szCs w:val="29"/>
                <w:color w:val="auto"/>
                <w:vertAlign w:val="superscript"/>
              </w:rPr>
              <w:t>182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Kai Gale</w:t>
            </w:r>
            <w:r>
              <w:rPr>
                <w:rFonts w:ascii="Times New Roman" w:cs="Times New Roman" w:eastAsia="Times New Roman" w:hAnsi="Times New Roman"/>
                <w:sz w:val="29"/>
                <w:szCs w:val="29"/>
                <w:color w:val="auto"/>
                <w:vertAlign w:val="superscript"/>
              </w:rPr>
              <w:t>183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Ryan Muckenthaler &amp; Tomasine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Sessions JT Ten</w:t>
            </w:r>
            <w:r>
              <w:rPr>
                <w:rFonts w:ascii="Times New Roman" w:cs="Times New Roman" w:eastAsia="Times New Roman" w:hAnsi="Times New Roman"/>
                <w:sz w:val="29"/>
                <w:szCs w:val="29"/>
                <w:color w:val="auto"/>
                <w:vertAlign w:val="superscript"/>
              </w:rPr>
              <w:t>184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Great North Capital Corp.</w:t>
            </w:r>
            <w:r>
              <w:rPr>
                <w:rFonts w:ascii="Times New Roman" w:cs="Times New Roman" w:eastAsia="Times New Roman" w:hAnsi="Times New Roman"/>
                <w:sz w:val="29"/>
                <w:szCs w:val="29"/>
                <w:color w:val="auto"/>
                <w:vertAlign w:val="superscript"/>
              </w:rPr>
              <w:t>185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O’Dwyer</w:t>
            </w:r>
            <w:r>
              <w:rPr>
                <w:rFonts w:ascii="Times New Roman" w:cs="Times New Roman" w:eastAsia="Times New Roman" w:hAnsi="Times New Roman"/>
                <w:sz w:val="29"/>
                <w:szCs w:val="29"/>
                <w:color w:val="auto"/>
                <w:vertAlign w:val="superscript"/>
              </w:rPr>
              <w:t>186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Zachery Nemec &amp; Carly Nemec JT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Ten</w:t>
            </w:r>
            <w:r>
              <w:rPr>
                <w:rFonts w:ascii="Times New Roman" w:cs="Times New Roman" w:eastAsia="Times New Roman" w:hAnsi="Times New Roman"/>
                <w:sz w:val="29"/>
                <w:szCs w:val="29"/>
                <w:color w:val="auto"/>
                <w:vertAlign w:val="superscript"/>
              </w:rPr>
              <w:t>187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Matthew Gaworski</w:t>
            </w:r>
            <w:r>
              <w:rPr>
                <w:rFonts w:ascii="Times New Roman" w:cs="Times New Roman" w:eastAsia="Times New Roman" w:hAnsi="Times New Roman"/>
                <w:sz w:val="29"/>
                <w:szCs w:val="29"/>
                <w:color w:val="auto"/>
                <w:vertAlign w:val="superscript"/>
              </w:rPr>
              <w:t>188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Saumya Das</w:t>
            </w:r>
            <w:r>
              <w:rPr>
                <w:rFonts w:ascii="Times New Roman" w:cs="Times New Roman" w:eastAsia="Times New Roman" w:hAnsi="Times New Roman"/>
                <w:sz w:val="29"/>
                <w:szCs w:val="29"/>
                <w:color w:val="auto"/>
                <w:vertAlign w:val="superscript"/>
              </w:rPr>
              <w:t>189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 Dunn</w:t>
            </w:r>
            <w:r>
              <w:rPr>
                <w:rFonts w:ascii="Times New Roman" w:cs="Times New Roman" w:eastAsia="Times New Roman" w:hAnsi="Times New Roman"/>
                <w:sz w:val="29"/>
                <w:szCs w:val="29"/>
                <w:color w:val="auto"/>
                <w:vertAlign w:val="superscript"/>
              </w:rPr>
              <w:t>190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Patricia E. Dulaney</w:t>
            </w:r>
            <w:r>
              <w:rPr>
                <w:rFonts w:ascii="Times New Roman" w:cs="Times New Roman" w:eastAsia="Times New Roman" w:hAnsi="Times New Roman"/>
                <w:sz w:val="29"/>
                <w:szCs w:val="29"/>
                <w:color w:val="auto"/>
                <w:vertAlign w:val="superscript"/>
              </w:rPr>
              <w:t>191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Jeremy Terman</w:t>
            </w:r>
            <w:r>
              <w:rPr>
                <w:rFonts w:ascii="Times New Roman" w:cs="Times New Roman" w:eastAsia="Times New Roman" w:hAnsi="Times New Roman"/>
                <w:sz w:val="29"/>
                <w:szCs w:val="29"/>
                <w:color w:val="auto"/>
                <w:vertAlign w:val="superscript"/>
              </w:rPr>
              <w:t>192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Excaliber Holdings, Inc. Daniel Wright is the controlling shareholder of Excaliber Holdings, Inc. The address of the principal business office of Excaliber Holdings, Inc. is 4866 N. Maidstone Pl, Boise, ID 83713.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Leslie D. Penney. The address of the principal business office of Leslie D. Penney is 34 S. Mesa Vista Dr., Boise, ID 83705.</w:t>
      </w:r>
    </w:p>
    <w:p>
      <w:pPr>
        <w:spacing w:after="0" w:line="257" w:lineRule="exact"/>
        <w:rPr>
          <w:rFonts w:ascii="Times New Roman" w:cs="Times New Roman" w:eastAsia="Times New Roman" w:hAnsi="Times New Roman"/>
          <w:sz w:val="30"/>
          <w:szCs w:val="30"/>
          <w:color w:val="auto"/>
          <w:vertAlign w:val="superscript"/>
        </w:rPr>
      </w:pPr>
    </w:p>
    <w:p>
      <w:pPr>
        <w:ind w:left="380" w:right="40" w:hanging="345"/>
        <w:spacing w:after="0" w:line="211"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Tatum Gale. The address of the principal business office of Tatum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257"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Kai Gale. The address of the principal business office of Kai Gale is 11047 N.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 Scottsdale, AZ 85254.</w:t>
      </w:r>
    </w:p>
    <w:p>
      <w:pPr>
        <w:spacing w:after="0" w:line="177"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Ryan Muckenthaler &amp; Tomasine Sessions JT Ten. The address of the principal business office of Ryan Muckenthaler &amp; Tomasine Sessions JT Ten is 1676 S. Blacksmith Pl,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Great North Capital Corp. The address of the principal business office of Great North Capital Corp. is 4471 Dean Martin Dr., Unit 3102, Las Vegas, NV 89103.</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O’Dwyer. The address of the principal business office of Michael O’Dwyer is 7532 Toscana Blvd, Unit 524, Orlando, FL 32819.</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Zachery Nemec &amp; Carly Nemec JT Ten. The address of the principal business office of Zachery Nemec &amp; Carly Nemec JT Ten is 2416 W. Coneflower St., Nampa, ID 83686.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Matthew Gaworski. The address of the principal business office of Matthew Gaworski is 11013 N. Pinto Dr., Fountain Hills, AZ 85268.</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Saumya Das. The address of the principal business office of Saumya Das is 42205 Dove Wing Ct., Ashburn, VA 20148.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Dunn. The address of the principal business office of Rob Dunn is 651 East Gentlewind Court, Boise, ID 83706.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Patricia E. Dulaney. The address of the principal business office of Patricia E. Dulaney is 3443 Modena Circle, Las Vegas, NV 89120.</w:t>
      </w:r>
    </w:p>
    <w:p>
      <w:pPr>
        <w:spacing w:after="0" w:line="257" w:lineRule="exact"/>
        <w:rPr>
          <w:rFonts w:ascii="Times New Roman" w:cs="Times New Roman" w:eastAsia="Times New Roman" w:hAnsi="Times New Roman"/>
          <w:sz w:val="30"/>
          <w:szCs w:val="30"/>
          <w:color w:val="auto"/>
          <w:vertAlign w:val="superscript"/>
        </w:rPr>
      </w:pPr>
    </w:p>
    <w:p>
      <w:pPr>
        <w:ind w:left="380" w:right="20" w:hanging="345"/>
        <w:spacing w:after="0" w:line="211" w:lineRule="auto"/>
        <w:tabs>
          <w:tab w:leader="none" w:pos="380" w:val="left"/>
        </w:tabs>
        <w:numPr>
          <w:ilvl w:val="0"/>
          <w:numId w:val="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Jeremy Terman. The address of the principal business office of Jeremy Terman is 1201 West 86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 Kansas City, MO 64114.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515"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Cucchiaro</w:t>
            </w:r>
            <w:r>
              <w:rPr>
                <w:rFonts w:ascii="Times New Roman" w:cs="Times New Roman" w:eastAsia="Times New Roman" w:hAnsi="Times New Roman"/>
                <w:sz w:val="29"/>
                <w:szCs w:val="29"/>
                <w:color w:val="auto"/>
                <w:vertAlign w:val="superscript"/>
              </w:rPr>
              <w:t>193</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Megan Warren</w:t>
            </w:r>
            <w:r>
              <w:rPr>
                <w:rFonts w:ascii="Times New Roman" w:cs="Times New Roman" w:eastAsia="Times New Roman" w:hAnsi="Times New Roman"/>
                <w:sz w:val="29"/>
                <w:szCs w:val="29"/>
                <w:color w:val="auto"/>
                <w:vertAlign w:val="superscript"/>
              </w:rPr>
              <w:t>194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Scott Spraker</w:t>
            </w:r>
            <w:r>
              <w:rPr>
                <w:rFonts w:ascii="Times New Roman" w:cs="Times New Roman" w:eastAsia="Times New Roman" w:hAnsi="Times New Roman"/>
                <w:sz w:val="29"/>
                <w:szCs w:val="29"/>
                <w:color w:val="auto"/>
                <w:vertAlign w:val="superscript"/>
              </w:rPr>
              <w:t>195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Rob Dickson</w:t>
            </w:r>
            <w:r>
              <w:rPr>
                <w:rFonts w:ascii="Times New Roman" w:cs="Times New Roman" w:eastAsia="Times New Roman" w:hAnsi="Times New Roman"/>
                <w:sz w:val="29"/>
                <w:szCs w:val="29"/>
                <w:color w:val="auto"/>
                <w:vertAlign w:val="superscript"/>
              </w:rPr>
              <w:t>196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Mari E. Dressen Churchill</w:t>
            </w:r>
            <w:r>
              <w:rPr>
                <w:rFonts w:ascii="Times New Roman" w:cs="Times New Roman" w:eastAsia="Times New Roman" w:hAnsi="Times New Roman"/>
                <w:sz w:val="29"/>
                <w:szCs w:val="29"/>
                <w:color w:val="auto"/>
                <w:vertAlign w:val="superscript"/>
              </w:rPr>
              <w:t>197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Joel Fish</w:t>
            </w:r>
            <w:r>
              <w:rPr>
                <w:rFonts w:ascii="Times New Roman" w:cs="Times New Roman" w:eastAsia="Times New Roman" w:hAnsi="Times New Roman"/>
                <w:sz w:val="29"/>
                <w:szCs w:val="29"/>
                <w:color w:val="auto"/>
                <w:vertAlign w:val="superscript"/>
              </w:rPr>
              <w:t>198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Spencer Lee Smith</w:t>
            </w:r>
            <w:r>
              <w:rPr>
                <w:rFonts w:ascii="Times New Roman" w:cs="Times New Roman" w:eastAsia="Times New Roman" w:hAnsi="Times New Roman"/>
                <w:sz w:val="29"/>
                <w:szCs w:val="29"/>
                <w:color w:val="auto"/>
                <w:vertAlign w:val="superscript"/>
              </w:rPr>
              <w:t>199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Adam Paul Esposito</w:t>
            </w:r>
            <w:r>
              <w:rPr>
                <w:rFonts w:ascii="Times New Roman" w:cs="Times New Roman" w:eastAsia="Times New Roman" w:hAnsi="Times New Roman"/>
                <w:sz w:val="29"/>
                <w:szCs w:val="29"/>
                <w:color w:val="auto"/>
                <w:vertAlign w:val="superscript"/>
              </w:rPr>
              <w:t>200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Samual Mallane</w:t>
            </w:r>
            <w:r>
              <w:rPr>
                <w:rFonts w:ascii="Times New Roman" w:cs="Times New Roman" w:eastAsia="Times New Roman" w:hAnsi="Times New Roman"/>
                <w:sz w:val="29"/>
                <w:szCs w:val="29"/>
                <w:color w:val="auto"/>
                <w:vertAlign w:val="superscript"/>
              </w:rPr>
              <w:t>201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Michael Wright</w:t>
            </w:r>
            <w:r>
              <w:rPr>
                <w:rFonts w:ascii="Times New Roman" w:cs="Times New Roman" w:eastAsia="Times New Roman" w:hAnsi="Times New Roman"/>
                <w:sz w:val="29"/>
                <w:szCs w:val="29"/>
                <w:color w:val="auto"/>
                <w:vertAlign w:val="superscript"/>
              </w:rPr>
              <w:t>202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Alejandro Salinas</w:t>
            </w:r>
            <w:r>
              <w:rPr>
                <w:rFonts w:ascii="Times New Roman" w:cs="Times New Roman" w:eastAsia="Times New Roman" w:hAnsi="Times New Roman"/>
                <w:sz w:val="29"/>
                <w:szCs w:val="29"/>
                <w:color w:val="auto"/>
                <w:vertAlign w:val="superscript"/>
              </w:rPr>
              <w:t>203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Elisa R. Bilbao</w:t>
            </w:r>
            <w:r>
              <w:rPr>
                <w:rFonts w:ascii="Times New Roman" w:cs="Times New Roman" w:eastAsia="Times New Roman" w:hAnsi="Times New Roman"/>
                <w:sz w:val="29"/>
                <w:szCs w:val="29"/>
                <w:color w:val="auto"/>
                <w:vertAlign w:val="superscript"/>
              </w:rPr>
              <w:t>204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Christopher Boquette</w:t>
            </w:r>
            <w:r>
              <w:rPr>
                <w:rFonts w:ascii="Times New Roman" w:cs="Times New Roman" w:eastAsia="Times New Roman" w:hAnsi="Times New Roman"/>
                <w:sz w:val="29"/>
                <w:szCs w:val="29"/>
                <w:color w:val="auto"/>
                <w:vertAlign w:val="superscript"/>
              </w:rPr>
              <w:t>205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Robert Cucchiaro. The address of the principal business office of Robert Cucchiaro is 360 W. Back Forty Dr., Eagle, ID 83616.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Megan Warren. The address of the principal business office of Megan Warren is 3034 West Central Blvd., Cambridge, ID 83610.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Kenneth Scott Spraker. The address of the principal business office of Kenneth Scott Spraker is 294 E. Whitespur St., Meridian, ID 83642.</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Rob Dickson. The address of the principal business office of Rob Dickson is 2434 East Garber,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Mari E. Dressen Churchill. The address of the principal business office of Mari E. Dressen Churchill is 967 E. Parkcenter #302, Boise, ID 83706.</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Joel Fish. The address of the principal business office of Joel Fish is 4931 Morninggale Way, Boise, ID 83713.</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Spencer Lee Smith. The address of the principal business office of Spencer Lee Smith is 3200 Birch St., Baker City, OR 97814.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Adam Paul Esposito. The address of the principal business office of Adam Paul Esposito is 11331 W. Brandi Ln, Nampa, ID 83651.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Samuel Mallane. The address of the principal business office of Samuel Mallane is 2324 W. Ona St., Boise, ID 83705.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Michael Wright. The address of the principal business office of Michael Wright is 5683 S. Alyssum Pl., Boise, ID 83716.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Alejandro Salinas. The address of the principal business office of Alejandro Salinas is 3428 W. Star Hollow Dr., Meridian, ID 83646.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Elisa Bilbao. The address of the principal business office of Elisa Bilbao is 3597 Cow Creek Rd., Cambridge, ID 83610.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Christopher Boquette. The address of the principal business office of Christopher Boquette is 7889 S. Indigo Ridge Ave., Boise, ID 83716.</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068"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Michelmore</w:t>
            </w:r>
            <w:r>
              <w:rPr>
                <w:rFonts w:ascii="Times New Roman" w:cs="Times New Roman" w:eastAsia="Times New Roman" w:hAnsi="Times New Roman"/>
                <w:sz w:val="29"/>
                <w:szCs w:val="29"/>
                <w:color w:val="auto"/>
                <w:vertAlign w:val="superscript"/>
              </w:rPr>
              <w:t>206</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YanQiang Lu</w:t>
            </w:r>
            <w:r>
              <w:rPr>
                <w:rFonts w:ascii="Times New Roman" w:cs="Times New Roman" w:eastAsia="Times New Roman" w:hAnsi="Times New Roman"/>
                <w:sz w:val="29"/>
                <w:szCs w:val="29"/>
                <w:color w:val="auto"/>
                <w:vertAlign w:val="superscript"/>
              </w:rPr>
              <w:t>207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Najeeb Ahmed</w:t>
            </w:r>
            <w:r>
              <w:rPr>
                <w:rFonts w:ascii="Times New Roman" w:cs="Times New Roman" w:eastAsia="Times New Roman" w:hAnsi="Times New Roman"/>
                <w:sz w:val="29"/>
                <w:szCs w:val="29"/>
                <w:color w:val="auto"/>
                <w:vertAlign w:val="superscript"/>
              </w:rPr>
              <w:t>208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Jeffrey Weier</w:t>
            </w:r>
            <w:r>
              <w:rPr>
                <w:rFonts w:ascii="Times New Roman" w:cs="Times New Roman" w:eastAsia="Times New Roman" w:hAnsi="Times New Roman"/>
                <w:sz w:val="29"/>
                <w:szCs w:val="29"/>
                <w:color w:val="auto"/>
                <w:vertAlign w:val="superscript"/>
              </w:rPr>
              <w:t>209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StartUpNV</w:t>
            </w:r>
            <w:r>
              <w:rPr>
                <w:rFonts w:ascii="Times New Roman" w:cs="Times New Roman" w:eastAsia="Times New Roman" w:hAnsi="Times New Roman"/>
                <w:sz w:val="29"/>
                <w:szCs w:val="29"/>
                <w:color w:val="auto"/>
                <w:vertAlign w:val="superscript"/>
              </w:rPr>
              <w:t>210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Absolute Return Master Account,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9"/>
                <w:szCs w:val="29"/>
                <w:color w:val="auto"/>
                <w:vertAlign w:val="superscript"/>
              </w:rPr>
              <w:t>211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AQR Diversified Arbitrage Fund, a</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series of AQR Funds</w:t>
            </w:r>
            <w:r>
              <w:rPr>
                <w:rFonts w:ascii="Times New Roman" w:cs="Times New Roman" w:eastAsia="Times New Roman" w:hAnsi="Times New Roman"/>
                <w:sz w:val="29"/>
                <w:szCs w:val="29"/>
                <w:color w:val="auto"/>
                <w:vertAlign w:val="superscript"/>
              </w:rPr>
              <w:t>212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AQR Global Alternative Investment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Offshore Fund, L.P.</w:t>
            </w:r>
            <w:r>
              <w:rPr>
                <w:rFonts w:ascii="Times New Roman" w:cs="Times New Roman" w:eastAsia="Times New Roman" w:hAnsi="Times New Roman"/>
                <w:sz w:val="29"/>
                <w:szCs w:val="29"/>
                <w:color w:val="auto"/>
                <w:vertAlign w:val="superscript"/>
              </w:rPr>
              <w:t>213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John Michelmore. The address of the principal business office of John Michelmore is 2749 Leolota Way, Carmichael, CA 95608.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YanQiang Lu. The address of the principal business office of YanQiang Lu is 11838 Bragno Ct., Las Vegas, NV 89138.</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Najeeb Ahmed. The address of the principal business office of Najeeb Ahmed is 425 S. Secratariat Dr., Springfield, OH 45503.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Jeffrey Weier. The address of the principal business office of Jeffrey Weier is 148 N. Harding Rd., Columbus, OH 43209.</w:t>
      </w:r>
    </w:p>
    <w:p>
      <w:pPr>
        <w:spacing w:after="0" w:line="142"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StartUpNV. The address of the principal business office of StartUpNV is 450 Sinclair St., Reno, NV 89503.</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20" w:hanging="345"/>
        <w:spacing w:after="0" w:line="231"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Absolute Return Master Account, L.P. AQR Principal Global Asset Allocation LLC, a Delaware limited liability company, is the general partner of AQR Absolute Return Master Account, L.P. AQR Capital Management, LLC and AQR Arbitrage, LLC, each a Delaware limited liability company, act as investment adviser to AQR Absolute Return Master Account,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Absolute Return Master Account, L.P. is One Greenwich Plaza, Greenwich, CT 06830.</w:t>
      </w:r>
    </w:p>
    <w:p>
      <w:pPr>
        <w:spacing w:after="0" w:line="254"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Diversified Arbitrage Fund. AQR Capital Management, LLC and AQR Arbitrage, LLC, each a Delaware limited liability company, act as investment adviser and sub-adviser, respectively to AQR Diversified Arbitrage Fund.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Diversified Arbitrage Fund is One Greenwich Plaza, Greenwich, CT 06830.</w:t>
      </w:r>
    </w:p>
    <w:p>
      <w:pPr>
        <w:spacing w:after="0" w:line="255" w:lineRule="exact"/>
        <w:rPr>
          <w:rFonts w:ascii="Times New Roman" w:cs="Times New Roman" w:eastAsia="Times New Roman" w:hAnsi="Times New Roman"/>
          <w:sz w:val="30"/>
          <w:szCs w:val="30"/>
          <w:color w:val="auto"/>
          <w:vertAlign w:val="superscript"/>
        </w:rPr>
      </w:pPr>
    </w:p>
    <w:p>
      <w:pPr>
        <w:jc w:val="both"/>
        <w:ind w:left="380" w:right="40" w:hanging="345"/>
        <w:spacing w:after="0" w:line="231" w:lineRule="auto"/>
        <w:tabs>
          <w:tab w:leader="none" w:pos="38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Global Alternative Investment Offshore Fund, L.P. AQR Capital Management GP, Ltd., a Cayman Islands company, is the general partner of AQR Global Alternative Investment Offshore Fund, L.P. AQR Capital Management, LLC and AQR Arbitrage, LLC, each a Delaware limited liability company, act as investment adviser to AQR Global Alternative Investment Offshore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Global Alternative Investment Offshore Fund, L.P. is One Greenwich Plaza, Greenwich, CT 06830.</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AQR TA Global Alpha Fund, L.P.</w:t>
            </w:r>
            <w:r>
              <w:rPr>
                <w:rFonts w:ascii="Times New Roman" w:cs="Times New Roman" w:eastAsia="Times New Roman" w:hAnsi="Times New Roman"/>
                <w:sz w:val="29"/>
                <w:szCs w:val="29"/>
                <w:color w:val="auto"/>
                <w:vertAlign w:val="superscript"/>
              </w:rPr>
              <w:t>214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Asif Ramji</w:t>
            </w:r>
            <w:r>
              <w:rPr>
                <w:rFonts w:ascii="Times New Roman" w:cs="Times New Roman" w:eastAsia="Times New Roman" w:hAnsi="Times New Roman"/>
                <w:sz w:val="29"/>
                <w:szCs w:val="29"/>
                <w:color w:val="auto"/>
                <w:vertAlign w:val="superscript"/>
              </w:rPr>
              <w:t>215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49,501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ASK, LLC</w:t>
            </w:r>
            <w:r>
              <w:rPr>
                <w:rFonts w:ascii="Times New Roman" w:cs="Times New Roman" w:eastAsia="Times New Roman" w:hAnsi="Times New Roman"/>
                <w:sz w:val="29"/>
                <w:szCs w:val="29"/>
                <w:color w:val="auto"/>
                <w:vertAlign w:val="superscript"/>
              </w:rPr>
              <w:t>216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Atlas Merchant Capital SPAC Fund I</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217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Betsy Cohen</w:t>
            </w:r>
            <w:r>
              <w:rPr>
                <w:rFonts w:ascii="Times New Roman" w:cs="Times New Roman" w:eastAsia="Times New Roman" w:hAnsi="Times New Roman"/>
                <w:sz w:val="29"/>
                <w:szCs w:val="29"/>
                <w:color w:val="auto"/>
                <w:vertAlign w:val="superscript"/>
              </w:rPr>
              <w:t>218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46,116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Boston Patriot Merrimack St, LLC</w:t>
            </w:r>
            <w:r>
              <w:rPr>
                <w:rFonts w:ascii="Times New Roman" w:cs="Times New Roman" w:eastAsia="Times New Roman" w:hAnsi="Times New Roman"/>
                <w:sz w:val="29"/>
                <w:szCs w:val="29"/>
                <w:color w:val="auto"/>
                <w:vertAlign w:val="superscript"/>
              </w:rPr>
              <w:t>219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69,959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Breoga Trust</w:t>
            </w:r>
            <w:r>
              <w:rPr>
                <w:rFonts w:ascii="Times New Roman" w:cs="Times New Roman" w:eastAsia="Times New Roman" w:hAnsi="Times New Roman"/>
                <w:sz w:val="29"/>
                <w:szCs w:val="29"/>
                <w:color w:val="auto"/>
                <w:vertAlign w:val="superscript"/>
              </w:rPr>
              <w:t>220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Cameron Balash</w:t>
            </w:r>
            <w:r>
              <w:rPr>
                <w:rFonts w:ascii="Times New Roman" w:cs="Times New Roman" w:eastAsia="Times New Roman" w:hAnsi="Times New Roman"/>
                <w:sz w:val="29"/>
                <w:szCs w:val="29"/>
                <w:color w:val="auto"/>
                <w:vertAlign w:val="superscript"/>
              </w:rPr>
              <w:t>221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20" w:hanging="345"/>
        <w:spacing w:after="0" w:line="231"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AQR TA Global Alpha Fund, L.P. AQR Tax Advantaged GP II, LLC, a Delaware limited liability company, is the general partner of AQR TA Global Alpha Fund, L.P. AQR Capital Management, LLC and AQR Arbitrage, LLC, each a Delaware limited liability company, act as investment adviser to AQR TA Global Alpha Fund, L.P. AQR Arbitrage, LLC is deemed to be controlled by AQR Capital Management, LLC. AQR Capital Management, LLC is a wholly-owned subsidiary of AQR Capital Management Holdings, LLC, a Delaware limited liability company. Clifford S. Asness may be deemed to control AQR Capital Management, LLC through his voting control over the Board of Managers of AQR Capital Management Holdings, LLC. The address of the principal business office of AQR TA Global Alpha Fund, L.P. is One Greenwich Plaza, Greenwich, CT 06830.</w:t>
      </w:r>
    </w:p>
    <w:p>
      <w:pPr>
        <w:spacing w:after="0" w:line="144" w:lineRule="exact"/>
        <w:rPr>
          <w:rFonts w:ascii="Times New Roman" w:cs="Times New Roman" w:eastAsia="Times New Roman" w:hAnsi="Times New Roman"/>
          <w:sz w:val="30"/>
          <w:szCs w:val="30"/>
          <w:color w:val="auto"/>
          <w:vertAlign w:val="superscript"/>
        </w:rPr>
      </w:pPr>
    </w:p>
    <w:p>
      <w:pPr>
        <w:ind w:left="380" w:hanging="345"/>
        <w:spacing w:after="0"/>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Asif Ramji. The address of the principal business office of Asif Ramji is 337 King Road NW, Atlanta, GA 30342.</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 Mr. Howroyd is a director of the Company. The address of the principal business office of ASK, LLC is 327 W. Broadway Ave, Glendale, CA 91204.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2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Atlas Merchant Capital SPAC Fund I LP (the “Fund”) The shares are held directly by Atlas Merchant Capital SPAC Fund I LP (the “Fund”). Atlas Merchant Capital LLC (the “Advisor”) is a registered investment advisor and the investment manager of the Fund. Atlas Merchant Capital LP (AMC Capital”) is the managing member of the Advisor. Atlas Merchant Capital GP LLC (“AMC-GP”) is the general partner of AMC Capital. AMC SPAC Fund LP GP (the “General Partner”) is the general partner of the Fund and AMC SPAC Fund MGP LLC (“AMC SPAC MGP”) is the general partner of the General Partner. Robert E. Diamond and David I. Schamis are the sole members of AMC SPAC MGP. Each of the Advisor, AMC Capital, AMC-CP, the General Partner, AMC SPAC MGP and Messrs. Diamond and Schamis may be deemed to indirectly beneficially own the shares directly held by the Fund, but each of such persons disclaims such beneficial ownership except to the extent of its pecuniary interest in the shares held by the Fund. The address of the principal business office of the Fund is 477 Madison Ave.,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 New York, NY 10022.</w:t>
      </w:r>
    </w:p>
    <w:p>
      <w:pPr>
        <w:spacing w:after="0" w:line="260"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Betsy Cohen. The address of the principal business office of Betsy Cohen is 1240 N. Casey Key Rd, Osprey, FL 34229.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Boston Patriot Merrimack St, LLC. Fir Tree Capital Management, LP is the investment manager of Boston Patriot Merrimack St, LLC. Clinton Biando and David Sultan are the Managing Partners of Fir Tree Capital Management, LP and have voting and investment control of the shares held by Fir Tree Capital Management, LP but disclaim beneficial ownership of the shares. The address of the principal business office of Boston Patriot Merrimack St, LLC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Breoga Trust. Tom Killalea is the Trustee of Breoga Trust and has voting and investment control of the shares held by Breoga Trust. The address of the principal business office of Breoga Trust is 7740 Fairway Dr. NE, Seattle, WA 98115.</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Cameron Balash. The address of the principal business office of Cameron Balash is 218 Le Starboard Dr., Pensacola Beach, FL 32561.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Cohen Sponsor LLC - V29 RS</w:t>
            </w:r>
            <w:r>
              <w:rPr>
                <w:rFonts w:ascii="Times New Roman" w:cs="Times New Roman" w:eastAsia="Times New Roman" w:hAnsi="Times New Roman"/>
                <w:sz w:val="29"/>
                <w:szCs w:val="29"/>
                <w:color w:val="auto"/>
                <w:vertAlign w:val="superscript"/>
              </w:rPr>
              <w:t>222</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299,225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299,225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Crestline Summit APEX SP</w:t>
            </w:r>
            <w:r>
              <w:rPr>
                <w:rFonts w:ascii="Times New Roman" w:cs="Times New Roman" w:eastAsia="Times New Roman" w:hAnsi="Times New Roman"/>
                <w:sz w:val="29"/>
                <w:szCs w:val="29"/>
                <w:color w:val="auto"/>
                <w:vertAlign w:val="superscript"/>
              </w:rPr>
              <w:t>223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Crestline Summit Master, SPC- Peak</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SP</w:t>
            </w:r>
            <w:r>
              <w:rPr>
                <w:rFonts w:ascii="Times New Roman" w:cs="Times New Roman" w:eastAsia="Times New Roman" w:hAnsi="Times New Roman"/>
                <w:sz w:val="14"/>
                <w:szCs w:val="14"/>
                <w:color w:val="auto"/>
              </w:rPr>
              <w:t>224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Cyber Secure at Sea, LLC</w:t>
            </w:r>
            <w:r>
              <w:rPr>
                <w:rFonts w:ascii="Times New Roman" w:cs="Times New Roman" w:eastAsia="Times New Roman" w:hAnsi="Times New Roman"/>
                <w:sz w:val="29"/>
                <w:szCs w:val="29"/>
                <w:color w:val="auto"/>
                <w:vertAlign w:val="superscript"/>
              </w:rPr>
              <w:t>225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Cynosure Holdings, LLC</w:t>
            </w:r>
            <w:r>
              <w:rPr>
                <w:rFonts w:ascii="Times New Roman" w:cs="Times New Roman" w:eastAsia="Times New Roman" w:hAnsi="Times New Roman"/>
                <w:sz w:val="29"/>
                <w:szCs w:val="29"/>
                <w:color w:val="auto"/>
                <w:vertAlign w:val="superscript"/>
              </w:rPr>
              <w:t>226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41,250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Barbara Hutchinson</w:t>
            </w:r>
            <w:r>
              <w:rPr>
                <w:rFonts w:ascii="Times New Roman" w:cs="Times New Roman" w:eastAsia="Times New Roman" w:hAnsi="Times New Roman"/>
                <w:sz w:val="29"/>
                <w:szCs w:val="29"/>
                <w:color w:val="auto"/>
                <w:vertAlign w:val="superscript"/>
              </w:rPr>
              <w:t>227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Oruoele</w:t>
            </w:r>
            <w:r>
              <w:rPr>
                <w:rFonts w:ascii="Times New Roman" w:cs="Times New Roman" w:eastAsia="Times New Roman" w:hAnsi="Times New Roman"/>
                <w:sz w:val="29"/>
                <w:szCs w:val="29"/>
                <w:color w:val="auto"/>
                <w:vertAlign w:val="superscript"/>
              </w:rPr>
              <w:t>228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EVN 2021 Trust, Ezekiel V.</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Newhouse</w:t>
            </w:r>
            <w:r>
              <w:rPr>
                <w:rFonts w:ascii="Times New Roman" w:cs="Times New Roman" w:eastAsia="Times New Roman" w:hAnsi="Times New Roman"/>
                <w:sz w:val="29"/>
                <w:szCs w:val="29"/>
                <w:color w:val="auto"/>
                <w:vertAlign w:val="superscript"/>
              </w:rPr>
              <w:t>229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EXOS Collateralized SPAC Holdings</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230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F-Cubed Investments, LLC</w:t>
            </w:r>
            <w:r>
              <w:rPr>
                <w:rFonts w:ascii="Times New Roman" w:cs="Times New Roman" w:eastAsia="Times New Roman" w:hAnsi="Times New Roman"/>
                <w:sz w:val="29"/>
                <w:szCs w:val="29"/>
                <w:color w:val="auto"/>
                <w:vertAlign w:val="superscript"/>
              </w:rPr>
              <w:t>231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Cohen Sponsor LLC - V29 RS. Cohen &amp; Company is the sole member of Cohen Sponsor LLC - V29 RS and Lester Brafman is the managing member of Cohen &amp; Company, LLC. The address of the principal business office of Cohen Sponsor LLC - V29 RS is 2929 Arch Street, Suite 1703, Philadelphia, PA 19104.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 Crestline Summit APEX SP. The address of the principal business office of Crestline Summit Master, SPC - Crestline Summit APEX SP is 201 Main Street, Suite 2600, Fort Worth, TX 76102.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Crestline Summit Master, SPC- Peak SP. The address of the principal business office of Crestline Summit Master, SPC- Peak SP is 201 Main Street, Suite 2600, Fort Worth, TX 76102.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Cyber Secure at Sea, LLC. Danelle Barrett is the sole member of ASK, LLC and has voting and investment control of the shares held by Cyber Secure at Sea, LLC. The address of the principal business office of Cyber Secure at Sea, LLC is 7500 Old Georgetown Road, Suite 901, Bethesda, MD 20814.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Cynosure Holdings, LLC. Sandra Campos is the sole member of Cynosure Holdings, LLC and has voting and investment control of the shares held by Cynosure Holdings, LLC. The address of the principal business office of Cynosure Holdings, LLC is 1040 County Route 13, Old Chatham, NY 12136.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Dr. Barbara Hutchinson. The address of the principal business office of Dr. Barbara Hutchinson is 11906 Shady Stone Terr., Bowie, MD 20721.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Eric Oruoele. The address of the principal business office of Eric Oruoele is 11180 State Bridge Road, Suite 203, Alpharetta, GA 30022.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EVN 2021 Trust. Ezekiel V. Newhouse is the Trustee of the EVN 2021 Trust and has voting and investment control of the shares held by the EVN 2021 Trust. The address of the principal business office of EVN 2021 Trust is 2129 Lamberton Ln, Kennesaw, GA 30152.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9"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EXOS Collateralized SPAC Holdings Fund LP. EXOS Collateralized SPAC Holdings Fund GP LL is the general partner of EXOS Collateralized SPAC Holdings Fund LP and has voting and investment control of the shares held by EXOS Collateralized SPAC Holdings Fund LP but disclaims beneficial ownership of such shares. The address of the principal business office of EXOS Collateralized SPAC Holdings Fund LP is 1370 Broadway, Suite 1450, New York, NY 10018.</w:t>
      </w:r>
    </w:p>
    <w:p>
      <w:pPr>
        <w:spacing w:after="0" w:line="252"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F-Cubed Investments, LLC. Tarrea Ashe is the sole member of F-Cubed Investments, LLC and has voting and investment control of the shares held by F-Cubed Investments, LLC. The address of the principal business office of F-Cubed Investments, LLC, Tarrea Ashe is 1607 Highway 99, Townsend, GA 31331.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198"/>
        </w:trPr>
        <w:tc>
          <w:tcPr>
            <w:tcW w:w="30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 Tree Credit Opportunity Master Fund</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III, LP FKA: Fir Tree Capital</w:t>
            </w: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Opportunity Master Fund III, LP</w:t>
            </w:r>
            <w:r>
              <w:rPr>
                <w:rFonts w:ascii="Times New Roman" w:cs="Times New Roman" w:eastAsia="Times New Roman" w:hAnsi="Times New Roman"/>
                <w:sz w:val="29"/>
                <w:szCs w:val="29"/>
                <w:color w:val="auto"/>
                <w:vertAlign w:val="superscript"/>
              </w:rPr>
              <w:t>232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9,727</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FT SOF XIII (SPAC) Holdings, LLC</w:t>
            </w:r>
            <w:r>
              <w:rPr>
                <w:rFonts w:ascii="Times New Roman" w:cs="Times New Roman" w:eastAsia="Times New Roman" w:hAnsi="Times New Roman"/>
                <w:sz w:val="29"/>
                <w:szCs w:val="29"/>
                <w:color w:val="auto"/>
                <w:vertAlign w:val="superscript"/>
              </w:rPr>
              <w:t>233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60,314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60,314</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Grace Vandecruze</w:t>
            </w:r>
            <w:r>
              <w:rPr>
                <w:rFonts w:ascii="Times New Roman" w:cs="Times New Roman" w:eastAsia="Times New Roman" w:hAnsi="Times New Roman"/>
                <w:sz w:val="29"/>
                <w:szCs w:val="29"/>
                <w:color w:val="auto"/>
                <w:vertAlign w:val="superscript"/>
              </w:rPr>
              <w:t>234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Greice Murphy Enterprise, LLC</w:t>
            </w:r>
            <w:r>
              <w:rPr>
                <w:rFonts w:ascii="Times New Roman" w:cs="Times New Roman" w:eastAsia="Times New Roman" w:hAnsi="Times New Roman"/>
                <w:sz w:val="29"/>
                <w:szCs w:val="29"/>
                <w:color w:val="auto"/>
                <w:vertAlign w:val="superscript"/>
              </w:rPr>
              <w:t>235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19,871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 Institutional</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9"/>
                <w:szCs w:val="29"/>
                <w:color w:val="auto"/>
                <w:vertAlign w:val="superscript"/>
              </w:rPr>
              <w:t>236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79,700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79,700</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Highbridge Tactical Credit Institutional</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9"/>
                <w:szCs w:val="29"/>
                <w:color w:val="auto"/>
                <w:vertAlign w:val="superscript"/>
              </w:rPr>
              <w:t>237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jc w:val="both"/>
        <w:ind w:left="380" w:right="20" w:hanging="345"/>
        <w:spacing w:after="0" w:line="220"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Fir Tree Credit Opportunity Master Fund, LP formerly known as Fir Tree Capital Opportunity Master Fund III, LP. Fir Tree Capital Management, LP is the investment manager of Fir Tree Credit Opportunity Master Fund, LP formerly known as Fir Tree Capital Opportunity Master Fund III, LP. Clinton Biando and David Sultan are the Managing Partners of Fir Tree Capital Management, LP and have voting and investment control of the shares held by Fir Tree Credit Opportunity Master Fund, LP formerly known as Fir Tree Capital Opportunity Master Fund III, LP but disclaim beneficial ownership of such shares. The address of the principal business office of Fir Tree Credit Opportunity Master Fund, LP formerly known as Fir Tree Capital Opportunity Master Fund III, LP is c/o Fir Tree Capital Management, LP, 500 Fifth Avenue,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10110.</w:t>
      </w:r>
    </w:p>
    <w:p>
      <w:pPr>
        <w:spacing w:after="0" w:line="251" w:lineRule="exact"/>
        <w:rPr>
          <w:rFonts w:ascii="Times New Roman" w:cs="Times New Roman" w:eastAsia="Times New Roman" w:hAnsi="Times New Roman"/>
          <w:sz w:val="30"/>
          <w:szCs w:val="30"/>
          <w:color w:val="auto"/>
          <w:vertAlign w:val="superscript"/>
        </w:rPr>
      </w:pPr>
    </w:p>
    <w:p>
      <w:pPr>
        <w:jc w:val="both"/>
        <w:ind w:left="380" w:right="20" w:hanging="345"/>
        <w:spacing w:after="0" w:line="224"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FT SOF XIII (SPAC) Holdings, LLC. Fir Tree Capital Management, LP is the investment manager of FT SOF XIII (SPAC) Holdings, LLC and Clinton Biando and David Sultan are the Managing Partners of Fir Tree Capital Management, LP and have voting and investment control of the shares held by FT SOF XIII (SPAC) Holdings, LLC but disclaim beneficial ownership of such shares. The address of the principal business office of FT SOF XIII (SPAC) Holdings, LLC is c/o Fir Tree Capital Management, LP, 500 Fifth Avenue, 9th Floor, New York, NY 10110.</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Grace Vandecruze. The address of the principal business office of Grace Vandecruze is 54 Riverside Drive 8AA, New York, NY 10024.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Greice Murphy Enterprise, LLC. Greice Murphy is the sole member of Greice Murphy Enterprise, LLC and has voting and investment control of the shares held by Greice Murphy Enterprise, LLC. The address of the principal business office of Greice Murphy Enterprise, LLC is 9200 SW 71st Avenue, Pinecrest, FL 33156.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79,700 shares directly held by Highbridge Tactical Credit Institutional Fund Ltd. (“Highbridge”). The address of the principal business office of the Highbridge is P.O. Box 309 GT, Ugland House, South Church St., George Town.</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20,300 shares directly held by Highbridge Tactical Credit Institutional Fund Ltd. (“Highbridge”). The address of the principal business office of the Highbridge is P.O. Box 309 GT, Ugland House, South Church St., George Town.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63"/>
        </w:trPr>
        <w:tc>
          <w:tcPr>
            <w:tcW w:w="3100" w:type="dxa"/>
            <w:vAlign w:val="bottom"/>
            <w:gridSpan w:val="2"/>
            <w:vMerge w:val="continue"/>
          </w:tcPr>
          <w:p>
            <w:pPr>
              <w:spacing w:after="0"/>
              <w:rPr>
                <w:sz w:val="22"/>
                <w:szCs w:val="22"/>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01"/>
        </w:trPr>
        <w:tc>
          <w:tcPr>
            <w:tcW w:w="300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Ingram Capital Investment Group,</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238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798,162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798,162</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 Ariel Mendiola</w:t>
            </w:r>
            <w:r>
              <w:rPr>
                <w:rFonts w:ascii="Times New Roman" w:cs="Times New Roman" w:eastAsia="Times New Roman" w:hAnsi="Times New Roman"/>
                <w:sz w:val="29"/>
                <w:szCs w:val="29"/>
                <w:color w:val="auto"/>
                <w:vertAlign w:val="superscript"/>
              </w:rPr>
              <w:t>239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12,419</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Joyce Brocaglia</w:t>
            </w:r>
            <w:r>
              <w:rPr>
                <w:rFonts w:ascii="Times New Roman" w:cs="Times New Roman" w:eastAsia="Times New Roman" w:hAnsi="Times New Roman"/>
                <w:sz w:val="29"/>
                <w:szCs w:val="29"/>
                <w:color w:val="auto"/>
                <w:vertAlign w:val="superscript"/>
              </w:rPr>
              <w:t>240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34,772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Latonja Chatman-Culmer</w:t>
            </w:r>
            <w:r>
              <w:rPr>
                <w:rFonts w:ascii="Times New Roman" w:cs="Times New Roman" w:eastAsia="Times New Roman" w:hAnsi="Times New Roman"/>
                <w:sz w:val="29"/>
                <w:szCs w:val="29"/>
                <w:color w:val="auto"/>
                <w:vertAlign w:val="superscript"/>
              </w:rPr>
              <w:t>241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Lauren C. Anderson</w:t>
            </w:r>
            <w:r>
              <w:rPr>
                <w:rFonts w:ascii="Times New Roman" w:cs="Times New Roman" w:eastAsia="Times New Roman" w:hAnsi="Times New Roman"/>
                <w:sz w:val="29"/>
                <w:szCs w:val="29"/>
                <w:color w:val="auto"/>
                <w:vertAlign w:val="superscript"/>
              </w:rPr>
              <w:t>242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M&amp;M Holdings LLC</w:t>
            </w:r>
            <w:r>
              <w:rPr>
                <w:rFonts w:ascii="Times New Roman" w:cs="Times New Roman" w:eastAsia="Times New Roman" w:hAnsi="Times New Roman"/>
                <w:sz w:val="29"/>
                <w:szCs w:val="29"/>
                <w:color w:val="auto"/>
                <w:vertAlign w:val="superscript"/>
              </w:rPr>
              <w:t>243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Madhani Investments, LLC</w:t>
            </w:r>
            <w:r>
              <w:rPr>
                <w:rFonts w:ascii="Times New Roman" w:cs="Times New Roman" w:eastAsia="Times New Roman" w:hAnsi="Times New Roman"/>
                <w:sz w:val="29"/>
                <w:szCs w:val="29"/>
                <w:color w:val="auto"/>
                <w:vertAlign w:val="superscript"/>
              </w:rPr>
              <w:t>244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Mahesh Konduru</w:t>
            </w:r>
            <w:r>
              <w:rPr>
                <w:rFonts w:ascii="Times New Roman" w:cs="Times New Roman" w:eastAsia="Times New Roman" w:hAnsi="Times New Roman"/>
                <w:sz w:val="29"/>
                <w:szCs w:val="29"/>
                <w:color w:val="auto"/>
                <w:vertAlign w:val="superscript"/>
              </w:rPr>
              <w:t>245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14,903</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Marc J Gorlin TTEE MJG 2014 Subtrust</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U/a DTD 09/03/2021</w:t>
            </w:r>
            <w:r>
              <w:rPr>
                <w:rFonts w:ascii="Times New Roman" w:cs="Times New Roman" w:eastAsia="Times New Roman" w:hAnsi="Times New Roman"/>
                <w:sz w:val="29"/>
                <w:szCs w:val="29"/>
                <w:color w:val="auto"/>
                <w:vertAlign w:val="superscript"/>
              </w:rPr>
              <w:t>246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Gomez Roquero</w:t>
            </w:r>
            <w:r>
              <w:rPr>
                <w:rFonts w:ascii="Times New Roman" w:cs="Times New Roman" w:eastAsia="Times New Roman" w:hAnsi="Times New Roman"/>
                <w:sz w:val="29"/>
                <w:szCs w:val="29"/>
                <w:color w:val="auto"/>
                <w:vertAlign w:val="superscript"/>
              </w:rPr>
              <w:t>247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49,676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49,676</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jc w:val="both"/>
        <w:ind w:left="380" w:right="2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Ingram Capital Investment Group, LLC. Hervia Ingram is the sole member of Ingram Capital Investment Group, LLC and has voting and investment control of the shares held by Ingram Capital Investment Group, LLC. The address of the principal business office of Ingram Capital Investment Group, LLC is 2360 Lahinch Court, Kennesaw, GA 30152.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Jose Ariel Mendiola. The address of the principal business office of Jose Ariel Mendiola is 12015 Silverwood Bend Ln, Cypress, TX 77433.</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Joyce Brocaglia. The address of the principal business office of Joyce Brocaglia is 602 Ocean Avenue, Sea Bright, NJ 07760.</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Latonja Chatman-Culmer. The address of the principal business office of Latonja Chatman-Culmer is 4330 Celebration Drive SW, Atlanta, GA 30331.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Lauren C. Anderson. The address of the principal business office of Lauren C. Anderson is 327 Tonetta Lake Road, Brewster, NY 10509.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M&amp;M Holdings LLC. Chris Murphy is the sole member of M&amp;M Holdings, LLC and has voting and investment control of the shares held by M&amp;M Holdings, LLC. The address of the principal business office of M&amp;M Holdings LLC is 2271 Loring Oak Place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Madhani Investments, LLC. Suneera Madhani is the sole member of Madhani Investments, LLC and has voting and investment control of the shares held by Madhani Investments, LLC. The address of the principal business office of Madhani Investments, LLC is 1219 Eastin Avenue, Orlando, FL 32804.</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Mahesh Konduru. The address of the principal business office of Mahesh Konduru is 6512 Mercer St., Houston, TX 77005.</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9"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 J Gorlin TTEE MJG 2014 Subtrust U/a DTD 09/03/2021. Marc J Gorlin is the Trustee of Marc J Gorlin TTEE MJG 2014 Subtrust U/a DTD 09/03/2021 and has voting and investment control of the shares held by Marc J Gorlin TTEE MJG 2014 Subtrust U/a DTD 09/03/2021. The address of the principal business office of Marc J Gorlin TTEE MJG 2014 Subtrust U/a DTD 09/03/2021 is 14900 River Road, Unite 901, Pensacola Beach, FL 32507.</w:t>
      </w:r>
    </w:p>
    <w:p>
      <w:pPr>
        <w:spacing w:after="0" w:line="252"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Marco Gomez Roquero. The address of the principal business office of Marco Gomez Roquero is 1300 S Miami Avenue #4705, Miami, FL 33130.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8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56"/>
        </w:trPr>
        <w:tc>
          <w:tcPr>
            <w:tcW w:w="29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00" w:type="dxa"/>
            <w:vAlign w:val="bottom"/>
          </w:tcPr>
          <w:p>
            <w:pPr>
              <w:spacing w:after="0"/>
              <w:rPr>
                <w:sz w:val="22"/>
                <w:szCs w:val="2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22"/>
                <w:szCs w:val="2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Mary Lake Polan</w:t>
            </w:r>
            <w:r>
              <w:rPr>
                <w:rFonts w:ascii="Times New Roman" w:cs="Times New Roman" w:eastAsia="Times New Roman" w:hAnsi="Times New Roman"/>
                <w:sz w:val="29"/>
                <w:szCs w:val="29"/>
                <w:color w:val="auto"/>
                <w:vertAlign w:val="superscript"/>
              </w:rPr>
              <w:t>248</w:t>
            </w:r>
          </w:p>
        </w:tc>
        <w:tc>
          <w:tcPr>
            <w:tcW w:w="8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9,952</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MMF LT, LLC</w:t>
            </w:r>
            <w:r>
              <w:rPr>
                <w:rFonts w:ascii="Times New Roman" w:cs="Times New Roman" w:eastAsia="Times New Roman" w:hAnsi="Times New Roman"/>
                <w:sz w:val="29"/>
                <w:szCs w:val="29"/>
                <w:color w:val="auto"/>
                <w:vertAlign w:val="superscript"/>
              </w:rPr>
              <w:t>249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156,667</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156,667</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Nautilus Master Fund, L.P</w:t>
            </w:r>
            <w:r>
              <w:rPr>
                <w:rFonts w:ascii="Times New Roman" w:cs="Times New Roman" w:eastAsia="Times New Roman" w:hAnsi="Times New Roman"/>
                <w:sz w:val="29"/>
                <w:szCs w:val="29"/>
                <w:color w:val="auto"/>
                <w:vertAlign w:val="superscript"/>
              </w:rPr>
              <w:t>250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332,797</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332,797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Ocean Family Trust, LLC</w:t>
            </w:r>
            <w:r>
              <w:rPr>
                <w:rFonts w:ascii="Times New Roman" w:cs="Times New Roman" w:eastAsia="Times New Roman" w:hAnsi="Times New Roman"/>
                <w:sz w:val="29"/>
                <w:szCs w:val="29"/>
                <w:color w:val="auto"/>
                <w:vertAlign w:val="superscript"/>
              </w:rPr>
              <w:t>251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24,838</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Paula Hawkins</w:t>
            </w:r>
            <w:r>
              <w:rPr>
                <w:rFonts w:ascii="Times New Roman" w:cs="Times New Roman" w:eastAsia="Times New Roman" w:hAnsi="Times New Roman"/>
                <w:sz w:val="29"/>
                <w:szCs w:val="29"/>
                <w:color w:val="auto"/>
                <w:vertAlign w:val="superscript"/>
              </w:rPr>
              <w:t>252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3,974</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Phyllis W. Newhouse</w:t>
            </w:r>
            <w:r>
              <w:rPr>
                <w:rFonts w:ascii="Times New Roman" w:cs="Times New Roman" w:eastAsia="Times New Roman" w:hAnsi="Times New Roman"/>
                <w:sz w:val="29"/>
                <w:szCs w:val="29"/>
                <w:color w:val="auto"/>
                <w:vertAlign w:val="superscript"/>
              </w:rPr>
              <w:t>253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1,023,314</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1,023,314</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502,170</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Primetime Investment Group, LLC</w:t>
            </w:r>
            <w:r>
              <w:rPr>
                <w:rFonts w:ascii="Times New Roman" w:cs="Times New Roman" w:eastAsia="Times New Roman" w:hAnsi="Times New Roman"/>
                <w:sz w:val="29"/>
                <w:szCs w:val="29"/>
                <w:color w:val="auto"/>
                <w:vertAlign w:val="superscript"/>
              </w:rPr>
              <w:t>254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445,537</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445,537</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Project JB LLC</w:t>
            </w:r>
            <w:r>
              <w:rPr>
                <w:rFonts w:ascii="Times New Roman" w:cs="Times New Roman" w:eastAsia="Times New Roman" w:hAnsi="Times New Roman"/>
                <w:sz w:val="29"/>
                <w:szCs w:val="29"/>
                <w:color w:val="auto"/>
                <w:vertAlign w:val="superscript"/>
              </w:rPr>
              <w:t>255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20,626</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Radcliffe SPAC Master Fund, L.P.</w:t>
            </w:r>
            <w:r>
              <w:rPr>
                <w:rFonts w:ascii="Times New Roman" w:cs="Times New Roman" w:eastAsia="Times New Roman" w:hAnsi="Times New Roman"/>
                <w:sz w:val="29"/>
                <w:szCs w:val="29"/>
                <w:color w:val="auto"/>
                <w:vertAlign w:val="superscript"/>
              </w:rPr>
              <w:t>256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Rashaun Williams</w:t>
            </w:r>
            <w:r>
              <w:rPr>
                <w:rFonts w:ascii="Times New Roman" w:cs="Times New Roman" w:eastAsia="Times New Roman" w:hAnsi="Times New Roman"/>
                <w:sz w:val="29"/>
                <w:szCs w:val="29"/>
                <w:color w:val="auto"/>
                <w:vertAlign w:val="superscript"/>
              </w:rPr>
              <w:t>257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406,252</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406,252</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8" w:lineRule="exact"/>
        <w:rPr>
          <w:sz w:val="20"/>
          <w:szCs w:val="20"/>
          <w:color w:val="auto"/>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Mary Lake Polan. The address of the principal business office of Mary Lake Polan is Eagle Bluff Ranch, 795 Eagle Ridge Rd., Camp Verde, TX 78010.</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9"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MMF LT, LLC.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the principal business office of MMF LT, LLC is 11 Times Square, 37th Floor, New York, NY 10036.</w:t>
      </w:r>
    </w:p>
    <w:p>
      <w:pPr>
        <w:spacing w:after="0" w:line="252"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Nautilus Master Fund, L.P., (“Nautilus”). Voting and investment power over the interests by Nautilus resides with its investment manager, Periscope Capital Inc. Jamie Wise is the Chief Executive Office of Persicope Capital Inc. and may be deemed to be the beneficial owner of the interests held by Nautilus. Jamie Wise and Persicope Capital Inc., however, disclaim any beneficial ownership of the interests held by Nautilus. The address of the foregoing individual and entities is c/o 333 Bay Street, Suite 1240, Toronto, ON, M5H 2R2. The address of the principal business office of Nautilus Master Fund, L.P., c/o Periscope Capital, Inc. is Bay Adelaide Centre, 33 Bay St., Suite 1240, Toronto, ON M5H 2R2.</w:t>
      </w:r>
    </w:p>
    <w:p>
      <w:pPr>
        <w:spacing w:after="0" w:line="255"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Ocean Family Trust, LLC. Mark Griswell is the sole member of Ocean Family Trust, LLC and has voting and investment control of the shares held by Ocean Family Trust, LLC. The address of the principal business office of Ocean Family Trust, LLC, Mark Griswell is 861 Wayland Ct., Smyrna, GA 30080.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Paula Hawkins. The address of the principal business office of Paula Hawkins is 2904 Lennox Rd, Conyers, GA 30094.</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Phyllis W. Newhouse. Ms. Newhouse is a director of the Company. The address of the principal business office of Phyllis W. Newhouse is 2291 Loring Oak PL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Primetime Investment Group, LLC. Ezekiel V. Newhouse is the sole member of Primetime Investment Group, LLC and has voting and investment control of the shares held by Primetime Investments Group, LLC. The address of the principal business office of Primetime Investment Group, LLC is 2129 Lamberton Ln, Kennesaw, GA 30152.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Project JB LLC. Chenxi Wang is the sole member of Project JB, LLC and has voting and investment control of the shares held by Project JB, LLC. The address of the principal business office of Project JB LLC, Chenxi Wang is 24 Jordan Avenue, Los Altos, CA 94022.</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28"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Radcliffe SPAC Master Fund, L.P. (the “Master Fund”). Pursuant to an investment management agreement, Radcliffe Capital Management, L.P. (“RCM”) serves as the investment manager of the Master Fund. RGC Management Company, LLC (“Management”)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address of the principal business office of Radcliffe SPAC Master Fund, L.P., c/o Radcliffe Capital Management, LP is 50 Monument Road, Suite 300, Bala Cynwyd, PA 19004.</w:t>
      </w:r>
    </w:p>
    <w:p>
      <w:pPr>
        <w:spacing w:after="0" w:line="255"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Rashaun Williams. The address of the principal business office of Rashaun Williams is 505 N. Lake Shore Dr. #3810-11, Chicago, IL 60611.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92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Ray Caron</w:t>
            </w:r>
            <w:r>
              <w:rPr>
                <w:rFonts w:ascii="Times New Roman" w:cs="Times New Roman" w:eastAsia="Times New Roman" w:hAnsi="Times New Roman"/>
                <w:sz w:val="29"/>
                <w:szCs w:val="29"/>
                <w:color w:val="auto"/>
                <w:vertAlign w:val="superscript"/>
              </w:rPr>
              <w:t>258</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49,675</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Rivernorth SPAC Arbitrage Fund, LP</w:t>
            </w:r>
            <w:r>
              <w:rPr>
                <w:rFonts w:ascii="Times New Roman" w:cs="Times New Roman" w:eastAsia="Times New Roman" w:hAnsi="Times New Roman"/>
                <w:sz w:val="29"/>
                <w:szCs w:val="29"/>
                <w:color w:val="auto"/>
                <w:vertAlign w:val="superscript"/>
              </w:rPr>
              <w:t>259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106,667</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Romonda Jordan</w:t>
            </w:r>
            <w:r>
              <w:rPr>
                <w:rFonts w:ascii="Times New Roman" w:cs="Times New Roman" w:eastAsia="Times New Roman" w:hAnsi="Times New Roman"/>
                <w:sz w:val="29"/>
                <w:szCs w:val="29"/>
                <w:color w:val="auto"/>
                <w:vertAlign w:val="superscript"/>
              </w:rPr>
              <w:t>260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Roxanna Aguillard</w:t>
            </w:r>
            <w:r>
              <w:rPr>
                <w:rFonts w:ascii="Times New Roman" w:cs="Times New Roman" w:eastAsia="Times New Roman" w:hAnsi="Times New Roman"/>
                <w:sz w:val="29"/>
                <w:szCs w:val="29"/>
                <w:color w:val="auto"/>
                <w:vertAlign w:val="superscript"/>
              </w:rPr>
              <w:t>261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Shawn Henry</w:t>
            </w:r>
            <w:r>
              <w:rPr>
                <w:rFonts w:ascii="Times New Roman" w:cs="Times New Roman" w:eastAsia="Times New Roman" w:hAnsi="Times New Roman"/>
                <w:sz w:val="29"/>
                <w:szCs w:val="29"/>
                <w:color w:val="auto"/>
                <w:vertAlign w:val="superscript"/>
              </w:rPr>
              <w:t>262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ShoulderUp 2021 Trust</w:t>
            </w:r>
            <w:r>
              <w:rPr>
                <w:rFonts w:ascii="Times New Roman" w:cs="Times New Roman" w:eastAsia="Times New Roman" w:hAnsi="Times New Roman"/>
                <w:sz w:val="29"/>
                <w:szCs w:val="29"/>
                <w:color w:val="auto"/>
                <w:vertAlign w:val="superscript"/>
              </w:rPr>
              <w:t>263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2,154,416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Sierra Hotel Enterprise LLC</w:t>
            </w:r>
            <w:r>
              <w:rPr>
                <w:rFonts w:ascii="Times New Roman" w:cs="Times New Roman" w:eastAsia="Times New Roman" w:hAnsi="Times New Roman"/>
                <w:sz w:val="29"/>
                <w:szCs w:val="29"/>
                <w:color w:val="auto"/>
                <w:vertAlign w:val="superscript"/>
              </w:rPr>
              <w:t>264</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Stacey Berns</w:t>
            </w:r>
            <w:r>
              <w:rPr>
                <w:rFonts w:ascii="Times New Roman" w:cs="Times New Roman" w:eastAsia="Times New Roman" w:hAnsi="Times New Roman"/>
                <w:sz w:val="29"/>
                <w:szCs w:val="29"/>
                <w:color w:val="auto"/>
                <w:vertAlign w:val="superscript"/>
              </w:rPr>
              <w:t>265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 Eskenazi</w:t>
            </w:r>
            <w:r>
              <w:rPr>
                <w:rFonts w:ascii="Times New Roman" w:cs="Times New Roman" w:eastAsia="Times New Roman" w:hAnsi="Times New Roman"/>
                <w:sz w:val="29"/>
                <w:szCs w:val="29"/>
                <w:color w:val="auto"/>
                <w:vertAlign w:val="superscript"/>
              </w:rPr>
              <w:t>266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80" w:hanging="345"/>
        <w:spacing w:after="0"/>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Ray Caron. The address of the principal business office of Ray Caron is 14 Marina Ct, Newnan, GA 30263.</w:t>
      </w:r>
    </w:p>
    <w:p>
      <w:pPr>
        <w:spacing w:after="0" w:line="251"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Rivernorth SPAC Arbitrage Fund, LP. The address of the principal business office of Rivernorth SPAC Arbitrage Fund, LP is 360 South Rosemary Ave, Suite 1420, West Palm Beach, FL 33401.</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Romonda Jordan. The address of the principal business office of Romonda Jordan is 22197 Windy Pine Ct., Broadlands, VA 20148.</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Roxanna Aguillard. The address of the principal business office of Roxanna Aguillard is 504 Bruin Court, Stockbridge, GA 30281.</w:t>
      </w:r>
    </w:p>
    <w:p>
      <w:pPr>
        <w:spacing w:after="0" w:line="253" w:lineRule="exact"/>
        <w:rPr>
          <w:rFonts w:ascii="Times New Roman" w:cs="Times New Roman" w:eastAsia="Times New Roman" w:hAnsi="Times New Roman"/>
          <w:sz w:val="30"/>
          <w:szCs w:val="30"/>
          <w:color w:val="auto"/>
          <w:vertAlign w:val="superscript"/>
        </w:rPr>
      </w:pPr>
    </w:p>
    <w:p>
      <w:pPr>
        <w:ind w:left="380" w:right="2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Shawn Henry. The address of the principal business office of Shawn Henry is 605 S. Gulfstream Ave, Sarasota, FL 34236.</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ShoulderUp 2021 Trust. Phyllis W. Newhouse is the Trustee of ShoulderUp 2021 Trust and has voting and investment control of the shares held by ShoulderUp 2021 Trust. The address of the principal business office of ShoulderUp 2021 Trust is 2291 Loring Oak PL NW, Marietta, GA 30064.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Sierra Hotel Enterprise LLC. Greice Murphy is the sole member of Sierra Hotell Enterprise, LLC and has voting and investment control of the shares held by Sierra Hotel Enterprise, LLC. The address of the principal business office of Sierra Hotel Enterprise LLC, Greice Murphy is 9200 SW 71st Avenue, Pinecrest, FL 33156.</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Stacey Berns. The address of the principal business office of Stacey Berns is 101 Warren St., Apt. 820, New York, NY 10007.</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Steve Eskenazi. The address of the principal business office of Steve Eskenazi is 50 Sheldon Way, Hillsborough, CA 94010.</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Tauheed Epps</w:t>
            </w:r>
            <w:r>
              <w:rPr>
                <w:rFonts w:ascii="Times New Roman" w:cs="Times New Roman" w:eastAsia="Times New Roman" w:hAnsi="Times New Roman"/>
                <w:sz w:val="29"/>
                <w:szCs w:val="29"/>
                <w:color w:val="auto"/>
                <w:vertAlign w:val="superscript"/>
              </w:rPr>
              <w:t>267</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51,563</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Tenor Opportunity Master Fund, Ltd.</w:t>
            </w:r>
            <w:r>
              <w:rPr>
                <w:rFonts w:ascii="Times New Roman" w:cs="Times New Roman" w:eastAsia="Times New Roman" w:hAnsi="Times New Roman"/>
                <w:sz w:val="29"/>
                <w:szCs w:val="29"/>
                <w:color w:val="auto"/>
                <w:vertAlign w:val="superscript"/>
              </w:rPr>
              <w:t>268</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4"/>
                <w:szCs w:val="24"/>
                <w:color w:val="auto"/>
              </w:rPr>
            </w:pPr>
          </w:p>
        </w:tc>
        <w:tc>
          <w:tcPr>
            <w:tcW w:w="1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8"/>
        </w:trPr>
        <w:tc>
          <w:tcPr>
            <w:tcW w:w="3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Newhouse Family 2016 Revocable</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269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The Salman Rehmetullah Revocable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270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Vincent Raymond Stewart and</w:t>
            </w:r>
          </w:p>
        </w:tc>
        <w:tc>
          <w:tcPr>
            <w:tcW w:w="10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Phyllis Lea Stewart Living Trust</w:t>
            </w:r>
            <w:r>
              <w:rPr>
                <w:rFonts w:ascii="Times New Roman" w:cs="Times New Roman" w:eastAsia="Times New Roman" w:hAnsi="Times New Roman"/>
                <w:sz w:val="29"/>
                <w:szCs w:val="29"/>
                <w:color w:val="auto"/>
                <w:vertAlign w:val="superscript"/>
              </w:rPr>
              <w:t>271</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Triple Helix, LLC</w:t>
            </w:r>
            <w:r>
              <w:rPr>
                <w:rFonts w:ascii="Times New Roman" w:cs="Times New Roman" w:eastAsia="Times New Roman" w:hAnsi="Times New Roman"/>
                <w:sz w:val="29"/>
                <w:szCs w:val="29"/>
                <w:color w:val="auto"/>
                <w:vertAlign w:val="superscript"/>
              </w:rPr>
              <w:t>272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103,126</w:t>
            </w:r>
          </w:p>
        </w:tc>
        <w:tc>
          <w:tcPr>
            <w:tcW w:w="100" w:type="dxa"/>
            <w:vAlign w:val="bottom"/>
          </w:tcPr>
          <w:p>
            <w:pPr>
              <w:spacing w:after="0"/>
              <w:rPr>
                <w:sz w:val="22"/>
                <w:szCs w:val="22"/>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Una Ryan</w:t>
            </w:r>
            <w:r>
              <w:rPr>
                <w:rFonts w:ascii="Times New Roman" w:cs="Times New Roman" w:eastAsia="Times New Roman" w:hAnsi="Times New Roman"/>
                <w:sz w:val="29"/>
                <w:szCs w:val="29"/>
                <w:color w:val="auto"/>
                <w:vertAlign w:val="superscript"/>
              </w:rPr>
              <w:t>273</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80" w:hanging="345"/>
        <w:spacing w:after="0"/>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Tauheed Epps. The address of the principal business office of Tauheed Epps is 1740 Defoor Pl, Atlanta, GA 30318.</w:t>
      </w:r>
    </w:p>
    <w:p>
      <w:pPr>
        <w:spacing w:after="0" w:line="251"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Tenor Opportunity Master Fund, Ltd. The address of the principal business office of Tenor Opportunity Fund, Ltd. is 810 Seventh Ave., Suite 1905, New York, NY 10019.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Newhouse Family 2016 Revocable Trust. Tiffany Newhouse is the Trustee of The Newhouse Family 2016 Revocable Trust and has voting and investment control of the shares held by The Newhouse Family 20216 Revocable Trust. The address of the principal business office of The Newhouse Family 2016 Revocable Trust is 620 Via De Bella, Fairfield, CA 94534.</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Salman Rehmetullah Revocable Trust. Sal Rehmetullah is the Trustee of The Salman Rehmetullah Revocable Trust and has voting and investment control of the shares held by The Salman Remetullah Revocable Trust. The address of the principal business office of The Salman Rehmetullah Revocable Trust is 609 E Ridgewood St, Orlando, FL 32803-5622.</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The Vincent Raymond Stewart and Phyllis Lea Stewart Living Trust. The address of the principal business office of The Vincent Raymond Stewart and Phyllis Lea Stewart Living Trust is 3101 Castlerock Rd., Unit 107, Oklahoma City, OK 73120.</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Triple Helix, LLC. Asma Ishaq is the sole member of Triple Helix, LLC and has voting and investment control of the shares held by Triple Helix, LLC. The address of the principal business office of Triple Helix, LLC, Asma Ishaq is CRLLP 20351 Irvine Ave, Suite C6, Newport Beach, CA 92660.</w:t>
      </w:r>
    </w:p>
    <w:p>
      <w:pPr>
        <w:spacing w:after="0" w:line="253" w:lineRule="exact"/>
        <w:rPr>
          <w:rFonts w:ascii="Times New Roman" w:cs="Times New Roman" w:eastAsia="Times New Roman" w:hAnsi="Times New Roman"/>
          <w:sz w:val="30"/>
          <w:szCs w:val="30"/>
          <w:color w:val="auto"/>
          <w:vertAlign w:val="superscript"/>
        </w:rPr>
      </w:pPr>
    </w:p>
    <w:p>
      <w:pPr>
        <w:ind w:left="380" w:right="40" w:hanging="345"/>
        <w:spacing w:after="0" w:line="195" w:lineRule="auto"/>
        <w:tabs>
          <w:tab w:leader="none" w:pos="38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Una Ryan. The address of the principal business office of Una Ryan is 7500 Old Georgetown Road, Suite 901, Bethesda, MD 20814.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2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Warrants to Purchase Common Stock</w:t>
            </w: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0" w:type="dxa"/>
            <w:vAlign w:val="bottom"/>
          </w:tcPr>
          <w:p>
            <w:pPr>
              <w:spacing w:after="0"/>
              <w:rPr>
                <w:sz w:val="1"/>
                <w:szCs w:val="1"/>
                <w:color w:val="auto"/>
              </w:rPr>
            </w:pPr>
          </w:p>
        </w:tc>
      </w:tr>
      <w:tr>
        <w:trPr>
          <w:trHeight w:val="238"/>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6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Sale</w:t>
            </w: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 Sale</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0" w:type="dxa"/>
            <w:vAlign w:val="bottom"/>
          </w:tcPr>
          <w:p>
            <w:pPr>
              <w:spacing w:after="0"/>
              <w:rPr>
                <w:sz w:val="1"/>
                <w:szCs w:val="1"/>
                <w:color w:val="auto"/>
              </w:rPr>
            </w:pPr>
          </w:p>
        </w:tc>
      </w:tr>
      <w:tr>
        <w:trPr>
          <w:trHeight w:val="256"/>
        </w:trPr>
        <w:tc>
          <w:tcPr>
            <w:tcW w:w="300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Hereby</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0" w:type="dxa"/>
            <w:vAlign w:val="bottom"/>
          </w:tcPr>
          <w:p>
            <w:pPr>
              <w:spacing w:after="0"/>
              <w:rPr>
                <w:sz w:val="1"/>
                <w:szCs w:val="1"/>
                <w:color w:val="auto"/>
              </w:rPr>
            </w:pPr>
          </w:p>
        </w:tc>
      </w:tr>
      <w:tr>
        <w:trPr>
          <w:trHeight w:val="27"/>
        </w:trPr>
        <w:tc>
          <w:tcPr>
            <w:tcW w:w="30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Valerie Mosley</w:t>
            </w:r>
            <w:r>
              <w:rPr>
                <w:rFonts w:ascii="Times New Roman" w:cs="Times New Roman" w:eastAsia="Times New Roman" w:hAnsi="Times New Roman"/>
                <w:sz w:val="29"/>
                <w:szCs w:val="29"/>
                <w:color w:val="auto"/>
                <w:vertAlign w:val="superscript"/>
              </w:rPr>
              <w:t>274</w:t>
            </w:r>
          </w:p>
        </w:tc>
        <w:tc>
          <w:tcPr>
            <w:tcW w:w="100" w:type="dxa"/>
            <w:vAlign w:val="bottom"/>
            <w:vMerge w:val="continue"/>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Vellar Special Opportunities Fund, LLC</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 Series 29</w:t>
            </w:r>
            <w:r>
              <w:rPr>
                <w:rFonts w:ascii="Times New Roman" w:cs="Times New Roman" w:eastAsia="Times New Roman" w:hAnsi="Times New Roman"/>
                <w:sz w:val="29"/>
                <w:szCs w:val="29"/>
                <w:color w:val="auto"/>
                <w:vertAlign w:val="superscript"/>
              </w:rPr>
              <w:t>275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1,057,916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1,057,916</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147,830</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Walleye Investment Fund LLC</w:t>
            </w:r>
            <w:r>
              <w:rPr>
                <w:rFonts w:ascii="Times New Roman" w:cs="Times New Roman" w:eastAsia="Times New Roman" w:hAnsi="Times New Roman"/>
                <w:sz w:val="29"/>
                <w:szCs w:val="29"/>
                <w:color w:val="auto"/>
                <w:vertAlign w:val="superscript"/>
              </w:rPr>
              <w:t>276</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Walleye Opportunities Master Fund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00" w:type="dxa"/>
            <w:vAlign w:val="bottom"/>
            <w:gridSpan w:val="2"/>
          </w:tcPr>
          <w:p>
            <w:pPr>
              <w:ind w:left="180"/>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277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spacing w:after="0"/>
              <w:rPr>
                <w:sz w:val="23"/>
                <w:szCs w:val="23"/>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ZNH Holdings Group, LLC</w:t>
            </w:r>
            <w:r>
              <w:rPr>
                <w:rFonts w:ascii="Times New Roman" w:cs="Times New Roman" w:eastAsia="Times New Roman" w:hAnsi="Times New Roman"/>
                <w:sz w:val="29"/>
                <w:szCs w:val="29"/>
                <w:color w:val="auto"/>
                <w:vertAlign w:val="superscript"/>
              </w:rPr>
              <w:t>278</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23,204</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New Circle Principal Investments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29"/>
                <w:szCs w:val="29"/>
                <w:color w:val="auto"/>
                <w:vertAlign w:val="superscript"/>
              </w:rPr>
              <w:t>279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5,524,624</w:t>
            </w:r>
          </w:p>
        </w:tc>
        <w:tc>
          <w:tcPr>
            <w:tcW w:w="1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2" w:lineRule="exact"/>
        <w:rPr>
          <w:sz w:val="20"/>
          <w:szCs w:val="20"/>
          <w:color w:val="auto"/>
        </w:rPr>
      </w:pPr>
    </w:p>
    <w:p>
      <w:pPr>
        <w:ind w:left="380" w:right="40" w:hanging="345"/>
        <w:spacing w:after="0" w:line="195"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Valerie Mosley. The address of the principal business office of Valerie Mosley is PO Box 2430, Oak Bluffs, MA 02557.</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Vellar Special Opportunities Fund, LLC – Series 29. Andrew Davilman in his role as Chief Operating Officer has dispositive investment power over the shares held by Vellar Special Opportunities Fund, LLC – Series 29. The address of the principal business office of Vellar Special Opportunities Fund, LLC – Series 29 is 3 Columbus Circle, Suite 2400, New York, NY 10019.</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4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Investment Fund LLC.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Investment Fund LLC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253" w:lineRule="exact"/>
        <w:rPr>
          <w:rFonts w:ascii="Times New Roman" w:cs="Times New Roman" w:eastAsia="Times New Roman" w:hAnsi="Times New Roman"/>
          <w:sz w:val="30"/>
          <w:szCs w:val="30"/>
          <w:color w:val="auto"/>
          <w:vertAlign w:val="superscript"/>
        </w:rPr>
      </w:pPr>
    </w:p>
    <w:p>
      <w:pPr>
        <w:jc w:val="both"/>
        <w:ind w:left="380" w:right="20" w:hanging="345"/>
        <w:spacing w:after="0" w:line="210" w:lineRule="auto"/>
        <w:tabs>
          <w:tab w:leader="none" w:pos="380" w:val="left"/>
        </w:tabs>
        <w:numPr>
          <w:ilvl w:val="0"/>
          <w:numId w:val="7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Walleye Opportunities Master Fund Ltd. Walleye Investments Fund LLC [Walleye Opportunities Master Fund Ltd] (the “Walleye Entity”) is a private investment funds managed by Walleye Capital LLC. William England is the Chief Executive Office of Walleye Capital LLC. As a result, Walleye Capital LLC and Mr. England may be deemed to have shared voting and dispositive power with respect to the shared held by the Walleye Entity. The address of the principal business office of Walleye Opportunities Master Fund Ltd. is 401 Lake Street East,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Wayzata, MN 55391.</w:t>
      </w:r>
    </w:p>
    <w:p>
      <w:pPr>
        <w:spacing w:after="0" w:line="227" w:lineRule="exact"/>
        <w:rPr>
          <w:sz w:val="20"/>
          <w:szCs w:val="20"/>
          <w:color w:val="auto"/>
        </w:rPr>
      </w:pPr>
    </w:p>
    <w:p>
      <w:pPr>
        <w:jc w:val="both"/>
        <w:ind w:left="340" w:hanging="332"/>
        <w:spacing w:after="0" w:line="210" w:lineRule="auto"/>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shares directly held by ZNH Holdings Group, LLC. Stacey Abrams is the sole member of ZNH Holdings Group, LLC and has voting and investment control of the shares held by ZNH Holdings Group, LLC. The address of the principal business office of ZNH Holdings Group, LLC is 4900 Forestglade Ct., Stone Mountain, GA 30087.</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tabs>
          <w:tab w:leader="none" w:pos="340" w:val="left"/>
        </w:tabs>
        <w:numPr>
          <w:ilvl w:val="0"/>
          <w:numId w:val="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(1)85,995 shares based on the commitment fee of $350,000 calculated at an estimated price of $4.07 per share; and (2) 5,438,629 shares that we may, in our sole discretion, elect to issue and sell to New Circle, from time to time after the date of this prospectus, as part of the Total Commitment pursuant to (and limited by the terms of) the ELOC Agreement. In accordance with Rule 13d-3(d) under the Exchange Act, we have excluded from the number of shares beneficially owned prior to the offering all of the shares that New Circle may be required to purchase under the ELOC Agreement, because the issuance of such shares is at our discretion and is subject to conditions contained in the ELOC Agreement, the satisfaction of which are entirely outside of New Circle’s control, including the registration statement that includes this prospectus becoming and remaining effective. Also, the ELOC Agreement prohibits us from issuing and selling any shares of our common stock to New Circle to the extent such shares, when aggregated with all other shares of our common stock then beneficially owned by New Circle, would cause New Circle’s beneficial ownership of our common stock to exceed the 4.99% Ownership Limitation. The ELOC Agreement also prohibits us from issuing or selling shares of our Common Stock under the ELOC Agreement in excess of the 19.99% Exchange Cap, unless we obtain stockholder approval to do so, or unless all applicable sales of shares of common stock under the ELOC Agreement equal or exceed the “Minimum Price” (as such term is defined in Nasdaq Rule 5635) or, as to any Purchase, the issuance of the common stock pursuant to an Purchase Notice would be excluded from the Exchange Cap under Nasdaq rules (or interpretive guidance provided by Nasdaq with respect thereto), in which case the Exchange Cap limitation would no longer apply under applicable Nasdaq rules.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The full text of the Certificate of Incorporation, Bylaws and the Certificate of Designations are filed as exhibits to this registration statement. We urge you to read the Certificate of Incorporation, Bylaws and Certificate of Designations in their entirety for a complete description of the rights and preferences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authorizes the Company to issue 300,000,000 shares, consisting of (A) 10,000,000 shares of Preferred Stock, par value $0.0001 per share (“Preferred Stock”) and (B) 290,000,000 shares of Common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the Certificate of Incorporation, Bylaws and Certificate of Designations are summaries and are qualified by reference to the Certificate of Incorporation, Bylaws and Certificate of Designations, substantially in the form filed as exhibits to this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Common Stock are entitled to receive such dividends, if any, as may be declared from time-to-time by the Board out of legally available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each holder of Common Stock is entitled to one vote for each share on all matters properly submitted to a vote of the stockholders, including the election of directors. Holders of Common Stock do not have cumulative voting rights in the election of directors. Accordingly, holders of a majority of the voting shares are able to elect all of the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Restrictions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will be subject to a 180 day lock up period (subject to customary exceptions) in respect of their shares of Common Stock received in the Business Combination (subject to certain customary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has the authority, without further action by the Company’s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Warrant outstanding for the purchase of one share of Common Stock is exercisable for one share of Common Stock, with all other terms of such warrants remaining unchanged. The following is a description of the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became exercisable on July 18, 2025, provided the Company has an effective registration statement under the Securities Act.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Warrant entitles the registered holder to purchase one share of Common Stock at a price of $11.50 per share, subject to adjustment as discussed below, at any time commencing on July 18, 2025, provided the Company has an effective registration statement under the Securities Act covering the shares of Common Stock issuable upon exercise of the Warrants and a current prospectus relating to them is available (or the Company permits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Common Stock. This means only a whole warrant may be exercised at a given time by a warrant holder. The Warrants will expire at 5:00 p.m., New York City time, on June 18, 2030, or earlier upon redemption or liquidation.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warrant and will have no obligation to settle such warrant exercise unless a registration statement under the Securities Act with respect to the Common Stock underlying the warrants is then effective and a prospectus relating thereto is current, subject to the Company satisfying their obligations described below with respect to registration. No Warrant will be exercisable and the Company will not be obligated to issue a share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Holders of our Warrants cannot pay cash to exercise their warrants unless we have an effective and current registration statement covering the issuance of the shares underlying such warrants and a current prospectus relating thereto.</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the Company will use commercially reasonable efforts to file with the SEC a registration statement for the registration, under the Securities Act, of the Common Stock issuable upon exercise of the Warrants. The Company will use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issuance of the shares issuable upon exercise of the Warrants is not effective within 60 business days from the Closing, warrant holders may, until such time as there is an effective registration statement and during any period when the Company will have failed to maintain an effective registration statement or a current prospectus, exercise Warrants on a cashless basis pursuant to an available exemption from registration under the Securities Act. Notwithstanding the above, if the shares of Common Stock are at the time of any exercise of Warrants not listed on a national securities exchange such that they satisfy the definition of a “covered security” under Section 18(b)(1) of the Securities Act, the Company may, at their option, require holders of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commercially reasonable efforts to register or qualify the shares under applicable blue sky laws to the extent an exemption is not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Public Warrants for Cash when the price per share of Common Stock equals or exceeds $18.00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the Company sends the notice of redemption to the warrant 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issuance of the shares of Common Stock issuable upon exercise of the Public Warrants is effective and a current prospectus relating to those shares of Common Stock is available throughout the 30 day redemption period, except if the Public Warrants may be exercised on a cashless basis and such cashless exercise is exempt from registration under the Securities Act. If and when the Public Warrants become redeemable by the Company, the Company may exercise their redemption right even if the Company is unable to register or qualify the underlying securities for sale under all applicable state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redemption criteria for the Public Warrants discussed above have been established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warrant prior to the scheduled redemption date. However, the price of the shares of Common Stock may fall below the $18.00 redemption trigger price (as adjusted for share sub-divisions, share capitalizations, reorganizations, recapitalizations and the like) as well as the $11.50 (for whole shares) Public Warrant exercise price after the redemption notice is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 and Cashless Exercise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 calls the Public Warrants for redemption as described above when the shares of Common Stock are trading at or above $18.00 per share, the Company’s management will have the option to require all holders that wish to exercise their warrants to do so on a “cashless basis.” In making such determination, the Company’s management will consider, among other factors, the Company’s cash position, the number of Public Warrants that are outstanding and the dilutive effect on our stockholders of issuing the maximum number of shares of Common Stock issuable upon the exercise of outstanding Warrants. In such event, all holders of Public Warrants would pay the exercise price by surrendering their warrants for that number of shares of Common Stock equal to the lesser of (i) the quotient obtained by dividing (x) the product of the number of shares of Common Stock underlying such Public Warrants, multiplied by the excess of the “fair market value” (as defined below) of shares of Common Stock over the exercise prices of the Public Warrants by (y) the fair market value. If the Company’s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If the Company calls the Warrants for redemption and the Company’s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above.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market value” of the shares of Common Stock means the average last reported sale price of the shares of Common Stock for the 10 trading days ending on the third trading day prior to the date on which the notice of redemption is sent to the holders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 Election to Limit Exercise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Common Stock outstanding immediately after giving effect to such exercise.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share capitalization payable in shares of Common Stock, or by a sub-division of shares of Common Stock or other similar event, then, on the effective date of such share capitalization, sub-division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“historical fair market value” (as defined below) will be deemed a share capitalization of a number of shares of Common Stock equal to the product of (a) the number of shares of Common Stock actually sold in such rights offering (or issuable under any other equity securities sold in such rights offering that are convertible into or exercisable for shares of Common Stock) multiplied by (b) one minus the quotient of (i) the price per share of Common Stock paid in such rights offering divided by</w:t>
      </w:r>
    </w:p>
    <w:p>
      <w:pPr>
        <w:spacing w:after="0" w:line="3" w:lineRule="exact"/>
        <w:rPr>
          <w:sz w:val="20"/>
          <w:szCs w:val="20"/>
          <w:color w:val="auto"/>
        </w:rPr>
      </w:pPr>
    </w:p>
    <w:p>
      <w:pPr>
        <w:jc w:val="both"/>
        <w:ind w:firstLine="8"/>
        <w:spacing w:after="0" w:line="253" w:lineRule="auto"/>
        <w:tabs>
          <w:tab w:leader="none" w:pos="2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fair market value. For these purposes (x) if the rights offering is for securities convertible into or exercisable for shares of Common Stock, in determining the price payable for Common Stock, there will be taken into account any consideration received for such rights, as well as any additional amount payable upon exercise or conversion and (y) “historical fair market value” means the volume-weighted average price of shares of Common Stock as reported during the ten-trading day period ending on the trading day prior to the first date on which the Common Stock trade on the applicable exchange or in the applicable market, regular way, without the right to receive such rights.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Company, at any time while the warrants are outstanding and unexpired, pays a dividend or makes a distribution in cash, securities or other assets to holders of Common Stock on account of such Common Stock (or other securities into which the warrants are convertible), other than (a) as described above, or (b) any cash dividends or cash distributions which, when combined on a per share basis with all other cash dividends and cash distributions paid on the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Common Stock issuable on exercise of each warrant), do not exceed $0.50,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at an issue price or effective issue price of less than $9.20 per share of Common Stock (with such issue price or effective issue price to be determined in good faith by the Company Board) (the “Newly Issued Price”), and (y) the volume-weighted average trading price of our shares of Common Stock during the 20-trading day period starting on the trading day prior to the day on which the Company consummate our initial business combination (such price, the “Market Value”) of shares of Common Stock is below $9.20 per share, then the exercise price of the warrants will be adjusted (to the nearest cent) to be equal to 115% of the higher of the Market Value and the Newly Issued Price, and the $18.00 per share redemption trigger price described under “- Redemption” will be adjusted (to the nearest cent) to be equal to 180% of the higher of the Market Value and the Newly Issued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jc w:val="both"/>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Common Stock (other than those described above or that solely affects the par value of such Common Stock), or in the case of any merger or consolidation of the Company with or into another corporation (other than a consolidation or merger in which the Company are the continuing corporation and that does not result in any reclassification or reorganization of the issued and outstanding Common Stock), or in the case of any sale or conveyance to another corporation or entity of the assets or other property of the Company as an entirety or substantially as an entirety in connection with which the Company are dissolved, the holders of the warrants will thereafter have the right to purchase and receive, upon the basis and upon the terms and conditions specified in the warrants and in lieu of the Common Stock immediately theretofore purchasable and receivable upon the exercise of the rights represented thereby,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as provided for in its amended and restated certificate of incorporation or as a result of the redemption of Common Stock by the Company if a proposed initial business combination is presented to the Company’ stockholders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thereof. You should review a copy of the warrant agreement, which will be filed as an exhibit to the registration statement of which this proxy statement/prospectus is a part, for a complete description of the terms and conditions applicable to the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Common Stock upon exercise of the warrants, each holder will be entitled to one vote for each share held of record on all matters to be voted on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those of the Public Warrants. The Private Warrants (including the Common Stock issuable upon exercise of such Private Warrants) will not be transferable, assignable or salable until July 18, 2025 (except, among other limited exceptions to certain officers and directors and other persons or entities affiliated with the holder of such Private Warrants) and they will not be redeemable by the Company so long as they are held by the Sponsor, members of the Sponsor, or their permitted transferees. The Sponsor, members of the Sponsor, or their permitted transferees have the option to exercise the Private Warrants on a cashless basis. If the Private Warrants are held by holders other than the Sponsor, members of the Sponsor, the Wentworth Members or their permitted transferees, the Private Warrants will be redeemable by the Company in all redemption scenarios and exercisable by the holders on the same basis as the Public Warrants.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holders of the Private Warrants elect to exercise its Private Warrants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“exercise fair market value” (defined below) over the exercise price of the warrants by (y) the exercise fair market value. The “exercise fair market value” will mean the average reported closing price of the Common Stock for the 10 trading days ending on the third trading day prior to the date on which the notice of warrant exercise is sent to the warrant agent. The Private Warrants will be exercisable on a cashless basis so long as they are held by the Sponsor, members of the Sponsor, the Wentworth Members or their permitted transferees because they may be affiliated with the Company following the Business Combination. If they remain affiliated with the Company, their ability to sell the Company’ securities in the open market will be significantly limited. the Company has policies in place that prohibit insiders from selling the Company’ securities except during specific periods of time. Even during such periods of time when insiders will be permitted to sell the Company’ securities, an insider cannot trade in the Company’ securities if they are in possession of material non-public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unlike public stockholders who could exercise their warrants and sell the shares of Common Stock received upon such exercise freely in the open market in order to recoup the cost of such exercise, the insiders could be significantly restricted from selling such securities. As a result, the Company believes that allowing the holders to exercise such Private Warrants on a cashless basis is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Declaration and payment of any dividend will be subject to the discretion of the Board. The time and amount of dividends will be dependent upon, among other things, the Company’s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may regard as relevant. Dividends may be payable in cash, stock or property of the Holdings.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Holdings currently intends to retain all available funds and any future earnings to fund the development and growth of the business, and therefore does not anticipate declaring or paying any cash dividends on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the Board will consist of three classes of directors, Class I, Class II and Class II, with the members of the board of directors of the Company being elected to serve as Class I, Class II and Class III directors to serve staggered terms until the first, second and third annual meeting of stockholders of the Company, respectively, or until their respective successors are duly elected and qualified, or until their earlier resignation, removal, or death. At each succeeding annual meeting of stockholders, directors will be elected for a full term of three years to succeed the directors of the class whose terms expire at such annual meeting. Any director may be removed from office by the stockholders of the Company as provided in Section 141(k) of the DGCL only for cause.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the Board, which we believe may result in an improvement of the terms of any such acquisition in favor of the stockholders. However, they also give the Board the power to discourage acquisitions that some stockholders may favor. Additionally, the creation of a classified board of directors may prevent attempts by our stockholders to replace or remove our current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purposes, including corporate finance transactions, acquisitions and employee benefit plans. The existence of authorized but unissued and unreserved Holdings Common Stock and preferred stock could make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Stockholders’ Meetings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Charter provides that stockholders may not take action by written consent to remove a director. As a result, a holder controlling a majority of the Company’s capital stock would not be able to amend the bylaws or remove directors without holding a meeting of stockholders called for that purpose in accordance with the Company’s bylaws. Further, the Company Charter provides that only the chairperson of the Board, the Chief Executive Officer, or a majority of the Board, by resolution, may call a special Stockholders’ Meeting of the stockholders, thus prohibiting a stockholder from calling a special Stockholders’ Meeting. These provisions might delay the ability of the stockholders to force consideration of a proposal or for the stockholders controlling a majority of the Company’s capital stock to take any action, including the removal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Bylaws establish an advance notice procedure for stockholder proposals to be brought before an annual meeting of stockholders. Generally, in order for any matter to be “properly brought” before an annual meeting, the matter must be (i) specified in a notice of meeting given by or at the direction of the Board, (ii) if not specified in a notice of meeting, otherwise brought before the meeting by or at the direction of the Board, or (iii) otherwise properly brought before the meeting by a stockholder present in person who (A) was a stockholder both at the time of giving the notice and on the record date for the determination of stockholders entitled to vote at such annual meeting, (B) is entitled to vote at the meeting, and (C) has complied with the advance notice procedures specified in the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provide Timely Notice (as defined herein) thereof in writing and in proper form to the secretary of the Company. To be timely, a stockholder’s notice must be received at, the Company’s principal executive offices not less than 90 days nor more than 120 days prior to the one-year anniversary of the preceding year’s annual meeting; provided, however, that if the date of the annual meeting is more than 30 days before or more than 30 days after such anniversary date, notice by the stockholder to be timely must be received, not earlier than the close of business 120 days before the meeting and not later than the later of (x) the close of business 90 days before the meeting or (y) the close of business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the date of such annual meeting was first made by the Company (such notice within such time periods, “</w:t>
      </w:r>
      <w:r>
        <w:rPr>
          <w:rFonts w:ascii="Times New Roman" w:cs="Times New Roman" w:eastAsia="Times New Roman" w:hAnsi="Times New Roman"/>
          <w:sz w:val="18"/>
          <w:szCs w:val="18"/>
          <w:b w:val="1"/>
          <w:bCs w:val="1"/>
          <w:i w:val="1"/>
          <w:iCs w:val="1"/>
          <w:color w:val="auto"/>
        </w:rPr>
        <w:t>Timely Notice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at an annual meeting or Stockholders’ Meeting may only consider proposals or nominations specified in the notice of meeting or brought before the meeting by or at the direction of the Board or by a qualified stockholder of record on the record date for the meeting, who is entitled to vote at the meeting and who has delivered written Timely Notice in proper form to the Company’s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or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provide that the bylaws may be amended or repealed by a majority vote of the Board or by the holders of at least a majority of the voting power of all of the then-outstanding shares entitled to vote generally in the election of directors, voting as a single class. The Charter can be amended in accordance with the DGCL which requires approval by the Board and stockholders of the Holdings.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and Bylaws will provide indemnification and advancement of expenses for the Company’s directors and officers to the fullest extent permitted by the DGCL, subject to certain limited exceptions. The Company has entered into, or will enter into, indemnification agreements with each of its directors and officers. Under the terms of such indemnification agreements, the Company will be required to indemnify each of the Company’s directors and officers, if the basis of the indemnitee’s involvement was by reason of the fact that the indemnitee is or was a director of officer of the Company or any of its subsidiaries or was serving at the request of the Company in an official capacity of another entity. In some cases, the provisions of those indemnification agreements may be broader than the specific indemnification provisions contained under Delaware law. In addition, as permitted by Delaware law, the Charter and the Bylaws will include provisions that eliminate the personal liability of directors for monetary damages resulting from breaches of certain fiduciary duties as a director.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this provision is to restrict the Company’s rights and the rights of the Company’s stockholders in derivative suits to recover monetary damages against a director for breach of fiduciary duties as a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DGCL, any stockholder may bring an action in the Company’s name to procure a judgment in its favor, also known as a derivative action, provided that the stockholder bringing the action is a holder of the Holdings’ shares at the time of the transaction to which the action relates.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Bylaws provide that unless the Company consents in writing to the selection of an alternative forum, the Court of Chancery of the State of Delaware will, to the fullest extent permitted by applicable law, be the sole and exclusive forum for: (i) any derivative action brought by a stockholder on behalf of the Company, (ii) any claim of breach of a fiduciary duty owed by any of the Company’s directors, officers, stockholders, employees or agents to the Company or the Company’ stockholders, (iii) any claim against the Company, its directors, officers or employees arising under its charter, bylaws or the DGCL, or (iv) any claim against the Company, its directors, officers or employees governed by the internal affairs doctrine. The Proposed Charter designates the federal district courts of the United States of America as the exclusive forum for the resolution of any complaint asserting a cause of action arising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and Warrants are listed on the Nasdaq under the symbols “DAIC” and “DAICW,”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Company’s securities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14,999,983 shares of Common Stock issuable by us upon exercise of the Public Warrants.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registering the offer and sale from time to time by the Selling Securityholders or their permitted transferees 29,701,559 Total Resale Shares, including (i) 11,522,565 shares of Common Stock which shares were originally issued to certain SEE ID Equityholders in connection with the consummation of the Business Combination as merger consideration at an equity consideration value of $10.00 per share; (ii) up to 7,365,834 Founder Shares issued in connection with the consummation of the Business Combination, originally issued in a private placement to ShoulderUp Technology Sponsor LLC, a Delaware limited liability company (“Sponsor”); (iii) up to 1,310,000 Private Placement Shares originally issued in a private placement to the Sponsor as part of the Private Placement Units at a price of $10.00 per Private Placement Unit; (iv) up to 3,323,536 PIPE Shares originally issued in a private placement to certain investors pursuant to the PIPE Subscription Agreements at price of $4.00 per share; (v) up to 5,524,624 New Circle Shares issuable pursuant to the ELOC Agreement, comprised of (a) 85,995 Commitment Shares issuable to New Circle, based on the commitment fee of $350,000 to be calculated using the market value of the closing price of the Common Stock on the date this Registration Statement is declared effective by the SEC, and (b) 5,438,629 ELOC Shares that we may, in our sole discretion, elect to issue and sell to New Circle, from time to time after the date of this prospectus, as part of the Total Commitment pursuant to (and limited by the terms of) the ELOC Agreement; (vi) up to 655,000 shares of Common Stock that are issuable by us upon the exercise of the Private Placement Warrants (as defined below) following the public resale of the Private Placement Warrants by the Selling Securityholders; and (2) up to 655,000 Private Placement Warrants originally issued to the Sponsor as part of the Private Placement Units in a private placement at a price of $10.00 per Private Placement Unit, currently exercisable at a price of $11.50 per share. Additional information about any offering may be provided in a prospectus supplement that describes, among other things, the specific amounts and prices of the Common Stock and Warrants being offered and the terms of the offering.</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all or any portion of their respective shares of Common Stock or Warrants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183"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Nasdaq, in the over-the-counter market or on any other national securities exchange on which our securities are listed or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block trade in which a broker-dealer will attempt to sell the offered securities as agent but may purchase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partners, members or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forms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securities;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18"/>
          <w:szCs w:val="18"/>
          <w:color w:val="auto"/>
        </w:rPr>
        <w:t>The Selling Securityholders may sell the securities at prices then prevailing, related to the then prevailing market price or at negotiated prices. The offering price of the securities from time to time will be determined by the Selling Securityholders and, at the time of the determination, may be higher or lower than the market price of our securities on the Nasdaq or any other exchange or market. The Selling Securityholders may also sell our securities short and deliver the securities to close out their short positions or loan or pledge the securities to broker-dealers or other financial institutions that in turn may sell the securities. The shares may be sold directly or through broker-dealers or other financial institutions acting as principal or agent or pursuant to a distribution by one or more underwriters on a firm commitment or best-efforts basis. The Selling Securityholders may also enter into hedging transactions with broker-dealers or other financial institutions. In connection with such transactions, broker-dealers or other financial institutions may engage in short sales of our securities in the course of hedging the positions they assume with the Selling Securityholders. The Selling Securityholders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A Selling Securityholder that is an entity may elect to make an in-kind distribution of Common Stock or Warrants to its members, partners or shareholders pursuant to the registration statement of which this prospectus is a part by delivering a prospectus. In connection with an underwritten offering, underwriters or agents may receive compensation in the form of discounts, concessions or commissions from the Selling Securityholders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Securityholders and any underwriters, dealers or agents participating in a distribution of the securities may be deemed to be “underwriters” within the meaning of the Securities Act, and any profit on the sale of the securities by the Selling Securityholders and any commissions received by broker-dealers may be deemed to be underwriting commissions under the Securities Act.</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is an “underwriter” within the meaning of Section 2(a)(11) of the Securities Act, and any profits on the sales of shares of our Common Stock by New Circle and any discounts, commissions, or concessions received by New Circle are deemed to be underwriting discounts and commissions under the Securities Act. We know of no existing arrangements between New Circle or any other stockholder, broker, dealer, underwriter, or agent relating to the sale or distribution of the shares of our common stock offered by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Circle has agreed that it and its affiliates will not engage in any short sales during the term of the ELOC and will not enter into any transaction that establishes a net short position with respect to the Common Stock. The ELOC stipulates that the New Circle may sell our Common Stock to be issued pursuant to a Purchase Notice, following receipt of the Purchase Notice, and may sell other Common Stock acquired pursuant to the ELOC that the Selling Stockholder has continuously held from a prior date of acquisition.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party to the Registration Rights and Lock-Up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including New Circle, are subject to the applicable provisions of the Exchange Act, including Regulation M. This regulation, if applicable to sales hereunder, may limit the timing of purchases and sales of any of the securities offered in this prospectus by the Selling Securityholders. The anti-manipulation rules under the Exchange Act may apply to sales of the securities in the market and to the activities of the Selling Securityholders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Securityholders may sell the securities in compliance with the provisions of Rule 144 under the Securities Act, if available, or pursuant to other available exemptions from the registration requirements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to Sell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Registration Rights and Lock-Up Agreement, the Holders (as defined therein) are subject to a 180 day lock up period (subject to customary exceptions) in respect of their shares of Common Stock received in the Business Combination (subject to certain customary exceptions).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Common Stock and Warrants, which we refer to collectively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76"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 securities through the exercise or cancellation of employee stock options or otherwise as compensation for their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U.S.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jc w:val="both"/>
        <w:spacing w:after="0" w:line="258"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or Warrants who or that is,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w:t>
      </w:r>
    </w:p>
    <w:p>
      <w:pPr>
        <w:spacing w:after="0" w:line="207"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U.S. Treasury regulations to be treated as a U.S. person.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 distributions of our stock or rights to acquire our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Gain or Loss on Sale, Taxable Exchange or Other Taxable Disposition of Common Stock and Warrants. </w:t>
      </w:r>
      <w:r>
        <w:rPr>
          <w:rFonts w:ascii="Times New Roman" w:cs="Times New Roman" w:eastAsia="Times New Roman" w:hAnsi="Times New Roman"/>
          <w:sz w:val="18"/>
          <w:szCs w:val="18"/>
          <w:color w:val="auto"/>
        </w:rPr>
        <w:t>A U.S. holder will generally recognize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sale, taxable exchange or other taxable disposition of our Common Stock or Warrants which, in general, would include a redemption of Warrants that is treated as a sale as described below. Any such gain or loss will be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Long-term capital gains recognized by non-corporate U.S. holders may be eligible to be taxed at reduced rates. If the holding period requirements are not satisfied, any gain on a sale or taxable disposition of the shares or warrants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less, in the case of a share of Common Stock, any prior distributions treated as a return of capital.</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Except as discussed below with respect to the cashless exercise of a warrant, a U.S. holder generally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taxable gain or loss on the acquisition of our Common Stock upon exercise of a Warrant for cash. The U.S. holder’s tax basis in the share of our Common Stock received upon exercise of the Warrants generally will be an amount equal to the sum of the U.S. holder’s initial investment in the Warrants and the exercise price.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gain realization event or because the exercise is treated as a recapitalization for U.S. federal income tax purposes. In either tax-free situation, a U.S. holder’s basis in the Common Stock received would equal the holder’s basis in the Warrant. If the cashless exercise were treated as not being a gain realization event, a U.S. holder’s holding period in the Common Stock would either include the period during which the U.S. holder held the Warrant or be treated as commencing on the date following the date of exercise (or possibly the date of exercise) of the Warrant. If the cashless exercise were treated as a recapitalization, the holding period of the Common Stock would include the holding period of the Warrant.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would recognize gain or loss with respect to the portion of the exercised Warrants treated as surrendered to pay the exercise price of the Warrants (the “surrendered warrants”). The U.S. holder would recognize capital gain or loss in an amount equal to the difference between the fair market value of the surrendered warrants and the U.S. holder’s tax basis in such Warrants. In this case, a U.S. holder’s tax basis in the Common Stock received would equal the sum of the U.S. holder’s initial tax basis in the Warrants exercised (except for any such tax basis allocable to the surrendered warrants) and the exercise price of the exercised Warrants. A U.S. holder’s holding period for the Common Stock would commence on the date following the date of exercise (or possibly the date of exercise) of the Warrant.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which of the alternative tax consequences and holding periods described above would be adopted by the IRS or a court of law. Accordingly, U.S. holders should consult their tax advisors regarding the tax consequences of a cashless exercise.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taxed as described above under “-</w:t>
      </w:r>
      <w:r>
        <w:rPr>
          <w:rFonts w:ascii="Times New Roman" w:cs="Times New Roman" w:eastAsia="Times New Roman" w:hAnsi="Times New Roman"/>
          <w:sz w:val="18"/>
          <w:szCs w:val="18"/>
          <w:i w:val="1"/>
          <w:iCs w:val="1"/>
          <w:color w:val="auto"/>
        </w:rPr>
        <w:t>Gain or Loss on Sale, Taxable Exchange or Other Taxable Disposition of Common Stock and Warrants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generally is not taxable. The U.S. holders of the Warrants would, however,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w:t>
      </w: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the same manner as if the U.S. holders of the Warrants received a cash distribution from us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increased interest.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 apply to dividends paid to a U.S. holder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Common Stock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who or that is for U.S. federal income tax purposes:</w:t>
      </w:r>
    </w:p>
    <w:p>
      <w:pPr>
        <w:spacing w:after="0" w:line="207"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In general, any distributions we make to a Non-U.S. holder of shares of our Common Stock, to the extent paid out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(or if a tax treaty applies, are attributable to a U.S. permanent establishment or fixed base maintained by the Non-U.S. holder). Instead, the effectively connected dividends will be subject to regular U.S. income tax as if the Non-U.S. holder were a U.S. holder,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Exercise, Lapse or Redemption of a Warrant. </w:t>
      </w:r>
      <w:r>
        <w:rPr>
          <w:rFonts w:ascii="Times New Roman" w:cs="Times New Roman" w:eastAsia="Times New Roman" w:hAnsi="Times New Roman"/>
          <w:sz w:val="18"/>
          <w:szCs w:val="18"/>
          <w:color w:val="auto"/>
        </w:rPr>
        <w:t>The U.S. federal income tax treatment of a Non-U.S. holder’s exercise of a warrant, or the lapse of a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although to the extent a cashless exercise results in a taxable exchange, the consequences would be similar to those described below in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The U.S. federal income tax treatment for a Non-U.S. holder of a redemption of Warrants for cash described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would be similar to that described below in “</w:t>
      </w:r>
      <w:r>
        <w:rPr>
          <w:rFonts w:ascii="Times New Roman" w:cs="Times New Roman" w:eastAsia="Times New Roman" w:hAnsi="Times New Roman"/>
          <w:sz w:val="18"/>
          <w:szCs w:val="18"/>
          <w:i w:val="1"/>
          <w:iCs w:val="1"/>
          <w:color w:val="auto"/>
        </w:rPr>
        <w:t>Non-U.S. Holders-Gain on Sale, Taxable Exchange or Other Taxable Disposition of Common Stock and Warrants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Taxable Exchange or Other Taxable Disposition of Common Stock and Warrants. </w:t>
      </w:r>
      <w:r>
        <w:rPr>
          <w:rFonts w:ascii="Times New Roman" w:cs="Times New Roman" w:eastAsia="Times New Roman" w:hAnsi="Times New Roman"/>
          <w:sz w:val="18"/>
          <w:szCs w:val="18"/>
          <w:color w:val="auto"/>
        </w:rPr>
        <w:t>A Non-U.S. holder generally will not be subject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or withholding tax in respect of gain recognized on a sale, taxable exchange or other taxable disposition of our Common Stock or Warrants (including a redemption of our Warrants), unless:</w:t>
      </w:r>
    </w:p>
    <w:p>
      <w:pPr>
        <w:spacing w:after="0" w:line="175" w:lineRule="exact"/>
        <w:rPr>
          <w:sz w:val="20"/>
          <w:szCs w:val="20"/>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 however, there can be no assurance that we will not become a U.S. real property holding corporation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holder.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distribution.</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 of shares of Common Stock for which the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or to the exercise price of the Warrant in certain events, as discussed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An adjustment which has the effect of preventing dilution is generally not taxable. The Non-U.S. holders of Warrants would, however,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a stock dividend to the holders of our Common Stock, in each case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 connection with payments of dividends and the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sale or other disposition of our shares of Common Stock and Warrants. A Non-U.S. holder may have to comply with certification procedures to establish that it is not a United States person (by providing certification of its foreign status, under penalties of perjury, on a duly executed applicable IRS Form W-8 or by otherwise establishing an exemption)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 30% on payments of dividends (including constructive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subject to the discussion of certain proposed U.S. Treasury regulations below, on the gross proceeds from a sale or other disposition of our Common Stock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advisors regarding the effects of FATCA on their investment in our securities. The IRS released proposed U.S. Treasury regulations that, if finalized in their present form, would eliminate the U.S. federal withholding tax of 30% applicable to the gross proceeds of a sale or other disposition of our Common Stock. In its preamble to such proposed U.S. Treasury regulations, the IRS stated that taxpayers may generally rely on the proposed U.S. Treasury regulations until final U.S. Treasury regulations are issued.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2024, included in this prospectus of CID HoldCo, Inc., which is referred to and made a part of this Prospectus and Registration Statement, have been audited by Berkowitz Pollack Brant Advisors + CPAs, an independent registered public accounting firm, as set forth in their report appearing elsewhere herein, and are included in reliance upon such report given on the authority of such firm as experts in accounting and auditing.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SEE ID as of and for the year ended December 31, 2023, included in this prospectus of CID HoldCo, Inc., which is referred to and made a part of this Prospectus and Registration Statement, have been audited by Wolf &amp; Company, P.C., an independent registered public accounting firm, as set forth in their report appearing elsewhere herein, and are included in reliance upon such report given 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will pass upon the validity of the Common Stock and Warrants covered by this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website, free of charge, at www.atipt.com. The information found on, or that can be accessed from or that is hyperlinked to, our website is not part of this prospectus. You may inspect a copy of the registration statement through the SEC’s website, as provided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2025, the Audit Committee of the Board approved Berkowitz Pollack Brant Advisors + CPAs (“BPB”) as its independent registered public accounting firm. BPB previously served as the independent registered public accounting firm of SEE ID prior to the Business Combination.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CID HoldCo, Inc. (formerly known as SEE ID, Inc. dba Dot Ai)</w:t>
            </w:r>
          </w:p>
        </w:tc>
        <w:tc>
          <w:tcPr>
            <w:tcW w:w="1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1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Financial Statements</w:t>
            </w:r>
          </w:p>
        </w:tc>
        <w:tc>
          <w:tcPr>
            <w:tcW w:w="1100" w:type="dxa"/>
            <w:vAlign w:val="bottom"/>
            <w:shd w:val="clear" w:color="auto" w:fill="CCEEFF"/>
          </w:tcPr>
          <w:p>
            <w:pPr>
              <w:spacing w:after="0"/>
              <w:rPr>
                <w:sz w:val="18"/>
                <w:szCs w:val="18"/>
                <w:color w:val="auto"/>
              </w:rPr>
            </w:pPr>
          </w:p>
        </w:tc>
      </w:tr>
      <w:tr>
        <w:trPr>
          <w:trHeight w:val="176"/>
        </w:trPr>
        <w:tc>
          <w:tcPr>
            <w:tcW w:w="101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September 30, 2025 (unaudited) and December 31, 2024</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nine-months ended September 30, 2025 and 2024 (unaudited)</w:t>
            </w:r>
          </w:p>
        </w:tc>
        <w:tc>
          <w:tcPr>
            <w:tcW w:w="820" w:type="dxa"/>
            <w:vAlign w:val="bottom"/>
            <w:tcBorders>
              <w:bottom w:val="single" w:sz="8" w:color="CCEEFF"/>
            </w:tcBorders>
            <w:gridSpan w:val="3"/>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6"/>
        </w:trPr>
        <w:tc>
          <w:tcPr>
            <w:tcW w:w="101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and nine-months ended September 30, 2025 and 2024</w:t>
            </w:r>
          </w:p>
        </w:tc>
        <w:tc>
          <w:tcPr>
            <w:tcW w:w="1100" w:type="dxa"/>
            <w:vAlign w:val="bottom"/>
          </w:tcPr>
          <w:p>
            <w:pPr>
              <w:spacing w:after="0"/>
              <w:rPr>
                <w:sz w:val="15"/>
                <w:szCs w:val="15"/>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9620" w:type="dxa"/>
            <w:vAlign w:val="bottom"/>
            <w:tcBorders>
              <w:top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36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6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3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and nine-months ended September 30, 2025 and 2024 (unaudited)</w:t>
            </w:r>
          </w:p>
        </w:tc>
        <w:tc>
          <w:tcPr>
            <w:tcW w:w="800" w:type="dxa"/>
            <w:vAlign w:val="bottom"/>
            <w:tcBorders>
              <w:bottom w:val="single" w:sz="8" w:color="CCEEFF"/>
            </w:tcBorders>
            <w:gridSpan w:val="2"/>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101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5"/>
        </w:trPr>
        <w:tc>
          <w:tcPr>
            <w:tcW w:w="101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52)</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F-25</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392)</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176"/>
        </w:trPr>
        <w:tc>
          <w:tcPr>
            <w:tcW w:w="51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960" w:type="dxa"/>
            <w:vAlign w:val="bottom"/>
            <w:tcBorders>
              <w:top w:val="single" w:sz="8" w:color="CCEEFF"/>
            </w:tcBorders>
            <w:gridSpan w:val="5"/>
          </w:tcPr>
          <w:p>
            <w:pPr>
              <w:spacing w:after="0"/>
              <w:rPr>
                <w:sz w:val="15"/>
                <w:szCs w:val="15"/>
                <w:color w:val="auto"/>
              </w:rPr>
            </w:pPr>
          </w:p>
        </w:tc>
        <w:tc>
          <w:tcPr>
            <w:tcW w:w="11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7380" w:type="dxa"/>
            <w:vAlign w:val="bottom"/>
            <w:tcBorders>
              <w:bottom w:val="single" w:sz="8" w:color="CCEEFF"/>
            </w:tcBorders>
            <w:gridSpan w:val="10"/>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r>
      <w:tr>
        <w:trPr>
          <w:trHeight w:val="176"/>
        </w:trPr>
        <w:tc>
          <w:tcPr>
            <w:tcW w:w="101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101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4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F-32</w:t>
            </w:r>
          </w:p>
        </w:tc>
      </w:tr>
      <w:tr>
        <w:trPr>
          <w:trHeight w:val="676"/>
        </w:trPr>
        <w:tc>
          <w:tcPr>
            <w:tcW w:w="16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1,418,834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721,032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915,027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468,102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744,194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167,551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3,546,157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478,171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735,871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307,892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2,660,194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1,761,396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25,713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7,446,106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933,306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770,276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1,119,808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75,228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3,913,668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2,772,178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1,142,643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135,976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8,950,164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23,334,626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1,570,572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614,126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265,413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614,126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9,564,290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27,743,322 and 12,210,718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56,972,621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438,120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(59,093,579)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(2,118,184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7,446,106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2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778,482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488,286</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7,997</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572,558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18,006</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2,742,753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506,886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4,184,688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1,064,461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397,135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186,678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972,640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459,991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1,111,895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638,584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2,564,891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1,763,170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243,230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635,459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1,154,857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1,501,261</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11,738</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16,839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4,506,751</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1,967,607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8,893,915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4,788,883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(8,208,660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(328,763)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(764,446)</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(14,227,156)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(26,151,656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(14,227,156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(4,216,555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(2,658,414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(34,360,316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(18,850,414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(34,360,316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27,645,033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12,210,718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18,146,608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12,095,288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59"/>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2"/>
                <w:szCs w:val="22"/>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1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June 30, 2025</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27,636,939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56,613,511</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(54,877,024)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1,739,251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1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106,383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349,990</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0" w:type="dxa"/>
            <w:vAlign w:val="bottom"/>
          </w:tcPr>
          <w:p>
            <w:pPr>
              <w:spacing w:after="0"/>
              <w:rPr>
                <w:sz w:val="1"/>
                <w:szCs w:val="1"/>
                <w:color w:val="auto"/>
              </w:rPr>
            </w:pPr>
          </w:p>
        </w:tc>
      </w:tr>
      <w:tr>
        <w:trPr>
          <w:trHeight w:val="27"/>
        </w:trPr>
        <w:tc>
          <w:tcPr>
            <w:tcW w:w="29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September 30, 2025</w:t>
            </w:r>
          </w:p>
        </w:tc>
        <w:tc>
          <w:tcPr>
            <w:tcW w:w="1040" w:type="dxa"/>
            <w:vAlign w:val="bottom"/>
            <w:tcBorders>
              <w:left w:val="single" w:sz="8" w:color="CCEEFF"/>
            </w:tcBorders>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940" w:type="dxa"/>
            <w:vAlign w:val="bottom"/>
            <w:gridSpan w:val="3"/>
            <w:vMerge w:val="continue"/>
            <w:shd w:val="clear" w:color="auto" w:fill="CCEEFF"/>
          </w:tcPr>
          <w:p>
            <w:pPr>
              <w:spacing w:after="0"/>
              <w:rPr>
                <w:sz w:val="21"/>
                <w:szCs w:val="21"/>
                <w:color w:val="auto"/>
              </w:rPr>
            </w:pPr>
          </w:p>
        </w:tc>
        <w:tc>
          <w:tcPr>
            <w:tcW w:w="11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27,743,322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56,972,621</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(59,093,579</w:t>
            </w:r>
          </w:p>
        </w:tc>
        <w:tc>
          <w:tcPr>
            <w:tcW w:w="1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(2,118,184</w:t>
            </w:r>
          </w:p>
        </w:tc>
        <w:tc>
          <w:tcPr>
            <w:tcW w:w="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2"/>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6"/>
            <w:vMerge w:val="continue"/>
          </w:tcPr>
          <w:p>
            <w:pPr>
              <w:spacing w:after="0"/>
              <w:rPr>
                <w:sz w:val="20"/>
                <w:szCs w:val="20"/>
                <w:color w:val="auto"/>
              </w:rPr>
            </w:pPr>
          </w:p>
        </w:tc>
        <w:tc>
          <w:tcPr>
            <w:tcW w:w="234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0"/>
                <w:szCs w:val="20"/>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98"/>
        </w:trPr>
        <w:tc>
          <w:tcPr>
            <w:tcW w:w="28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Balances as of June 30, 2024 (as</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305,828</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(19,387,833)</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0" w:type="dxa"/>
            <w:vAlign w:val="bottom"/>
          </w:tcPr>
          <w:p>
            <w:pPr>
              <w:spacing w:after="0"/>
              <w:rPr>
                <w:sz w:val="1"/>
                <w:szCs w:val="1"/>
                <w:color w:val="auto"/>
              </w:rPr>
            </w:pPr>
          </w:p>
        </w:tc>
      </w:tr>
      <w:tr>
        <w:trPr>
          <w:trHeight w:val="198"/>
        </w:trPr>
        <w:tc>
          <w:tcPr>
            <w:tcW w:w="29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June 30, 2024, adjusted</w:t>
            </w:r>
          </w:p>
        </w:tc>
        <w:tc>
          <w:tcPr>
            <w:tcW w:w="104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restated)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413,582</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(19,387,833)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14,533</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14,533</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(2,658,414)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Balances as of September 30, 2024</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gridSpan w:val="3"/>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(22,046,247</w:t>
            </w:r>
          </w:p>
        </w:tc>
        <w:tc>
          <w:tcPr>
            <w:tcW w:w="140" w:type="dxa"/>
            <w:vAlign w:val="bottom"/>
            <w:gridSpan w:val="2"/>
            <w:vMerge w:val="continue"/>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(21,616,911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59"/>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3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2"/>
                <w:szCs w:val="22"/>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1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(24,733,263)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(24,293,922)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December 31, 2024,</w:t>
            </w:r>
          </w:p>
        </w:tc>
        <w:tc>
          <w:tcPr>
            <w:tcW w:w="104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438,120</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28,862</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28,862</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Reverse recapitalization transactions,</w:t>
            </w:r>
          </w:p>
        </w:tc>
        <w:tc>
          <w:tcPr>
            <w:tcW w:w="1040" w:type="dxa"/>
            <w:vAlign w:val="bottom"/>
            <w:tcBorders>
              <w:lef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15,426,221</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56,155,649</w:t>
            </w:r>
          </w:p>
        </w:tc>
        <w:tc>
          <w:tcPr>
            <w:tcW w:w="1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106,383</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(34,360,316)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(34,360,316)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Balances as of September 30, 2025</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gridSpan w:val="3"/>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27,743,322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56,972,621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(59,093,579</w:t>
            </w:r>
          </w:p>
        </w:tc>
        <w:tc>
          <w:tcPr>
            <w:tcW w:w="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(2,118,184</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2"/>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360" w:type="dxa"/>
            <w:vAlign w:val="bottom"/>
            <w:gridSpan w:val="6"/>
            <w:vMerge w:val="continue"/>
          </w:tcPr>
          <w:p>
            <w:pPr>
              <w:spacing w:after="0"/>
              <w:rPr>
                <w:sz w:val="20"/>
                <w:szCs w:val="20"/>
                <w:color w:val="auto"/>
              </w:rPr>
            </w:pPr>
          </w:p>
        </w:tc>
        <w:tc>
          <w:tcPr>
            <w:tcW w:w="234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0"/>
                <w:szCs w:val="20"/>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12,208,851</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December 31, 2023,</w:t>
            </w:r>
          </w:p>
        </w:tc>
        <w:tc>
          <w:tcPr>
            <w:tcW w:w="104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12,208,851</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187,001</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187,001</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Balances as of September 30, 2024</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gridSpan w:val="3"/>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(22,046,247</w:t>
            </w:r>
          </w:p>
        </w:tc>
        <w:tc>
          <w:tcPr>
            <w:tcW w:w="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(21,616,911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(34,360,316)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14,227,156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28,862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187,001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64,857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(4,739,169)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shares issued as commitment fee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(864,763)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(572,655)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107,218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(402,854)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163,030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693,309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1,095,589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(171,492)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3,913,668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(61,968)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58,963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(8,197,830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(3,099,229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(483,724)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(898,798)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(579,327)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3,834,500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10,278,154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during period</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697,802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1,418,834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761,704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ROU asset obtained in exchange for lease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Conversion of short-term debt to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2,456,500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39,462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5" w:name="page146"/>
    <w:bookmarkEnd w:id="14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September 30, 2025, the Company had $1,418,834 in cash, a working capital deficit of $5,404,007 and accumulated deficit of $59,093,579.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has obtained additional near-term financing to continue its research and development activities.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requiring public entities to disclose information about their reportable segments’ significant expenses and other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these notes to the condensed consolidated financial statements for further detail.</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2025 annual reporting period. The Company has evaluated the impact of this standard and, because it continues to operate in a loss position and does not pay income taxes, the adoption of this guidance is not expected to have a material impact on its condensed consolidated financial statements or related disclosures.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condensed consolidated financial statements or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share-based compensation, obsolete inventory, the put option under the standby equity purchase agreement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1 -</w:t>
        <w:tab/>
        <w:t>Quoted prices in active markets for identical assets or liabilities that the entity can access.</w:t>
      </w:r>
    </w:p>
    <w:p>
      <w:pPr>
        <w:spacing w:after="0" w:line="225" w:lineRule="exact"/>
        <w:rPr>
          <w:sz w:val="20"/>
          <w:szCs w:val="20"/>
          <w:color w:val="auto"/>
        </w:rPr>
      </w:pPr>
    </w:p>
    <w:p>
      <w:pPr>
        <w:jc w:val="both"/>
        <w:ind w:left="1620" w:hanging="971"/>
        <w:spacing w:after="0" w:line="266" w:lineRule="auto"/>
        <w:tabs>
          <w:tab w:leader="none" w:pos="1600" w:val="left"/>
        </w:tabs>
        <w:rPr>
          <w:sz w:val="20"/>
          <w:szCs w:val="20"/>
          <w:color w:val="auto"/>
        </w:rPr>
      </w:pPr>
      <w:r>
        <w:rPr>
          <w:rFonts w:ascii="Times New Roman" w:cs="Times New Roman" w:eastAsia="Times New Roman" w:hAnsi="Times New Roman"/>
          <w:sz w:val="18"/>
          <w:szCs w:val="18"/>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76" w:lineRule="exact"/>
        <w:rPr>
          <w:sz w:val="20"/>
          <w:szCs w:val="20"/>
          <w:color w:val="auto"/>
        </w:rPr>
      </w:pPr>
    </w:p>
    <w:p>
      <w:pPr>
        <w:jc w:val="both"/>
        <w:ind w:left="16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3 -</w:t>
        <w:tab/>
        <w:t>Unobservable inputs that are supported by little or no market activity and that are significant to the fair value of the assets and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September 30, 2025 and December 31, 2024, there was no accounts receivable allowance for credit losses. There was no credit losses for the three and nine months ended September 30, 2025 and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September 30,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September 30, 2025 and 2024, and for the three and nine months then ended, no projects have been substantially completed and ready for their intended use, and no amortization was recorded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September 30, 2025 and December 31, 2024, and for the three and nine months ended September 30, 2025 and 2024, no such indicators of impairment were identified, and accordingly, no impairment losses were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permitted by ASC 842, 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As a result of the third quarter 2025 review, the Company reversed approximately $196,000 in revenue. If the reseller fails to meet sales targets and the agreement is terminated, any remaining deferred revenue will be recognized at that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 The grant price of the issuances is determined based on the estimated fair value of the shares at the date of grant.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for periods within the contractual life of the option is based on the U.S. Treasury yield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Based on current yield at the grant date or the average dividend yield over the historical period.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dividends and has no plans to do so in the foreseeable future.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inherited 15,675,000 public and private warrants from ShoulderUp, each exercisable at $11.50 per share. These warrants were considered antidilutive and excluded from the diluted net loss per share calculation for the three and nine months ended September 30, 2025. During the three and nine months ended September 30, 2025 and 2024, 20,017 of these warrants were forfeited, resulting in a net total of 15,654,983 warrants outstanding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integration costs of $243,230 and $1,154,857 for the three and nine months ended September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transaction costs incurred in connection with de-SPAC transactions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Costs that are directly attributable to the issuance of equity instruments, such as legal, accounting, and advisory fees related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Restatements and Reclassifications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these reclassifications, amounts previously reported as general and administrative expenses have been reallocated to acquisition and integration expenses. Amounts previously reported as advances to suppliers have been reclassified to prepaid expenses and other current assets. In addition, certain amounts previously reported as other assets have been reclassified to property and equipment, net. Furthermore, certain amounts previously reported as cost of goods sold have been restated to general and administrative expenses, research and development expenses and sales and marketing expenses based on the nature of the underlying costs. These restatements and reclassifications had no impact on total loss from operations, net loss, or shareholders’ equity (deficit) for any period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and SEI Merger Sub, Inc. and the Legacy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151" w:name="page152"/>
    <w:bookmarkEnd w:id="151"/>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 as of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StarUpNV</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3,323,536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Upon the Business Combination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27,636,939</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2" w:name="page153"/>
    <w:bookmarkEnd w:id="152"/>
    <w:p>
      <w:pPr>
        <w:ind w:firstLine="648"/>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condensed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8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74,499</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8,597,750</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7"/>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9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988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56,155,649</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September 30,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2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20" w:type="dxa"/>
            <w:vAlign w:val="bottom"/>
          </w:tcPr>
          <w:p>
            <w:pPr>
              <w:spacing w:after="0"/>
              <w:rPr>
                <w:sz w:val="21"/>
                <w:szCs w:val="21"/>
                <w:color w:val="auto"/>
              </w:rPr>
            </w:pPr>
          </w:p>
        </w:tc>
        <w:tc>
          <w:tcPr>
            <w:tcW w:w="12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(673,500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2,456,500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614,125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55" w:gutter="0" w:footer="0" w:header="0"/>
        </w:sectPr>
      </w:pPr>
    </w:p>
    <w:bookmarkStart w:id="153" w:name="page154"/>
    <w:bookmarkEnd w:id="15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7,023,143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1,755,786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PIPE</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10,837,643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2,709,411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Restatement and Reclassification of Prior Period Financial Statements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 and Staff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Bulletin 108, 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determined these errors were material to the previously issued interim financial statements and as such a restatement was necessary.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revisions had no effect on total revenue, loss from operations, net loss, or shareholders’ equity (deficit) for any period presented. The impact of these reclassifications and restatements on the Company’s condensed consolidated statements of operations for the three and nine months ended September 30, 2024, is shown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00" w:type="dxa"/>
            <w:vAlign w:val="bottom"/>
            <w:gridSpan w:val="11"/>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Restatement</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145,201</w:t>
            </w:r>
          </w:p>
        </w:tc>
        <w:tc>
          <w:tcPr>
            <w:tcW w:w="3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73,639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1,039,092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(532,305)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506,886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157,741</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186,678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633,570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638,584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635,459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635,459</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1,830,403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1,967,607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00" w:type="dxa"/>
            <w:vAlign w:val="bottom"/>
            <w:gridSpan w:val="11"/>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Restatement</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155,210</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18,006</w:t>
            </w:r>
          </w:p>
        </w:tc>
        <w:tc>
          <w:tcPr>
            <w:tcW w:w="0" w:type="dxa"/>
            <w:vAlign w:val="bottom"/>
          </w:tcPr>
          <w:p>
            <w:pPr>
              <w:spacing w:after="0"/>
              <w:rPr>
                <w:sz w:val="1"/>
                <w:szCs w:val="1"/>
                <w:color w:val="auto"/>
              </w:rPr>
            </w:pPr>
          </w:p>
        </w:tc>
      </w:tr>
      <w:tr>
        <w:trPr>
          <w:trHeight w:val="27"/>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vMerge w:val="continue"/>
            <w:shd w:val="clear" w:color="auto" w:fill="CCEEFF"/>
          </w:tcPr>
          <w:p>
            <w:pPr>
              <w:spacing w:after="0"/>
              <w:rPr>
                <w:sz w:val="21"/>
                <w:szCs w:val="21"/>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28,421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165,625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2,462,469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(1,398,008)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1,064,461</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431,054</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459,991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1,758,156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1,763,170</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1,501,261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1,501,261</w:t>
            </w:r>
          </w:p>
        </w:tc>
        <w:tc>
          <w:tcPr>
            <w:tcW w:w="0" w:type="dxa"/>
            <w:vAlign w:val="bottom"/>
          </w:tcPr>
          <w:p>
            <w:pPr>
              <w:spacing w:after="0"/>
              <w:rPr>
                <w:sz w:val="1"/>
                <w:szCs w:val="1"/>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4,651,679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4,788,883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55"/>
        </w:trPr>
        <w:tc>
          <w:tcPr>
            <w:tcW w:w="4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8"/>
                <w:szCs w:val="18"/>
                <w:color w:val="auto"/>
              </w:rPr>
              <w:t>F-15</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Out of Period Adjustment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identified an error in its previously issued financial statements that was corrected through an out of period adjustment in the condensed financial statements as of and for the three and nine months ended September 30, 2025. The error related to non-redemption compensation incurred during the three months ended June 30, 2025 that was not recorded in that quarter. As a result, the Company recorded an out of period adjustment in the amount of approximately $561,000 in the quarter ended September 30, 2025. The Company assessed this out of period adjustment both quantitatively and qualitatively and concluded the error was immaterial.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September 30, 2025 and December 31,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three months ended September 30, 2025, sales to three customers accounted for 100% of total revenues, of which one customer contributed approximately 86% and the other customer contributed approximately 12%. For the nine months ended September 30, 2025, sales to three customers accounted for 100% of total revenues, of which one customer contributed approximately 90%. For the three months ended September 30, 2024, sales to three customers accounted for 100% of total revenues, of which one customer contributed approximately 86%. For the nine months ended September 30, 2024, sales to four customers accounted for 100% of total revenues, of which one customer contributed approximately 53% and another contributed approximately 38%.</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Company’s accounts receivable balance was concentrated among two customers. One customer accounted for approximately 90% of total accounts receivable, and another customer represented approximately 10%. As of September 30, 2024, the Company’s accounts receivable balance was concentrated among three customers. One customer accounted for approximately 75% of total accounts receivable, and another customer represented approximately 24%.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doubtful accounts, as all receivables are considered highly collectible.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as of September 30, 2025 and December 31,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478,171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6"/>
        </w:trPr>
        <w:tc>
          <w:tcPr>
            <w:tcW w:w="59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Capitalized Software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software development costs of $2,660,194 and $1,761,396 as of September 30, 2025 and December 31, 2024,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there was no amortization expense recorded on capitalized software development costs as the software was not substantially complete and ready for its intended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SAFE Agreements and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left="980" w:hanging="324"/>
        <w:spacing w:after="0" w:line="284"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Investor immediately prior to the consummation of the Dissolution Event.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September 30,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SAFE note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 issued for cash</w:t>
            </w:r>
          </w:p>
        </w:tc>
        <w:tc>
          <w:tcPr>
            <w:tcW w:w="9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764,446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14,227,156</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90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22,664,606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22,664,606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September 30, 2025 and December 31, 2024,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23,334,626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Equity Line of Credit: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6" w:name="page157"/>
    <w:bookmarkEnd w:id="1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net loss. The fair value of the purchased put option was determined to be de minimis as of September 30, 2025, and therefore was not recorded on the Company’s balance sheet as of that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purchase notices were issued during the three and nine months ended September 30, 2025. On October 13, 2025, the Company issued a purchase notice to sell 30,000 shares of its Common Stock. The purchase price was settled at $2.6172 per share, resulting in total cash proceeds of $78,516.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authorized 300,000,000 shares of Common Stock, par value $0.0001 per share. As of September 30, 2025, 27,743,322 shares of Common Stock were issued and outstanding, and 272,256,678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nine months ended September 30,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2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4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4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4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0.1759</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September 30, 2025</w:t>
            </w: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vested as of September 30, 2025</w:t>
            </w:r>
          </w:p>
        </w:tc>
        <w:tc>
          <w:tcPr>
            <w:tcW w:w="4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1,797,840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
        </w:trPr>
        <w:tc>
          <w:tcPr>
            <w:tcW w:w="4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F-18</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57" w:name="page158"/>
    <w:bookmarkEnd w:id="1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share-based compensation expense relating to stock options totaling $9,120 and $28,862, respectively. For the three and nine months ended September 30, 2024, the Company recognized share-based compensation relating to stock options totaling $8,778 and $80,372, respectively. Share-based compensation expense relating to stock options is included in “General and administrative” in the accompanying condensed consolidated statements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 total of approximately $14,493 of unrecognized share-based compensation cost relating to outstanding stock options, which is expected to be recognized over a weighted-average period of 0.55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did not grant any restricted stock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and December 31, 2024, there were no unvested restricted stock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did not recognize any share-based compensation relating to restricted stock awards. For the three and nine months ended September 30, 2024, the Company recognized share-based compensation relating to restricted stock awards totaling $5,755 and $106,629, respectively. Share-based compensation relating to restricted stock awards is included in “General and administrative” in the accompanying consolidated statements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there were no unrecognized share-based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September 30, 2025 were out of the money and also excluded from the calculation of diluted net loss per share for being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and nine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51,298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22,170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93,516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7"/>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vMerge w:val="continue"/>
            <w:shd w:val="clear" w:color="auto" w:fill="CCEEFF"/>
          </w:tcPr>
          <w:p>
            <w:pPr>
              <w:spacing w:after="0"/>
              <w:rPr>
                <w:sz w:val="21"/>
                <w:szCs w:val="21"/>
                <w:color w:val="auto"/>
              </w:rPr>
            </w:pPr>
          </w:p>
        </w:tc>
        <w:tc>
          <w:tcPr>
            <w:tcW w:w="2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73,468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F-19</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(88,443)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614,126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750,102</w:t>
            </w:r>
          </w:p>
        </w:tc>
        <w:tc>
          <w:tcPr>
            <w:tcW w:w="4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operating lease term</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4.37 years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4.75 years</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220" w:type="dxa"/>
            <w:vAlign w:val="bottom"/>
          </w:tcPr>
          <w:p>
            <w:pPr>
              <w:spacing w:after="0"/>
              <w:rPr>
                <w:sz w:val="20"/>
                <w:szCs w:val="20"/>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414"/>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as of September 30, 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3 months)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200,462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207,783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197,905</w:t>
            </w: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(164,223)</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9" w:name="page160"/>
    <w:bookmarkEnd w:id="1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February 1, 2025, the Company began subleasing an office space in Barceloneta, Puerto Rico from Cruce Davila Development, LLC. The term of this sublease was month-to-month, and the rent was $12,333 per month. This lease ended on May 31, 2025. On June 1, 2025, the Company renewed the lease for a five-year term, which was recognized as a right-of-use asset with corresponding short-term and long-term lease liabilities in the Company’s financial statements as of that date. The rent expense for the short-term lease expense was $0 and $49,332 for the three and nine months ended September 30, 2025,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Note 15 – Accrued Expenses</w:t>
            </w: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 as of September 30, 2025 and December 31, 2024,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tcPr>
          <w:p>
            <w:pPr>
              <w:spacing w:after="0"/>
              <w:rPr>
                <w:sz w:val="21"/>
                <w:szCs w:val="21"/>
                <w:color w:val="auto"/>
              </w:rPr>
            </w:pPr>
          </w:p>
        </w:tc>
        <w:tc>
          <w:tcPr>
            <w:tcW w:w="65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accrued for Cohen Capital Market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expense accrual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month-end liability accrual</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1,119,808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
        </w:trPr>
        <w:tc>
          <w:tcPr>
            <w:tcW w:w="21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Commitment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In response, the Company filed a motion to dismiss several causes of action on October 23, 2025. The Company has requested that the court dismiss all claims in their entirety. The former employee holds 5,000,260 shares of the Company’s Common Stock.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therefore, no amounts have been accrued for a settlement.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Segment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 single reportable segment, which generates revenue primarily from delivering feasibility study reports that help customers understand how data-driven tracking can enhance their business operations. This segment also encompasses exclusivity arrangements with resellers, providing them protection from competitive sales. The focus on this segment reflects the Company’s strategy to leverage its data-driven insights and reseller partnerships to expand market reach and drive sustainable growth.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condensed consolidated statements of operations. The measure of segment assets is reported on the condensed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 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recorded no income tax expense or benefit due to pre-tax book losses. The Company’s effective tax rate for these periods was 0%, which differs from the statutory federal rate primarily due to the Company’s pre-tax losses that generate deferred tax assets (DTAs) related to net operating loss (NOL) carryforwards. Based on the weight of available evidence, including its cumulative history of operating losses, management has determined that it is more likely than not that these deferred tax assets will not be realized, and therefore continues to maintain a full valuation allowance as of September 30, 2025. As a result, the Company expects to maintain a full valuation allowance for the entire fiscal year, and its estimated annual effective tax rate for 2025 remains 0%. The Company’s deferred tax assets, net of the valuation allowance, were $0 as of September 30,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condensed consolidated statement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0" w:name="page161"/>
    <w:bookmarkEnd w:id="1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 As of September 30, 2025, the Company also recorded a $1,977 sales tax receivable under other current assets account.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nine months ended September 30, 2025 and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effective tax rate of 0% and the U.S. federal statutory rate of 21% for each of the three and nine months ended September 30, 2025 and 2024 was primarily due to changes in deferred tax balances, fully offset by valuation allowances.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19 -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13, 2025, in connection with the SEPA executed with New Circle on June 18, 2025, the Company issued a purchase notice to sell 30,000 shares of its Common Stock. The purchase price was settled at $2.6172 per share, resulting in total cash proceeds of $78,516..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October 23, 2025, the Company filed a motion to dismiss several causes of action brought by the terminated founder employee, as disclosed in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and requested that the court dismiss all claims filed against the Company in their entirety.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24, 2025, the Company filed an action for declaratory relief against a former employee who was terminated under the terms of his employment. The filing seeks clarification regarding a dispute over alleged verbal claims related to salary increases and back pay for which no formal contractual agreements exist.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27, 2025, the Company entered into a non-binding term sheet with an investment firm for the issuance of an $8 million secured promissory note with simple interest at 7% and a 24 month maturity from issuance. The transaction is subject to the execution of a definitive agreement and will include additional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1" w:name="page162"/>
    <w:bookmarkEnd w:id="161"/>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ID, INC. AND SUBSIDIARY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80" w:type="dxa"/>
            <w:vAlign w:val="bottom"/>
            <w:gridSpan w:val="5"/>
          </w:tcPr>
          <w:p>
            <w:pPr>
              <w:jc w:val="center"/>
              <w:ind w:right="2520"/>
              <w:spacing w:after="0"/>
              <w:rPr>
                <w:sz w:val="20"/>
                <w:szCs w:val="20"/>
                <w:color w:val="auto"/>
              </w:rPr>
            </w:pPr>
            <w:r>
              <w:rPr>
                <w:rFonts w:ascii="Times New Roman" w:cs="Times New Roman" w:eastAsia="Times New Roman" w:hAnsi="Times New Roman"/>
                <w:sz w:val="18"/>
                <w:szCs w:val="18"/>
                <w:color w:val="auto"/>
                <w:w w:val="99"/>
              </w:rPr>
              <w:t>SEE ID, INC. AND SUBSIDIARY</w:t>
            </w:r>
          </w:p>
        </w:tc>
        <w:tc>
          <w:tcPr>
            <w:tcW w:w="11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80" w:type="dxa"/>
            <w:vAlign w:val="bottom"/>
            <w:gridSpan w:val="5"/>
          </w:tcPr>
          <w:p>
            <w:pPr>
              <w:jc w:val="center"/>
              <w:ind w:right="250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20" w:type="dxa"/>
            <w:vAlign w:val="bottom"/>
          </w:tcPr>
          <w:p>
            <w:pPr>
              <w:spacing w:after="0"/>
              <w:rPr>
                <w:sz w:val="24"/>
                <w:szCs w:val="24"/>
                <w:color w:val="auto"/>
              </w:rPr>
            </w:pPr>
          </w:p>
        </w:tc>
      </w:tr>
      <w:tr>
        <w:trPr>
          <w:trHeight w:val="473"/>
        </w:trPr>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16"/>
        </w:trPr>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1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52)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F-25</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Accountant (PCAOB ID: 392)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F-27 - F-28</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216"/>
        </w:trPr>
        <w:tc>
          <w:tcPr>
            <w:tcW w:w="160" w:type="dxa"/>
            <w:vAlign w:val="bottom"/>
            <w:tcBorders>
              <w:top w:val="single" w:sz="8" w:color="CCEEFF"/>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960" w:type="dxa"/>
            <w:vAlign w:val="bottom"/>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F-32 - F-52</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CCEEFF"/>
              <w:bottom w:val="single" w:sz="8" w:color="auto"/>
            </w:tcBorders>
            <w:gridSpan w:val="2"/>
          </w:tcPr>
          <w:p>
            <w:pPr>
              <w:jc w:val="center"/>
              <w:ind w:right="4200"/>
              <w:spacing w:after="0"/>
              <w:rPr>
                <w:sz w:val="20"/>
                <w:szCs w:val="20"/>
                <w:color w:val="auto"/>
              </w:rPr>
            </w:pPr>
            <w:r>
              <w:rPr>
                <w:rFonts w:ascii="Times New Roman" w:cs="Times New Roman" w:eastAsia="Times New Roman" w:hAnsi="Times New Roman"/>
                <w:sz w:val="18"/>
                <w:szCs w:val="18"/>
                <w:color w:val="auto"/>
                <w:w w:val="99"/>
              </w:rPr>
              <w:t>F-24</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SEE ID, Inc. dba Dot Ai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SEE ID,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SEE ID, Inc. (the “Company”) as of December 31, 2023, and the related statements of operations, changes in stockholders’ deficit and cash flows for the year then ended, and the related notes to the financial statements (collectively, the “financial statements”). In our opinion, the financial statements present fairly, in all material respects, the financial position of the Company as of December 31, 2023,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 Regarding Going Concern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recurring losses from operations and an accumulated deficit that raise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 except for Note 10, as to which the date is July 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gridSpan w:val="3"/>
            <w:vMerge w:val="continue"/>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Advances to supplier</w:t>
            </w: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133,975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155,845</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640" w:type="dxa"/>
            <w:vAlign w:val="bottom"/>
            <w:tcBorders>
              <w:top w:val="single" w:sz="8" w:color="CCEEFF"/>
              <w:bottom w:val="single" w:sz="8" w:color="CCEEFF"/>
            </w:tcBorders>
          </w:tcPr>
          <w:p>
            <w:pPr>
              <w:spacing w:after="0"/>
              <w:rPr>
                <w:sz w:val="18"/>
                <w:szCs w:val="18"/>
                <w:color w:val="auto"/>
              </w:rPr>
            </w:pPr>
          </w:p>
        </w:tc>
        <w:tc>
          <w:tcPr>
            <w:tcW w:w="27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1,004,095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766,383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6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307,892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1,761,396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927,176</w:t>
            </w:r>
          </w:p>
        </w:tc>
        <w:tc>
          <w:tcPr>
            <w:tcW w:w="0" w:type="dxa"/>
            <w:vAlign w:val="bottom"/>
          </w:tcPr>
          <w:p>
            <w:pPr>
              <w:spacing w:after="0"/>
              <w:rPr>
                <w:sz w:val="1"/>
                <w:szCs w:val="1"/>
                <w:color w:val="auto"/>
              </w:rPr>
            </w:pPr>
          </w:p>
        </w:tc>
      </w:tr>
      <w:tr>
        <w:trPr>
          <w:trHeight w:val="249"/>
        </w:trPr>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23,389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640" w:type="dxa"/>
            <w:vAlign w:val="bottom"/>
            <w:tcBorders>
              <w:top w:val="single" w:sz="8" w:color="CCEEFF"/>
              <w:bottom w:val="single" w:sz="8" w:color="CCEEFF"/>
            </w:tcBorders>
          </w:tcPr>
          <w:p>
            <w:pPr>
              <w:spacing w:after="0"/>
              <w:rPr>
                <w:sz w:val="18"/>
                <w:szCs w:val="18"/>
                <w:color w:val="auto"/>
              </w:rPr>
            </w:pPr>
          </w:p>
        </w:tc>
        <w:tc>
          <w:tcPr>
            <w:tcW w:w="27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2,092,677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927,176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3,096,772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1,693,559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76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72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770,276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24,219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23,505</w:t>
            </w:r>
          </w:p>
        </w:tc>
        <w:tc>
          <w:tcPr>
            <w:tcW w:w="0" w:type="dxa"/>
            <w:vAlign w:val="bottom"/>
          </w:tcPr>
          <w:p>
            <w:pPr>
              <w:spacing w:after="0"/>
              <w:rPr>
                <w:sz w:val="1"/>
                <w:szCs w:val="1"/>
                <w:color w:val="auto"/>
              </w:rPr>
            </w:pPr>
          </w:p>
        </w:tc>
      </w:tr>
      <w:tr>
        <w:trPr>
          <w:trHeight w:val="216"/>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246,720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18,868</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1,142,643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36,225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6"/>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2,220,083</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agreements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4,602,950</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1,570,572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265,413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6"/>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4,602,950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4,647,057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80" w:type="dxa"/>
            <w:vAlign w:val="bottom"/>
            <w:gridSpan w:val="6"/>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108,975,000 shares issued and outstanding at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2023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108,975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108,975</w:t>
            </w:r>
          </w:p>
        </w:tc>
        <w:tc>
          <w:tcPr>
            <w:tcW w:w="0" w:type="dxa"/>
            <w:vAlign w:val="bottom"/>
          </w:tcPr>
          <w:p>
            <w:pPr>
              <w:spacing w:after="0"/>
              <w:rPr>
                <w:sz w:val="1"/>
                <w:szCs w:val="1"/>
                <w:color w:val="auto"/>
              </w:rPr>
            </w:pPr>
          </w:p>
        </w:tc>
      </w:tr>
      <w:tr>
        <w:trPr>
          <w:trHeight w:val="216"/>
        </w:trPr>
        <w:tc>
          <w:tcPr>
            <w:tcW w:w="8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330,366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133,360</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(24,733,263)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6"/>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(2,953,498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3,096,772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1,693,559</w:t>
            </w: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560" w:type="dxa"/>
            <w:vAlign w:val="bottom"/>
            <w:gridSpan w:val="6"/>
          </w:tcPr>
          <w:p>
            <w:pPr>
              <w:jc w:val="right"/>
              <w:ind w:right="61"/>
              <w:spacing w:after="0"/>
              <w:rPr>
                <w:sz w:val="20"/>
                <w:szCs w:val="20"/>
                <w:color w:val="auto"/>
              </w:rPr>
            </w:pPr>
            <w:r>
              <w:rPr>
                <w:rFonts w:ascii="Times New Roman" w:cs="Times New Roman" w:eastAsia="Times New Roman" w:hAnsi="Times New Roman"/>
                <w:sz w:val="18"/>
                <w:szCs w:val="18"/>
                <w:color w:val="auto"/>
              </w:rPr>
              <w:t>For the year ended December 31,</w:t>
            </w:r>
          </w:p>
        </w:tc>
      </w:tr>
      <w:tr>
        <w:trPr>
          <w:trHeight w:val="237"/>
        </w:trPr>
        <w:tc>
          <w:tcPr>
            <w:tcW w:w="10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72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439,640</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343,889</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86,888</w:t>
            </w:r>
          </w:p>
        </w:tc>
      </w:tr>
      <w:tr>
        <w:trPr>
          <w:trHeight w:val="223"/>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3,588,548</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742,041</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2,524,930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449,936</w:t>
            </w:r>
          </w:p>
        </w:tc>
      </w:tr>
      <w:tr>
        <w:trPr>
          <w:trHeight w:val="237"/>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759,967</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837,453</w:t>
            </w:r>
          </w:p>
        </w:tc>
      </w:tr>
      <w:tr>
        <w:trPr>
          <w:trHeight w:val="236"/>
        </w:trPr>
        <w:tc>
          <w:tcPr>
            <w:tcW w:w="8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6,873,445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3"/>
          </w:tcPr>
          <w:p>
            <w:pPr>
              <w:ind w:left="50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(7,044,673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(1,676,678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14,492,176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263,239</w:t>
            </w:r>
          </w:p>
        </w:tc>
      </w:tr>
      <w:tr>
        <w:trPr>
          <w:trHeight w:val="27"/>
        </w:trPr>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60"/>
        <w:spacing w:after="0"/>
        <w:tabs>
          <w:tab w:leader="none" w:pos="1660" w:val="left"/>
        </w:tabs>
        <w:rPr>
          <w:sz w:val="20"/>
          <w:szCs w:val="20"/>
          <w:color w:val="auto"/>
        </w:rPr>
      </w:pPr>
      <w:r>
        <w:rPr>
          <w:rFonts w:ascii="Times New Roman" w:cs="Times New Roman" w:eastAsia="Times New Roman" w:hAnsi="Times New Roman"/>
          <w:sz w:val="18"/>
          <w:szCs w:val="18"/>
          <w:color w:val="auto"/>
        </w:rPr>
        <w:t>(21,536,849)</w:t>
      </w:r>
      <w:r>
        <w:rPr>
          <w:sz w:val="20"/>
          <w:szCs w:val="20"/>
          <w:color w:val="auto"/>
        </w:rPr>
        <w:tab/>
      </w:r>
      <w:r>
        <w:rPr>
          <w:rFonts w:ascii="Times New Roman" w:cs="Times New Roman" w:eastAsia="Times New Roman" w:hAnsi="Times New Roman"/>
          <w:sz w:val="18"/>
          <w:szCs w:val="18"/>
          <w:color w:val="auto"/>
        </w:rPr>
        <w:t>(1,939,917)</w:t>
      </w:r>
    </w:p>
    <w:p>
      <w:pPr>
        <w:spacing w:after="0" w:line="27" w:lineRule="exact"/>
        <w:rPr>
          <w:sz w:val="20"/>
          <w:szCs w:val="20"/>
          <w:color w:val="auto"/>
        </w:rPr>
      </w:pPr>
    </w:p>
    <w:p>
      <w:pPr>
        <w:ind w:left="2400" w:hanging="1541"/>
        <w:spacing w:after="0"/>
        <w:tabs>
          <w:tab w:leader="none" w:pos="2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(21,537,430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   (1,939,917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156019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
        </w:trPr>
        <w:tc>
          <w:tcPr>
            <w:tcW w:w="130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(0.20)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108,203,788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95,983,188</w:t>
            </w:r>
          </w:p>
        </w:tc>
      </w:tr>
      <w:tr>
        <w:trPr>
          <w:trHeight w:val="27"/>
        </w:trPr>
        <w:tc>
          <w:tcPr>
            <w:tcW w:w="1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Balances at January 1, 2023 Stock-based compensation Net loss</w:t>
      </w:r>
    </w:p>
    <w:p>
      <w:pPr>
        <w:ind w:right="380"/>
        <w:spacing w:after="0" w:line="260" w:lineRule="auto"/>
        <w:rPr>
          <w:sz w:val="20"/>
          <w:szCs w:val="20"/>
          <w:color w:val="auto"/>
        </w:rPr>
      </w:pPr>
      <w:r>
        <w:rPr>
          <w:rFonts w:ascii="Times New Roman" w:cs="Times New Roman" w:eastAsia="Times New Roman" w:hAnsi="Times New Roman"/>
          <w:sz w:val="18"/>
          <w:szCs w:val="18"/>
          <w:color w:val="auto"/>
        </w:rPr>
        <w:t>Balances at December 31, 2023 Stock-based compensation Net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at December 31, 2024</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8"/>
          <w:szCs w:val="18"/>
          <w:color w:val="auto"/>
        </w:rPr>
        <w:t>Consolidated Statements of Stockholders’ Deficit</w:t>
      </w:r>
    </w:p>
    <w:p>
      <w:pPr>
        <w:spacing w:after="0" w:line="9"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8"/>
          <w:szCs w:val="18"/>
          <w:color w:val="auto"/>
        </w:rPr>
        <w:t>For the Years Ended December 31, 2024 and 2023</w:t>
      </w:r>
    </w:p>
    <w:p>
      <w:pPr>
        <w:spacing w:after="0" w:line="207"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6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Paid-in</w:t>
            </w:r>
          </w:p>
        </w:tc>
        <w:tc>
          <w:tcPr>
            <w:tcW w:w="13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20"/>
                <w:szCs w:val="20"/>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Deficit</w:t>
            </w:r>
          </w:p>
        </w:tc>
        <w:tc>
          <w:tcPr>
            <w:tcW w:w="160" w:type="dxa"/>
            <w:vAlign w:val="bottom"/>
          </w:tcPr>
          <w:p>
            <w:pPr>
              <w:spacing w:after="0"/>
              <w:rPr>
                <w:sz w:val="20"/>
                <w:szCs w:val="20"/>
                <w:color w:val="auto"/>
              </w:rPr>
            </w:pPr>
          </w:p>
        </w:tc>
        <w:tc>
          <w:tcPr>
            <w:tcW w:w="1020" w:type="dxa"/>
            <w:vAlign w:val="bottom"/>
            <w:gridSpan w:val="3"/>
          </w:tcPr>
          <w:p>
            <w:pPr>
              <w:jc w:val="right"/>
              <w:ind w:right="434"/>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108,975,000</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71,543</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(1,255,916)</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(1,075,398)</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61,817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(1,939,917)</w:t>
            </w: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(1,939,917)</w:t>
            </w:r>
          </w:p>
        </w:tc>
        <w:tc>
          <w:tcPr>
            <w:tcW w:w="0" w:type="dxa"/>
            <w:vAlign w:val="bottom"/>
          </w:tcPr>
          <w:p>
            <w:pPr>
              <w:spacing w:after="0"/>
              <w:rPr>
                <w:sz w:val="1"/>
                <w:szCs w:val="1"/>
                <w:color w:val="auto"/>
              </w:rPr>
            </w:pP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108,975,000</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108,975</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133,360</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(3,195,833)</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(2,953,498)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197,006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(21,537,430)</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(21,537,430)</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1000" w:type="dxa"/>
            <w:vAlign w:val="bottom"/>
            <w:tcBorders>
              <w:right w:val="single" w:sz="8" w:color="auto"/>
            </w:tcBorders>
            <w:gridSpan w:val="2"/>
            <w:shd w:val="clear" w:color="auto" w:fill="000000"/>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(24,293,922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-1079500</wp:posOffset>
            </wp:positionV>
            <wp:extent cx="7132320"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-796925</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-496570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-205105</wp:posOffset>
            </wp:positionV>
            <wp:extent cx="713232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80" w:space="720"/>
            <w:col w:w="7800"/>
          </w:cols>
          <w:pgMar w:left="320" w:top="877" w:right="37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56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0" w:type="dxa"/>
            <w:vAlign w:val="bottom"/>
          </w:tcPr>
          <w:p>
            <w:pPr>
              <w:spacing w:after="0"/>
              <w:rPr>
                <w:sz w:val="1"/>
                <w:szCs w:val="1"/>
                <w:color w:val="auto"/>
              </w:rPr>
            </w:pPr>
          </w:p>
        </w:tc>
      </w:tr>
      <w:tr>
        <w:trPr>
          <w:trHeight w:val="237"/>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80" w:type="dxa"/>
            <w:vAlign w:val="bottom"/>
            <w:tcBorders>
              <w:top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(21,537,430)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(1,939,917)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Adjustments to reconcile net loss to net cash used by operating activities: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14,492,176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263,239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197,006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61,817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payments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14,103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(45,486)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108,008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(65,248)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Advances to supplier</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(33,576)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(23,389)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768,542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20,207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227,852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2,713,215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(43,943)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66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18,247,422</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271,414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(3,290,008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Cash flows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Proceeds from issuance of SAFE agreements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beginning of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(834,220)</w:t>
      </w:r>
      <w:r>
        <w:rPr>
          <w:sz w:val="20"/>
          <w:szCs w:val="20"/>
          <w:color w:val="auto"/>
        </w:rPr>
        <w:tab/>
      </w:r>
      <w:r>
        <w:rPr>
          <w:rFonts w:ascii="Times New Roman" w:cs="Times New Roman" w:eastAsia="Times New Roman" w:hAnsi="Times New Roman"/>
          <w:sz w:val="18"/>
          <w:szCs w:val="18"/>
          <w:color w:val="auto"/>
        </w:rPr>
        <w:t>(672,319)</w:t>
      </w:r>
    </w:p>
    <w:p>
      <w:pPr>
        <w:spacing w:after="0" w:line="200" w:lineRule="exact"/>
        <w:rPr>
          <w:sz w:val="20"/>
          <w:szCs w:val="20"/>
          <w:color w:val="auto"/>
        </w:rPr>
      </w:pPr>
    </w:p>
    <w:p>
      <w:pPr>
        <w:spacing w:after="0" w:line="295"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4,239,500</w:t>
      </w:r>
      <w:r>
        <w:rPr>
          <w:sz w:val="20"/>
          <w:szCs w:val="20"/>
          <w:color w:val="auto"/>
        </w:rPr>
        <w:tab/>
      </w:r>
      <w:r>
        <w:rPr>
          <w:rFonts w:ascii="Times New Roman" w:cs="Times New Roman" w:eastAsia="Times New Roman" w:hAnsi="Times New Roman"/>
          <w:sz w:val="18"/>
          <w:szCs w:val="18"/>
          <w:color w:val="auto"/>
        </w:rPr>
        <w:t>2,120,000</w:t>
      </w:r>
    </w:p>
    <w:p>
      <w:pPr>
        <w:spacing w:after="0" w:line="252" w:lineRule="exact"/>
        <w:rPr>
          <w:sz w:val="20"/>
          <w:szCs w:val="20"/>
          <w:color w:val="auto"/>
        </w:rPr>
      </w:pPr>
    </w:p>
    <w:p>
      <w:pPr>
        <w:jc w:val="both"/>
        <w:ind w:left="560"/>
        <w:spacing w:after="0"/>
        <w:tabs>
          <w:tab w:leader="none" w:pos="1780" w:val="left"/>
        </w:tabs>
        <w:rPr>
          <w:sz w:val="20"/>
          <w:szCs w:val="20"/>
          <w:color w:val="auto"/>
        </w:rPr>
      </w:pPr>
      <w:r>
        <w:rPr>
          <w:rFonts w:ascii="Times New Roman" w:cs="Times New Roman" w:eastAsia="Times New Roman" w:hAnsi="Times New Roman"/>
          <w:sz w:val="18"/>
          <w:szCs w:val="18"/>
          <w:color w:val="auto"/>
        </w:rPr>
        <w:t>115,272</w:t>
      </w:r>
      <w:r>
        <w:rPr>
          <w:sz w:val="20"/>
          <w:szCs w:val="20"/>
          <w:color w:val="auto"/>
        </w:rPr>
        <w:tab/>
      </w:r>
      <w:r>
        <w:rPr>
          <w:rFonts w:ascii="Times New Roman" w:cs="Times New Roman" w:eastAsia="Times New Roman" w:hAnsi="Times New Roman"/>
          <w:sz w:val="18"/>
          <w:szCs w:val="18"/>
          <w:color w:val="auto"/>
        </w:rPr>
        <w:t>(220,822)</w:t>
      </w:r>
    </w:p>
    <w:p>
      <w:pPr>
        <w:spacing w:after="0" w:line="27"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605,760</w:t>
      </w:r>
      <w:r>
        <w:rPr>
          <w:sz w:val="20"/>
          <w:szCs w:val="20"/>
          <w:color w:val="auto"/>
        </w:rPr>
        <w:tab/>
      </w:r>
      <w:r>
        <w:rPr>
          <w:rFonts w:ascii="Times New Roman" w:cs="Times New Roman" w:eastAsia="Times New Roman" w:hAnsi="Times New Roman"/>
          <w:sz w:val="18"/>
          <w:szCs w:val="18"/>
          <w:color w:val="auto"/>
        </w:rPr>
        <w:t>826,582</w:t>
      </w:r>
    </w:p>
    <w:p>
      <w:pPr>
        <w:spacing w:after="0" w:line="58"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721,032</w:t>
        <w:tab/>
        <w:t>$</w:t>
      </w:r>
      <w:r>
        <w:rPr>
          <w:sz w:val="20"/>
          <w:szCs w:val="20"/>
          <w:color w:val="auto"/>
        </w:rPr>
        <w:tab/>
      </w:r>
      <w:r>
        <w:rPr>
          <w:rFonts w:ascii="Times New Roman" w:cs="Times New Roman" w:eastAsia="Times New Roman" w:hAnsi="Times New Roman"/>
          <w:sz w:val="18"/>
          <w:szCs w:val="18"/>
          <w:color w:val="auto"/>
        </w:rPr>
        <w:t>605,760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Organization and Description of the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ID, Inc. dba Dot AI (“SEE ID”) was incorporated in the state of Nevada on December 8, 2020 to help businesses transform their operations by optimizing safety, security and efficiency of operations through real-time tracking of resources. Through SEE ID’s extensive research and development initiatives, SEE ID’s main focus includes areas such as Industrial IoT, Indoor and Outdoor tracking with seamless transitions, Passive RFID (including Bluetooth and 5G), Collision Avoidance, real-time locating systems, Dolly Management, and related supported software applications.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ID is the developer of an asset tracking platform intended to push the limits of real-time precision-based location technology. SEE ID’s platform leverages the technologies, including the patented passive and active RFID tracking solutions, low power edge camera platforms utilizing artificial intelligence, enabling users to give accuracy to have in transit visibility of their material flow. Through its technological solutions, SEE ID serves multiple industries including aviation, construction, delivery, military, mining, retail, sea ports, medical logistics, warehousing and manufacturing.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ID’s corporate headquarters is in Las Vegas, Nevada and SEE ID has offices in Massachusetts and Maryland.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SEE ID incorporated Dot Works, Inc. (“Dot Works”), a Puerto Rico corporation, as a wholly-owned subsidiary Dot Works, based in Puerto Rico, serves as the primary manufacturing facility for Dot Ai, producing smart hardware devices and embedded technology components used in AI-driven enterprise solutions (ZIM Bridges and Smart Industrial TAGS). Activities include assembly, quality control, and packaging of proprietary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SEE ID and its wholly-owned subsidiary, Dot Works, which are collectively referred to as the “Company” in these consolidated financial statements. All intercompany balances and transactions have been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conformity with accounting principles generally accepted in the United States of America (“US GAAP”).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which contemplates the realization of assets and satisfaction of liabilities in the normal course of business. The Company incurred net losses since its inception and at December 31, 2024 has an accumulated deficit of $24,733,263, cash of $721,032 and a working capital deficiency of $1,215,998. Management anticipates the Company will continue to incur operating losses for the foreseeable future. The Company’s ability to continue as a going concern is dependent on its ability to raise additional capital to fund its research and development (“R&amp;D”) activities and meet its obligations on a timely basis; however, there can be no assurance that sufficient funding will be available to allow the Company to successfully continue its R&amp;D activities and commercialize its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2024, the Company signed a business combination agreement with ShoulderUp Technology Acquisition Corp. (“SUTA”), a special-purpose acquisition company. The Company’s strategic plan includes its business combination with SUTA to assist the Company in its efforts to raise capital and grow its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a business combination, or any other form of capital financing,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and Uncertainties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 the Company’s revenues and results of operations could be adversely affected.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includes components produced in foreign countries, the Company is subject to certain risks associated with tariffs on imports the government of the United States of America imposes, which could adversely impact the Company’s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as well as disclosure of contingent assets and liabilities at the date of the consolidated financial statements and the reported amounts of revenue and expenses during the reporting period. The Company believes judgment is involved in determining capitalized software development costs, the fair value of the SAFE agreements, useful lives of capitalized software development costs, stock-based compensation and the valuation allowance on deferred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No allowance for credit losses was necessary at December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raw materials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at December 31, 2024 and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Advances to supplier are adjusted against the final amounts due upon shipment of the related products to the Company and are expected to be utilized within one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Prepaid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are amounts paid to secure the use of assets or the receipt of services at a future date or continuously over one or more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the prepaid expenses are consumed, they are charged to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Development Costs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Financial Accounting Standards Board (“FASB”) Accounting Standards Codification (“ASC”) Topic 350-40, </w:t>
      </w:r>
      <w:r>
        <w:rPr>
          <w:rFonts w:ascii="Times New Roman" w:cs="Times New Roman" w:eastAsia="Times New Roman" w:hAnsi="Times New Roman"/>
          <w:sz w:val="18"/>
          <w:szCs w:val="18"/>
          <w:i w:val="1"/>
          <w:iCs w:val="1"/>
          <w:color w:val="auto"/>
        </w:rPr>
        <w:t>Intangibles-Goodwill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At December 31, 2024 and 2023, and for the years then ended, the Company was in the application development phase and as no projects have been substantially completed and ready for their intended use, no amortization was recorded during the years then 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At December 31, 2024 and 2023, and for the years then ended, no such indicators of impairment were identified, and accordingly, no impairment losses were recognized.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and measures its leases in accordance with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or contains a lease, at inception of a contract and when the terms of an existing contract are changed. The Company recognizes a lease liability and a right-of-use (ROU) asset at the commencement date of each lease. The lease liability is initially and subsequently recognized based on the present value of the contract’s future lease payments.</w:t>
      </w:r>
    </w:p>
    <w:p>
      <w:pPr>
        <w:spacing w:after="0" w:line="18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Variable payments are included in the future lease payments when those variable payments depend on an index or a rate. The discount rate is the implicit rate, if it is readily determinable, or the Company’s incremental borrowing rate. The Company’s incremental borrowing rate for a lease is the rate of interest it would have to pay on a collateralized basis to borrow an amount equal to the lease payments under similar terms and in a similar economic environment.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delivery of subscription services and related professional services through a hosted cloud (SaaS) environment. Arrangements for services generally have terms of one year or less.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subscription service revenue is recognized on a straight-line basis over the contract term. The Company determined a time-based approach is the most appropriate measure of progress because customers simultaneously receive and consume the benefits as they can access the cloud-based software under the contract terms. The Company’s subscription service arrangements are noncancelable and do not contain refund-type provisions. The Company also sells hardware related to its subscription service arrangements. These hardware components are highly integrated with the subscription service and together represent a single performance obligation. Revenues attributable to this combined performance obligation are recognized over time as the services are delivered.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provides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2024, the Company entered into a five-year exclusivity and licensing agreement with a customer. In consideration of the exclusive rights granted through this agreement, the customer made payments to the Company totaling $2,000,000 by December 31, 2024, $36,785 of which has been recognized as revenue during the year ended December 31, 2024, and with the remaining $1,963,215 included in “Deferred revenue” at December 31, 2024 in the accompanying consolidated balance sheets, which will be recognized as follows: $392,643 (2025), $392,643 (2026), $392,643 (2027), $392,643 (2028), and $392,643 (2029).</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the Company also had deferred revenue amounting to $750,000 for a prepayment from a customer for certain products, hardware, installation, programming, subscription, and training services, which the Company is in the process of fulfilling and expects to deliver entirely before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stock-based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 The grant price of the issuances is determined based on the estimated fair value of the shares at the date of grant.</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for periods within the contractual life of the option is based on the U.S. Treasury yield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Based on current yield at the grant date or the average dividend yield over the historical period. The Company has never declared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paid dividends and has no plans to do so in the foreseeable future.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For the years ended December 31, 2024 and 2023, advertising expenses totaled $818,538 and $47,850,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FASB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Categorization within the valuation hierarchy is based upon the lowest level of input that is significant to the fair value measurement. Valuation techniques used need to maximize the use of observable inputs and minimize the use of unobservable inputs. Under the standard, fair value is defined as the exit price, or the amount that would be received to sell an asset or paid to transfer a liability in an orderly transaction between market participants at the measurement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described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Pricing inputs are unadjusted quoted prices available in active markets for identical assets or liabilities at the reporting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Pricing inputs are quoted prices for similar investments, or inputs that are observable, either directly or indirectly, for substantially the full term through corroboration with observable market data. Level 2 includes assets and liabilities valued at quoted prices adjusted for legal or contractual restrictions specific to these assets and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3 - Pricing inputs are unobservable, supported by little or no market activity, and reflect the reporting entity’s own assumptions about the assumptions market participants would use in pricing the asset or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the SAFE agreements, at December 31, 2024 and 2023, the fair value of all of the Company’s financial assets and liabilities approximate carrying value because of the short-term nature of these instruments. The SAFE agreements are carried at estimated fair value, determined by the Company using a probability weighted expected return method. The SAFE agreements are classified within Level 3 of the fair value hierarchy, since their fair values are determined using significant assumptions that are not observable in the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 described above may produce a fair value calculation that may not be indicative of net realizable value or reflective of future fair values. Furthermore, although the Company believes its valuation methods are appropriate and consistent with other market participants; however, the use of different methodologies or assumptions to determine the fair value of certain financial instruments could result in a different fair value measurement at the reporting 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to enhance disclosures about significant segment expenses for public entities reporting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under FASB ASC Topic 280. The amendments require public entities to disclose significant expense categories for each reportable segment, other segment items, the title and position of the chief financial decision-maker, and interim disclosures of certain segment-related information previously required only on an annual basis. The amendments clarify that entities reporting single segments must disclose both the new and existing segment disclosures under FASB ASC Topic 280, and a public entity is permitted to disclose multiple measures of segment profit or loss if certain criteria are met. This standard is effective for fiscal years beginning after December 15, 2023, and interim periods within fiscal years beginning after December 15, 2024. The adoption of ASU 2023-07 did not have a significant impact on the Company’s consolidated financial statements. See Note 13 for the required disclosures.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This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consolidated financial statements, other than the required changes to the income tax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any other recently issued, but not yet effective, accounting standards could have a material effect on the Company’s consolidated financial statements. As new accounting pronouncements are issued, the Company will adopt those that are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Concentrations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 Arising From Cash Deposits in Excess of Insured Limits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At December 31, 2024 and 2023, the Company’s cash balance held at this financial institution exceeded the FDIC limit. The Company has not experienced losses on this account and management believes the Company is not exposed to significant risks on such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customer is defined as one from whom at least 10% of revenue is derived. For the year ended December 31, 2024, the Company had sales to three customers totaling approximately $154,000, which comprised approximately 89% of total revenues. For the year ended December 31, 2023, the Company had sales to two customers totaling approximately $361,000, which comprised approximately 82% of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Vendor: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purchases during the year ended December 31, 2024 were from a single vendor that provides polycarbonate plastic casings for the Company’s hardware products. Alternative suppliers are available for these items and management believes the loss of this supplier would be unlikely to have a material impact on the Company’s operations 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Capitalized Software Development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SEE ID capitalized software development costs totaling $834,220 and $672,319, respectively. For the years ended December 31, 2024 and 2023, there was no amortization expense recorded on capitalized software development costs as the software was not substantially complete and ready for its intended use, which management currently expects to occur in or before July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SAFE Agreements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2024 and 2023, SEE ID has issued Simple Agreements for Future Equity (the “SAFE agreements”) to investors for proceeds totaling $8,461,465 and $4,221,965, respectively. Under the terms of these SAFE agreements, which have stated discount rates which range from 67 - 80%, the following will happen upon the occurrence of these events (all capitalized terms are as defined in the SAFE agreements):</w:t>
      </w:r>
    </w:p>
    <w:p>
      <w:pPr>
        <w:spacing w:after="0" w:line="174" w:lineRule="exact"/>
        <w:rPr>
          <w:sz w:val="20"/>
          <w:szCs w:val="20"/>
          <w:color w:val="auto"/>
        </w:rPr>
      </w:pPr>
    </w:p>
    <w:p>
      <w:pPr>
        <w:ind w:left="660" w:hanging="4"/>
        <w:spacing w:after="0" w:line="284" w:lineRule="auto"/>
        <w:tabs>
          <w:tab w:leader="none" w:pos="8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left="660" w:hanging="4"/>
        <w:spacing w:after="0" w:line="267" w:lineRule="auto"/>
        <w:tabs>
          <w:tab w:leader="none" w:pos="88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or concurrent with, the consummation of such Liquidity Event, equal to the greater of (i) the Purchase Amount (the “Cash-Out Amount”) or (ii) the amount payable on the number of shares of Common Stock equal to the Purchase Amount divided by the Liquidity Price.</w:t>
      </w:r>
    </w:p>
    <w:p>
      <w:pPr>
        <w:spacing w:after="0" w:line="173" w:lineRule="exact"/>
        <w:rPr>
          <w:rFonts w:ascii="Times New Roman" w:cs="Times New Roman" w:eastAsia="Times New Roman" w:hAnsi="Times New Roman"/>
          <w:sz w:val="18"/>
          <w:szCs w:val="18"/>
          <w:color w:val="auto"/>
        </w:rPr>
      </w:pPr>
    </w:p>
    <w:p>
      <w:pPr>
        <w:ind w:left="660" w:hanging="4"/>
        <w:spacing w:after="0" w:line="284" w:lineRule="auto"/>
        <w:tabs>
          <w:tab w:leader="none" w:pos="84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Investor immediately prior to the consummation of the Dissolution Event.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events had occurred at December 31, 2024, and the SAFE agreements remained outstanding.</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probability-weighted expected return method. During the years ended December 31, 2024 and 2023, SEE ID issued additional SAFE agreements to investors totaling $4,239,500 and $2,120,000, and the change in the fair value of the SAFE agreements was $14,492,176 and $263,239,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activity for the years ended December 31, 2024 and 2023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Borders>
              <w:bottom w:val="single" w:sz="8" w:color="CCEEFF"/>
            </w:tcBorders>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year</w:t>
            </w:r>
          </w:p>
        </w:tc>
        <w:tc>
          <w:tcPr>
            <w:tcW w:w="4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Plus: SAFE agreements issued for cash</w:t>
            </w: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2,120,000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Change in fair value</w:t>
            </w:r>
          </w:p>
        </w:tc>
        <w:tc>
          <w:tcPr>
            <w:tcW w:w="4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14,492,176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263,239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SAFE agreements at fair value, end of year</w:t>
            </w:r>
          </w:p>
        </w:tc>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4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23,334,626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4,602,950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F-42</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ID is authorized to issue 200,000,000 shares of common stock at $0.001 par value, comprised of (i) 165,000,000 shares of Class A Common Stock (voting) and (ii) 35,000,000 shares of Class B Common Stock (non-voting).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SEE ID had 108,975,000 shares of Class A Common Stock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2021, SEE ID adopted the 2021 Equity Inventive Plan (the “Plan”), which provides for grants of awards in the form of incentive stock options, nonqualified stock options, and restricted stock awards to selected employees, directors, and independent contractors of the Company and its affiliates, as defined in the Plan. The aggregate number of shares of SEE ID’s common stock that may be issued under the Plan shall not exceed 57,477,460. The purpose of the Plan is to encourage and enable selected participants to acquire or to increase their holdings of SEE ID’s common stock in order to promote a closer identification of their interests with those of the Company and its stockholders. The Plan is administered by the Company’s Board of Directors, which determines the persons to whom awards will be granted, the type of awards to be granted, the number of awards to be granted and the specific terms of each grant, including the vesting thereof, subject to the provisions of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SEE ID granted stock options to purchase 86,700 shares of its common stock at an exercise price of $0.70 per share, which all have a ten-year life and vest ratably over the 18 months following the date of grant. The fair value of the stock options granted during the year ended December 31, 2024, was determined to be approximately $44,000 on the date of grant using the Black-Scholes option-pricing model, with the following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9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59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rates</w:t>
            </w:r>
          </w:p>
        </w:tc>
        <w:tc>
          <w:tcPr>
            <w:tcW w:w="59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5900" w:type="dxa"/>
            <w:vAlign w:val="bottom"/>
          </w:tcPr>
          <w:p>
            <w:pPr>
              <w:spacing w:after="0"/>
              <w:rPr>
                <w:sz w:val="18"/>
                <w:szCs w:val="18"/>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calculated fair value</w:t>
            </w:r>
          </w:p>
        </w:tc>
        <w:tc>
          <w:tcPr>
            <w:tcW w:w="5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0.51</w:t>
            </w:r>
          </w:p>
        </w:tc>
      </w:tr>
      <w:tr>
        <w:trPr>
          <w:trHeight w:val="655"/>
        </w:trPr>
        <w:tc>
          <w:tcPr>
            <w:tcW w:w="45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jc w:val="right"/>
              <w:ind w:right="4530"/>
              <w:spacing w:after="0"/>
              <w:rPr>
                <w:sz w:val="20"/>
                <w:szCs w:val="20"/>
                <w:color w:val="auto"/>
              </w:rPr>
            </w:pPr>
            <w:r>
              <w:rPr>
                <w:rFonts w:ascii="Times New Roman" w:cs="Times New Roman" w:eastAsia="Times New Roman" w:hAnsi="Times New Roman"/>
                <w:sz w:val="18"/>
                <w:szCs w:val="18"/>
                <w:color w:val="auto"/>
              </w:rPr>
              <w:t>F-43</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2024 and 2023, is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Weighted-</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Remaining</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41"/>
        </w:trPr>
        <w:tc>
          <w:tcPr>
            <w:tcW w:w="732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Life (in 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13,060,760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13,460,760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0.010</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options outstanding*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11,455,000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0.003</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86,700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2024</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25,002,460</w:t>
            </w:r>
          </w:p>
        </w:tc>
        <w:tc>
          <w:tcPr>
            <w:tcW w:w="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bottom w:val="single" w:sz="8" w:color="CCEEFF"/>
            </w:tcBorders>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0.009</w:t>
            </w:r>
          </w:p>
        </w:tc>
        <w:tc>
          <w:tcPr>
            <w:tcW w:w="122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6.22</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(i.e., exercisable) at December 31,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22,615,760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0.006</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stock options for common stock awards issued prior to January 1, 2024 that were incorrectly excluded from the total number of stock options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$63,000 on January 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SEE ID recognized stock-based compensation relating to stock options totaling $90,377, which is included in “General and administrative” in the accompanying consolidated statements of operations. During the year ended December 31, 2023, SEE ID did not recognize any stock-based compensation relating to stock options.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there was a total of approximately $47,000 of unrecognized stock-based compensation cost relating to outstanding stock options, which is expected to be recognized over a weighted-average period of 1.25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outstanding restricted stock awards amounted to 32,475,000 shares of SEE ID’s common stock and includes restricted stock awards for 16,537,500 shares of common stock issued prior to January 1, 2024 that were incorrectly excluded from the total number of restricted stock awards for common stock outstanding at December 31, 2023. The related stock-based compensation that should have been recorded in the prior periods was immaterial to the overall consolidated financial statements for the years ended December 31, 2023 and 2022. SEE ID recorded the catch-up stock-based compensation of approximately $66,000 on January 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SEE ID did not grant any restricted stock awards.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2020 and August 2021, the Company granted restricted stock awards of 15,937,500 shares of the Company’s common stock to each its chief financial officer (“CFO”) and chief executive officer (“CEO”), respectively (collectively referred to as the “Awards”). The Awards included vesting conditions with provisions that were considered “performance conditions” under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that management concluded were probable to occur at the time of grant. The fair value of each of the Awards was determined to be approximately $67,000 (subsequently adjusted, as discussed above) on the date of grant based on the estimated fair value of the Company’s common stock at that time and was being recognized in equal monthly amounts through the date the vesting conditions were expected to be achieved. In December 2023, the Company’s board of directors approved the removal of the performance condition portion of the vesting conditions included in the Awards. As a result of this modification to the Awards, the restricted stock awarded to the CFO became fully vested at the date of the modification date and the restricted stock awarded to the CEO will become fully vested under the timing vesting condition noted in their original agreement (i.e., the third anniversary of the grant date, or August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and 2023, unvested restricted stock awards granted amounted to zero and 3,115,625,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SEE ID recognized stock-based compensation relating to restricted stock awards totaling $106,629 and $61,817, respectively. Stock-based compensation relating to restricted stock awards is included in “General and administrative” in the accompanying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there was no unrecognized stock-based compensation costs relating to restricted stock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4"/>
                <w:szCs w:val="24"/>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Current tax expense: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gridSpan w:val="4"/>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provision for income taxes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196"/>
        </w:trPr>
        <w:tc>
          <w:tcPr>
            <w:tcW w:w="11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Deferred taxes:</w:t>
            </w:r>
          </w:p>
        </w:tc>
        <w:tc>
          <w:tcPr>
            <w:tcW w:w="756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4,045,818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397,951</w:t>
            </w: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27,676</w:t>
            </w:r>
          </w:p>
        </w:tc>
      </w:tr>
      <w:tr>
        <w:trPr>
          <w:trHeight w:val="216"/>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(4,161,621)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(425,627)</w:t>
            </w:r>
          </w:p>
        </w:tc>
      </w:tr>
      <w:tr>
        <w:trPr>
          <w:trHeight w:val="210"/>
        </w:trPr>
        <w:tc>
          <w:tcPr>
            <w:tcW w:w="8680" w:type="dxa"/>
            <w:vAlign w:val="bottom"/>
            <w:tcBorders>
              <w:top w:val="single" w:sz="8" w:color="CCEEFF"/>
              <w:bottom w:val="single" w:sz="8" w:color="CCEEFF"/>
            </w:tcBorders>
            <w:gridSpan w:val="4"/>
          </w:tcPr>
          <w:p>
            <w:pPr>
              <w:ind w:left="340"/>
              <w:spacing w:after="0" w:line="203" w:lineRule="exact"/>
              <w:rPr>
                <w:sz w:val="20"/>
                <w:szCs w:val="20"/>
                <w:color w:val="auto"/>
              </w:rPr>
            </w:pPr>
            <w:r>
              <w:rPr>
                <w:rFonts w:ascii="Times New Roman" w:cs="Times New Roman" w:eastAsia="Times New Roman" w:hAnsi="Times New Roman"/>
                <w:sz w:val="18"/>
                <w:szCs w:val="18"/>
                <w:color w:val="auto"/>
              </w:rPr>
              <w:t>Deferred provision for income taxes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tax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taxes consist of the following at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 (liability):</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40" w:type="dxa"/>
            <w:vAlign w:val="bottom"/>
            <w:tcBorders>
              <w:top w:val="single" w:sz="8" w:color="auto"/>
            </w:tcBorders>
          </w:tcPr>
          <w:p>
            <w:pPr>
              <w:spacing w:after="0"/>
              <w:rPr>
                <w:sz w:val="4"/>
                <w:szCs w:val="4"/>
                <w:color w:val="auto"/>
              </w:rPr>
            </w:pPr>
          </w:p>
        </w:tc>
        <w:tc>
          <w:tcPr>
            <w:tcW w:w="6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729,287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3,106,508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R&amp;D expenditures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255,835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tax credit carryovers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43,669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304,628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(4,804,357)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(642,736)</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taxes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Company had available net research and development tax credit carryforwards amounting to approximately $239,000 and $44,000, respectively, for state tax purposes that do not expire.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and 2023, the Company has generated net operating loss (“NOL”) carryforwards for federal tax purposes of approximately $1,451,000 and $1,394,000, respectively, which can be carried forward to offset future taxable income. These federal NOL carryforwards do not expire. At December 31, 2024 and 2023, the Company has generated NOL carryforwards for foreign tax purposes of approximately $258,000 and zero, respectively, which can be carried forward to offset future taxable income. These foreign NOL carryforwards expire in 2034. At December 31, 2024 and 2023, the Company has generated NOL carryforwards for state tax purposes of approximately $1,022,000 and $1,019,000, respectively, which can be carried forward to offset future taxable income. Approximately $754,000 of the state NOL carryforwards do not expire and the remaining approximately $268,000 expire through 2044.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valuation allowance, the Company had a net deferred tax asset of $4,804,357 and $642,736 at December 31, 2024 and 2023, respectively; however, the ultimate realization of deferred income tax assets is dependent upon the generation of future taxable income. The Company has placed a full valuation allowance against the net deferred income tax asset.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in interest expense and general and administrative, respectively. At December 31, 2024 and 2023, the Company has no accrued interest and penalties.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U.S. federal jurisdiction, various state jurisdictions and in Puerto Rico. The Company is currently not under examination by any tax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consolidated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shares of common stock for stock options amounting to 25,002,460 and 24,915,760, respectively, and for unvested restricted stock awards amounting to zero and 3,115,625, respectively, were not included in the calculation of diluted net loss per share because such shares are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SEE ID entered into a noncancelable lease agreement for a facility in Bethesda, Maryland. This lease commenced on July 1, 2024, has a term of 63 calendar months, and has an initial base rent of approximately $7,000 that increases annually by three percent. Under the terms of this lease, SEE ID is also responsible for their proportionate share of expenses associated with the facility and its premises.</w:t>
      </w:r>
    </w:p>
    <w:p>
      <w:pPr>
        <w:sectPr>
          <w:pgSz w:w="11900" w:h="16838" w:orient="portrait"/>
          <w:cols w:equalWidth="0" w:num="1">
            <w:col w:w="11240"/>
          </w:cols>
          <w:pgMar w:left="320" w:top="877"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 (cost resulting from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Variable lease cost (cost excluded from lease payments)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is as follows for the year ended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615" w:hanging="615"/>
        <w:spacing w:after="0"/>
        <w:tabs>
          <w:tab w:leader="none" w:pos="6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43,106</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31,470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3,536</w:t>
      </w:r>
    </w:p>
    <w:p>
      <w:pPr>
        <w:spacing w:after="0" w:line="58" w:lineRule="exact"/>
        <w:rPr>
          <w:sz w:val="20"/>
          <w:szCs w:val="20"/>
          <w:color w:val="auto"/>
        </w:rPr>
      </w:pPr>
    </w:p>
    <w:p>
      <w:pPr>
        <w:ind w:left="615" w:hanging="615"/>
        <w:spacing w:after="0"/>
        <w:tabs>
          <w:tab w:leader="none" w:pos="6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9305" w:space="720"/>
            <w:col w:w="1215"/>
          </w:cols>
          <w:pgMar w:left="320" w:top="877" w:right="339" w:bottom="1440"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Operating cash flows (fixed payments)</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14,103</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 Operating cash flows (liability reduction)</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Change in ROU asset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lease liabilities - Operating lease</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ROU asset - Operating lease</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331,478</w:t>
            </w:r>
          </w:p>
        </w:tc>
        <w:tc>
          <w:tcPr>
            <w:tcW w:w="0" w:type="dxa"/>
            <w:vAlign w:val="bottom"/>
          </w:tcPr>
          <w:p>
            <w:pPr>
              <w:spacing w:after="0"/>
              <w:rPr>
                <w:sz w:val="1"/>
                <w:szCs w:val="1"/>
                <w:color w:val="auto"/>
              </w:rPr>
            </w:pPr>
          </w:p>
        </w:tc>
      </w:tr>
      <w:tr>
        <w:trPr>
          <w:trHeight w:val="432"/>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at December 31,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9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301,638</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at December 31, 2024: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57,680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88,462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91,116</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93,850</w:t>
            </w:r>
          </w:p>
        </w:tc>
        <w:tc>
          <w:tcPr>
            <w:tcW w:w="0" w:type="dxa"/>
            <w:vAlign w:val="bottom"/>
          </w:tcPr>
          <w:p>
            <w:pPr>
              <w:spacing w:after="0"/>
              <w:rPr>
                <w:sz w:val="1"/>
                <w:szCs w:val="1"/>
                <w:color w:val="auto"/>
              </w:rPr>
            </w:pPr>
          </w:p>
        </w:tc>
      </w:tr>
      <w:tr>
        <w:trPr>
          <w:trHeight w:val="25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03"/>
        </w:trPr>
        <w:tc>
          <w:tcPr>
            <w:tcW w:w="9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403,250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301,638</w:t>
            </w:r>
          </w:p>
        </w:tc>
        <w:tc>
          <w:tcPr>
            <w:tcW w:w="0" w:type="dxa"/>
            <w:vAlign w:val="bottom"/>
          </w:tcPr>
          <w:p>
            <w:pPr>
              <w:spacing w:after="0"/>
              <w:rPr>
                <w:sz w:val="1"/>
                <w:szCs w:val="1"/>
                <w:color w:val="auto"/>
              </w:rPr>
            </w:pPr>
          </w:p>
        </w:tc>
      </w:tr>
      <w:tr>
        <w:trPr>
          <w:trHeight w:val="21"/>
        </w:trPr>
        <w:tc>
          <w:tcPr>
            <w:tcW w:w="99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F-48</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980" w:type="dxa"/>
            <w:vAlign w:val="bottom"/>
            <w:tcBorders>
              <w:bottom w:val="single" w:sz="8" w:color="auto"/>
            </w:tcBorders>
            <w:gridSpan w:val="2"/>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type w:val="continuous"/>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2024 and 2023, SEE ID has entered into SAFE agreements with Charles Maddox, SEE ID’s Chief Financial Officer and a stockholder of SEE ID, for proceeds totaling $28,833.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SEE ID entered into a $1,500,000 purchase order with Pope Technologies LLC for certain products, hardware, installation, programming, subscription, and training, of which $750,000 has been received by the Company and is reported as deferred revenue at December 31, 2024 in the accompanying consolidated balance sheets. Pope Technologies LLC is owned by a director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2022, SEE ID entered into a customer agreement with PRB Transportation, LLC, which is owned, in part, by Charles Maddox, SEE ID’s Chief Financial Officer and a stockholder of SEE ID, and Jeff Andersen, a stockholder of SEE ID. For the years ended December 31, 2024 and 2023, revenues recognized from this agreement with PRB Transportation, LLC amounted to $15,145 and $19,957, respectively. As of December 31, 2024 and 2023, $1,164 and zero, respectively, were outstanding from this related party under this agreement and included in “Accounts receivable” in the accompanying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on August 1, 2024, SEE ID began subleasing an office/warehouse space in Las Vegas, Nevada from Pope Technologies LLC. The term of this sublease is for one year and the rent is $1,280 per month. Pope Technologies LLC is owned by a director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on March 1, 2024, SEE ID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SEE ID. This lease terminated on February 28, 2025, and was not renewed.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Litigation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involved in litigation and claims arising in the ordinary course of business. It is management’s opinion that the outcome of such matters will not have a material adverse effect on the Company’s consolidated financial statements; however, the results of litigation and claims are inherently unpredictable. Regardless of outcome, litigation can have an adverse impact on the Company because of legal costs, diversion of management resources and other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that derives revenues from the delivery of feasibility study reports to customers seeking to gain insight into how data driven tracking could improve their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SEE ID’s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sales, can be easily computed from the provided information. This segment measures of profitability are shown in the consolidated statements of operations. The measure of segment assets is reported on the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December 31, 2024, SEE ID issued an additional SAFE agreement to an investor for proceeds of $23,752, which has a stated discount rate of 67%. All other terms are consistent with the terms of the SAFE agreements in Note 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the Company received two orders from a customer: 1) one for approximately $459,000 of equipment, which has not been fulfilled as of June 25, 2025, the date with which the consolidated financial statements were available to be issued, and 2) one for a feasibility study for $250,000, which was pre-paid by the customer, and delivered and recognized in the three months ended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Dot Works entered into a noncancelable lease agreement for a 16,000 square foot facility in Puerto Rico. This lease commenced on February 1, 2025 on a month-to-month basis and then became a long-term lease with an initial term of 5 years on June 1, 2025. The initial base rent is $7.00 per square foot (i.e.,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Loan Agreements: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ID entered into the following unsecured Bridge Loan Agreements with lenders totaling $2,850,000 for operational expenses, working capital, or other general corporate purposes. These loans all bear interest at an annual rate of 20% calculated on a 365-day basis and include a minimum interest provision requiring a minimum of 8% or 10% of the principal amount as interest if the loans are repaid prior to their maturity dates, which is six months from their respective effective dates. In the event SEE ID is unable to repay these loans by the end of the term, the outstanding principal and accrued interest shall convert into shares of SEE ID at a discount of an additional 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Loan 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29, 2025**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9, 2025*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7, 2025*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37"/>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5, 2025***</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0"/>
        </w:trPr>
        <w:tc>
          <w:tcPr>
            <w:tcW w:w="9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2,850,000</w:t>
            </w:r>
          </w:p>
        </w:tc>
        <w:tc>
          <w:tcPr>
            <w:tcW w:w="80" w:type="dxa"/>
            <w:vAlign w:val="bottom"/>
          </w:tcPr>
          <w:p>
            <w:pPr>
              <w:spacing w:after="0"/>
              <w:rPr>
                <w:sz w:val="21"/>
                <w:szCs w:val="21"/>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(who, as discussed below, is also a PIPE investor) had an aggregate principal amount of $2,500,000. At closing of the BCA (as defined in the Business Combination disclosure below) on June 18, 2025, the investor received a cash payment of $293,500, comprised of $250,000 of minimum 10% interest and $43,500 of principal repayment, and a number of shares equivalent to $2,456,500 at a per share price of $4.</w:t>
      </w:r>
    </w:p>
    <w:p>
      <w:pPr>
        <w:spacing w:after="0" w:line="176"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loan principal and minimum 10% interest totaling $110,000 was paid in cash at closing of the BCA on June 18, 2025.</w:t>
      </w:r>
    </w:p>
    <w:p>
      <w:pPr>
        <w:spacing w:after="0" w:line="225" w:lineRule="exact"/>
        <w:rPr>
          <w:rFonts w:ascii="Times New Roman" w:cs="Times New Roman" w:eastAsia="Times New Roman" w:hAnsi="Times New Roman"/>
          <w:sz w:val="18"/>
          <w:szCs w:val="18"/>
          <w:color w:val="auto"/>
        </w:rPr>
      </w:pPr>
    </w:p>
    <w:p>
      <w:pPr>
        <w:ind w:right="1740" w:firstLine="8"/>
        <w:spacing w:after="0" w:line="500"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loan principal and minimum 8% interest totaling $270,000 was paid in cash at closing of the BCA on June 18, 2025. </w:t>
      </w:r>
      <w:r>
        <w:rPr>
          <w:rFonts w:ascii="Times New Roman" w:cs="Times New Roman" w:eastAsia="Times New Roman" w:hAnsi="Times New Roman"/>
          <w:sz w:val="18"/>
          <w:szCs w:val="18"/>
          <w:u w:val="single" w:color="auto"/>
          <w:color w:val="auto"/>
        </w:rPr>
        <w:t>Business Combination: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2025 (the “Closing Date”), SUTA, a Delaware corporation, completed the transactions contemplated by that certain business combination agreement, dated as of March 18, 2024 (the “Business Combination Agreement”), by and among CID Holdco, Inc., a Delaware corporation (“Holdings”) and a wholly-owned subsidiary of ShoulderUp, ShoulderUp Merger Sub, Inc., a Delaware corporation (“ShoulderUp Merger Sub”) and wholly-owned subsidiary of ShoulderUp, SEE ID Merger Sub, Inc., a Nevada corporation (“SEE ID Merger Sub”) and wholly-owned subsidiary of ShoulderUp, and SEE ID, Inc., a Nevada corporation (“SEE ID”).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color w:val="auto"/>
        </w:rPr>
        <w:t>SEE ID, INC. AND SUBSIDIARY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closing of the transactions contemplated by the Business Combination Agreement (the “Closing”), (i) ShoulderUp Merger Sub, merged with and into ShoulderUp, with ShoulderUp continuing as the surviving company in the merger, and with the security holders of ShoulderUp receiving substantially equivalent securities of Holdings, and (ii) SEE ID Merger Sub, merged with and into SEE ID, with SEE ID continuing as the surviving company in the merger, and with the shareholders of SEE ID receiving shares of Holdings common stock, par value $0.0001 per share (the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(i) the holders of shares of SUTA’s common stock (“SUTA Common Stock”) issued and outstanding immediately prior to the effective time of the Business Combination (other than any redeemed shares) received one share of common stock of Holdings (“Holdings Common Stock”) in exchange for each share of SUTA Common Stock held by them, (ii) the holders of each whole warrant to purchase SUTA Class A Common Stock received one warrant to purchase Holdings Common Stock at an exercise price of $11.50 per share, and (iii) 13 million shares of Holdings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10, 2025, an investor subscribed to 250,000 common shares of Holdings in exchange for $1,000,000.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2025, an investor subscribed to 1,317,750 common shares of Holdings in exchange for $5,271,000. This investor previously extended to the Company bridge loans in the aggregate principal amount of $2,500,000, which was settled at closing of the BCA (as defined in the Business Combination disclosure above) on June 18, 2025, as discussed in the Bridge Loan Agreements disclosure above. The remaining PIPE commitment of $2,814,500 was paid to the Company at closing at which time 1,317,750 common shares of Holdings were issued to the investor.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2025, an investor subscribed to 1,755,786 common shares of Holdings in exchange for $7,023,143.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Line of Credit: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of line of credit agreement (the “ELOC”) with New Circle Principle Investments LLC (“New Circle”) under which the Company can access up to fifty million ($50,000,000) in aggregate proceeds. The Company shall pay a commitment fee to the New Circle in the form of shares of common stock of Holding’s with an aggregate market value equal to $350,000, the market value of which shall be determined based on the closing price of the such common stock on the date a Form S-1 is declared effective by the SEC. Such Form S-1 is to be filed 60 days after the close of the BCA agreement. No commitment fee payment nor draw down of the ELOC has occurred as of the date of issuance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and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fees and expenses payable by the registrant in connection with the offering and sale of our Common Stock and other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46,525.23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The Selling Securityholders, however, will bear all underwriting commissions and discounts, if any, attributable to their sale of the securities. All amounts are estimates except the SEC registration fee and the FINRA filing fee.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generally, that a corporation shall have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provided that such person acted in good faith and in a manner he or she reasonably believed to be in or not opposed to the best interests of the corporation, and, in the case of claims, issues and matters as to which such person shall have been adjudged liable to the corporation, provided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Second Amended and Restated Certificate of Incorporation provides that a director will not be personally liable to us or our stockholders for monetary damages for breach of fiduciary duty as a director, except for liability (i) for any breach of the director’s duty of loyalty to us or our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became effective. Accordingly, these provisions will have no effect on the availability of equitable remedies such as an injunction or rescission based on a director’s breach of his or her duty of care.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we will indemnify its present and former directors and officers to the maximum extent permitted by the DGCL and that such indemnification will not be exclusive of any other rights to which those seeking indemnification may be entitled under any bylaw provision, agreement, vote of stockholders or disinterested directors or otherwise.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future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Founder Shares, the Private Placement Warrants and the shares of Series A Convertible Preferred Stock issued pursuant to the Subscription Agreement in connection with the PIPE Financing, were not registered under the Securities Act, in reliance upon the exemption provided in Section 4(a)(2) thereof.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foregoing securities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registration statement.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Business Combination Agreement by and among ShoulderUp Technology Acquisition Corp., CID HoldCo, Inc., ShoulderUp Merger Sub,</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Inc., SEI Merger Sub, Inc., and SEE ID, Inc., dated as of March 18, 2024 (incorporated by reference to Exhibit 2.1 of CID HoldCo, Inc.’s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Registration Statement on Form S-4, filed with the SEC on January 15, 2025).</w:t>
              </w:r>
            </w:hyperlink>
          </w:p>
        </w:tc>
        <w:tc>
          <w:tcPr>
            <w:tcW w:w="438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Amended and Restated Certificate of Incorporation of CID HoldCo, Inc. (incorporated by reference to Exhibit 3.1 of CID HoldCo, Inc.’s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250">
              <w:r>
                <w:rPr>
                  <w:rFonts w:ascii="Times New Roman" w:cs="Times New Roman" w:eastAsia="Times New Roman" w:hAnsi="Times New Roman"/>
                  <w:sz w:val="18"/>
                  <w:szCs w:val="18"/>
                  <w:color w:val="0000EE"/>
                </w:rPr>
                <w:t>Current Report on Form 8-K, filed with the SEC on June 26,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Bylaws of CID HoldCo, Inc. (incorporated by reference to Exhibit 3.2 of CID HoldCo, Inc.’s Current Report on Form 8-K, filed with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SEC on June 26, 2025).</w:t>
              </w:r>
            </w:hyperlink>
          </w:p>
        </w:tc>
        <w:tc>
          <w:tcPr>
            <w:tcW w:w="8300" w:type="dxa"/>
            <w:vAlign w:val="bottom"/>
            <w:tcBorders>
              <w:bottom w:val="single" w:sz="8" w:color="CCEEFF"/>
            </w:tcBorders>
            <w:gridSpan w:val="15"/>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Specimen Common Stock Certificate (incorporated by reference to Exhibit 4.5 of CID HoldCo, Inc.’s Registration Statement on Form 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4, filed with the SEC on January 15, 2025).</w:t>
              </w:r>
            </w:hyperlink>
          </w:p>
        </w:tc>
        <w:tc>
          <w:tcPr>
            <w:tcW w:w="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Specimen Warrant Certificate (incorporated by reference to Exhibit 4.6 of CID HoldCo, Inc.’s Registration Statement on Form S-4, filed</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2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with the SEC on January 15, 2025).</w:t>
              </w:r>
            </w:hyperlink>
          </w:p>
        </w:tc>
        <w:tc>
          <w:tcPr>
            <w:tcW w:w="746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Existing Warrant Agreement, dated November 16, 2021, by and between ShoulderUp Technology Acquisition Corp and Continental Stock</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Transfer &amp; Trust Company, as warrant agent (incorporated by reference to Exhibit 4.4 of  CID HoldCo, Inc.’s Registration Statement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Form S-4, filed with the SEC on January 15,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255">
              <w:r>
                <w:rPr>
                  <w:rFonts w:ascii="Times New Roman" w:cs="Times New Roman" w:eastAsia="Times New Roman" w:hAnsi="Times New Roman"/>
                  <w:sz w:val="18"/>
                  <w:szCs w:val="18"/>
                  <w:color w:val="0000EE"/>
                  <w:w w:val="99"/>
                </w:rPr>
                <w:t>Warrant Assumption and Assignment Agreement, dated as of June 18, 2025 (incorporated by reference to Exhibit 4.4 of CID HoldCo, Inc.’s</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6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Current Report on Form 8-K, filed with the SEC on June 26, 2025).</w:t>
              </w:r>
            </w:hyperlink>
          </w:p>
        </w:tc>
        <w:tc>
          <w:tcPr>
            <w:tcW w:w="5140" w:type="dxa"/>
            <w:vAlign w:val="bottom"/>
            <w:tcBorders>
              <w:bottom w:val="single" w:sz="8" w:color="CCEEFF"/>
            </w:tcBorders>
            <w:gridSpan w:val="4"/>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Opinion of DLA Piper LLP (US).</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 of PIPE Subscription Agreement (incorporated by reference to Exhibit 10.8 of CID HoldCo, Inc.’s Current Report on Form 8-K, filed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with the SEC on June 26,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Registration Rights and Lock-up Agreement by and among CID HoldCo, Inc, and certain parties listed therein, dated as of June 18, 2025</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(incorporated by reference to Exhibit 10.10 of CID HoldCo, Inc.’s Current Report on Form 8-K, filed with the SEC on June 26,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9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Share Purchase Agreement, dated June 18, 2025 by and among New Circle Principal Investments LLC, a Delaware limited liability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company, and CID HoldCo, Inc. (incorporated by reference to Exhibit 10.11 of CID HoldCo, Inc.’s Current Report on Form 8-K, filed with</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259">
              <w:r>
                <w:rPr>
                  <w:rFonts w:ascii="Times New Roman" w:cs="Times New Roman" w:eastAsia="Times New Roman" w:hAnsi="Times New Roman"/>
                  <w:sz w:val="18"/>
                  <w:szCs w:val="18"/>
                  <w:color w:val="0000EE"/>
                  <w:w w:val="99"/>
                </w:rPr>
                <w:t>the SEC on June 26, 2025).</w:t>
              </w:r>
            </w:hyperlink>
          </w:p>
        </w:tc>
        <w:tc>
          <w:tcPr>
            <w:tcW w:w="812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Registration Rights Agreement, dated June 18, 2025 by and among New Circle Principal Investments LLC, a Delaware limited liability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company, and CID HoldCo, Inc. (incorporated by reference to Exhibit 10.12 of CID HoldCo, Inc.’s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the SEC on June 26,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Subsidiaries of the Registrant (incorporated by reference to Exhibit 21.1 of CID HoldCo, Inc.’s Current Report on Form 8-K, filed with the</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261">
              <w:r>
                <w:rPr>
                  <w:rFonts w:ascii="Times New Roman" w:cs="Times New Roman" w:eastAsia="Times New Roman" w:hAnsi="Times New Roman"/>
                  <w:sz w:val="18"/>
                  <w:szCs w:val="18"/>
                  <w:color w:val="0000EE"/>
                  <w:w w:val="99"/>
                </w:rPr>
                <w:t>SEC on June 26, 2025).</w:t>
              </w:r>
            </w:hyperlink>
          </w:p>
        </w:tc>
        <w:tc>
          <w:tcPr>
            <w:tcW w:w="8380" w:type="dxa"/>
            <w:vAlign w:val="bottom"/>
            <w:tcBorders>
              <w:bottom w:val="single" w:sz="8" w:color="CCEEFF"/>
            </w:tcBorders>
            <w:gridSpan w:val="1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Consent of Wolf &amp; Company, P.C.</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Berkowitz Pollack Brant Advisors + CPAs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Consent of DLA Piper LLP (US) (included in Exhibit 5.1)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101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Pr>
          <w:p>
            <w:pPr>
              <w:spacing w:after="0"/>
              <w:rPr>
                <w:sz w:val="15"/>
                <w:szCs w:val="15"/>
                <w:color w:val="auto"/>
              </w:rPr>
            </w:pPr>
          </w:p>
        </w:tc>
        <w:tc>
          <w:tcPr>
            <w:tcW w:w="1180" w:type="dxa"/>
            <w:vAlign w:val="bottom"/>
            <w:tcBorders>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262">
              <w:r>
                <w:rPr>
                  <w:rFonts w:ascii="Times New Roman" w:cs="Times New Roman" w:eastAsia="Times New Roman" w:hAnsi="Times New Roman"/>
                  <w:sz w:val="18"/>
                  <w:szCs w:val="18"/>
                  <w:color w:val="0000EE"/>
                  <w:w w:val="97"/>
                </w:rPr>
                <w:t>Filing Fee Table</w:t>
              </w:r>
            </w:hyperlink>
          </w:p>
        </w:tc>
        <w:tc>
          <w:tcPr>
            <w:tcW w:w="8920" w:type="dxa"/>
            <w:vAlign w:val="bottom"/>
            <w:gridSpan w:val="17"/>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8308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As previously filed.</w:t>
      </w:r>
    </w:p>
    <w:p>
      <w:pPr>
        <w:spacing w:after="0" w:line="9" w:lineRule="exact"/>
        <w:rPr>
          <w:sz w:val="20"/>
          <w:szCs w:val="20"/>
          <w:color w:val="auto"/>
        </w:rPr>
      </w:pPr>
    </w:p>
    <w:p>
      <w:pPr>
        <w:ind w:left="340" w:hanging="332"/>
        <w:spacing w:after="0" w:line="260"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To file, during any period in which offers or sales are being made, a post-effective amendment to this registration statement:</w:t>
      </w:r>
    </w:p>
    <w:p>
      <w:pPr>
        <w:spacing w:after="0" w:line="158" w:lineRule="exact"/>
        <w:rPr>
          <w:sz w:val="20"/>
          <w:szCs w:val="20"/>
          <w:color w:val="auto"/>
        </w:rPr>
      </w:pPr>
    </w:p>
    <w:p>
      <w:pPr>
        <w:ind w:left="540" w:hanging="208"/>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ind w:right="20" w:firstLine="332"/>
        <w:spacing w:after="0" w:line="282" w:lineRule="auto"/>
        <w:tabs>
          <w:tab w:leader="none" w:pos="6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2" w:lineRule="exact"/>
        <w:rPr>
          <w:sz w:val="20"/>
          <w:szCs w:val="20"/>
          <w:color w:val="auto"/>
        </w:rPr>
      </w:pPr>
    </w:p>
    <w:p>
      <w:pPr>
        <w:ind w:right="20" w:firstLine="332"/>
        <w:spacing w:after="0" w:line="282" w:lineRule="auto"/>
        <w:tabs>
          <w:tab w:leader="none" w:pos="6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77" w:gutter="0" w:footer="0" w:header="0"/>
        </w:sectPr>
      </w:pPr>
    </w:p>
    <w:bookmarkStart w:id="193" w:name="page194"/>
    <w:bookmarkEnd w:id="19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 That, for the purpose of determining liability of the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540" w:hanging="208"/>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332"/>
        <w:spacing w:after="0" w:line="282" w:lineRule="auto"/>
        <w:tabs>
          <w:tab w:leader="none" w:pos="5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20" w:firstLine="332"/>
        <w:spacing w:after="0" w:line="282" w:lineRule="auto"/>
        <w:tabs>
          <w:tab w:leader="none" w:pos="65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State of New York, on December 2,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of the undersigned constitutes and appoints Edmund Nabrotzky and Charles Maddox, and each of them, his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707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3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Charles Maddox</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Sheldon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Sheldon Paul</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/s/ Janice Bryant Howroyd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9707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Janice Bryant Howroyd</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Walter Skowronski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9707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Walter Skowronski</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4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670"/>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accounting officer)</w:t>
            </w:r>
          </w:p>
        </w:tc>
        <w:tc>
          <w:tcPr>
            <w:tcW w:w="2020" w:type="dxa"/>
            <w:vAlign w:val="bottom"/>
          </w:tcPr>
          <w:p>
            <w:pPr>
              <w:spacing w:after="0"/>
              <w:rPr>
                <w:sz w:val="20"/>
                <w:szCs w:val="20"/>
                <w:color w:val="auto"/>
              </w:rPr>
            </w:pPr>
          </w:p>
        </w:tc>
      </w:tr>
      <w:tr>
        <w:trPr>
          <w:trHeight w:val="44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67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675"/>
        </w:trPr>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bl>
    <w:p>
      <w:pPr>
        <w:spacing w:after="0" w:line="402" w:lineRule="exact"/>
        <w:rPr>
          <w:sz w:val="20"/>
          <w:szCs w:val="20"/>
          <w:color w:val="auto"/>
        </w:rPr>
      </w:pPr>
    </w:p>
    <w:p>
      <w:pPr>
        <w:sectPr>
          <w:pgSz w:w="11900" w:h="16838" w:orient="portrait"/>
          <w:cols w:equalWidth="0" w:num="2">
            <w:col w:w="2660" w:space="720"/>
            <w:col w:w="7860"/>
          </w:cols>
          <w:pgMar w:left="320" w:top="873"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use in this Post-Effective Amendment No. 1 to the Registration Statement (No. 333-290052) on Form S-1 of CID HoldCo, Inc. of our report dated May 15, 2024, except for Note 10, as to which the date is July 1, 2024, relating to the financial statements of SEE ID, Inc.,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caption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 2025</w:t>
      </w:r>
    </w:p>
    <w:p>
      <w:pPr>
        <w:sectPr>
          <w:pgSz w:w="11900" w:h="16838" w:orient="portrait"/>
          <w:cols w:equalWidth="0" w:num="1">
            <w:col w:w="11240"/>
          </w:cols>
          <w:pgMar w:left="320" w:top="11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168275</wp:posOffset>
            </wp:positionV>
            <wp:extent cx="5572125" cy="9601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557212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CONSENT OF REGISTERED INDEPENDENT PUBLIC ACCOUNTING FIRM</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consent to the use in this Post-Effective Amendment No. 1 to the Registration Statement on Form S-1 (File No. 333-290052) of CID Holdco, Inc. (the “Company”) of our report dated June 25, 2025, which included an explanatory paragraph as to the Company's ability to continue as a going concern, with respect to our audit of the consolidated financial statements of See ID, Inc. dba Dot Ai, Inc. as of December 31, 2024 and for the year then ended, which appears in the Prospectus, which is a part of this Registration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also consent to the reference to our Firm under the caption “Experts” in the Prospectus.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Berkowitz Pollack Brant, Advisors + CPAs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304165</wp:posOffset>
            </wp:positionV>
            <wp:extent cx="557212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5572125" cy="15430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lowerLetter"/>
      <w:start w:val="2"/>
    </w:lvl>
  </w:abstractNum>
  <w:abstractNum w:abstractNumId="1">
    <w:nsid w:val="684A481A"/>
    <w:multiLevelType w:val="hybridMultilevel"/>
    <w:lvl w:ilvl="0">
      <w:lvlJc w:val="left"/>
      <w:lvlText w:val="(%1)"/>
      <w:numFmt w:val="lowerLetter"/>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lowerRoman"/>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emdash "/>
      <w:numFmt w:val="bullet"/>
      <w:start w:val="1"/>
    </w:lvl>
  </w:abstractNum>
  <w:abstractNum w:abstractNumId="19">
    <w:nsid w:val="235BA861"/>
    <w:multiLevelType w:val="hybridMultilevel"/>
    <w:lvl w:ilvl="0">
      <w:lvlJc w:val="left"/>
      <w:lvlText w:val="\emdash "/>
      <w:numFmt w:val="bullet"/>
      <w:start w:val="1"/>
    </w:lvl>
  </w:abstractNum>
  <w:abstractNum w:abstractNumId="20">
    <w:nsid w:val="47398C89"/>
    <w:multiLevelType w:val="hybridMultilevel"/>
    <w:lvl w:ilvl="0">
      <w:lvlJc w:val="left"/>
      <w:lvlText w:val="\emdash "/>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bullet"/>
      <w:start w:val="1"/>
    </w:lvl>
  </w:abstractNum>
  <w:abstractNum w:abstractNumId="35">
    <w:nsid w:val="1DBABF00"/>
    <w:multiLevelType w:val="hybridMultilevel"/>
    <w:lvl w:ilvl="0">
      <w:lvlJc w:val="left"/>
      <w:lvlText w:val="2"/>
      <w:numFmt w:val="bullet"/>
      <w:start w:val="1"/>
    </w:lvl>
  </w:abstractNum>
  <w:abstractNum w:abstractNumId="36">
    <w:nsid w:val="4AD084E9"/>
    <w:multiLevelType w:val="hybridMultilevel"/>
    <w:lvl w:ilvl="0">
      <w:lvlJc w:val="left"/>
      <w:lvlText w:val="3"/>
      <w:numFmt w:val="bullet"/>
      <w:start w:val="1"/>
    </w:lvl>
  </w:abstractNum>
  <w:abstractNum w:abstractNumId="37">
    <w:nsid w:val="1F48EAA1"/>
    <w:multiLevelType w:val="hybridMultilevel"/>
    <w:lvl w:ilvl="0">
      <w:lvlJc w:val="left"/>
      <w:lvlText w:val="4"/>
      <w:numFmt w:val="bullet"/>
      <w:start w:val="1"/>
    </w:lvl>
  </w:abstractNum>
  <w:abstractNum w:abstractNumId="38">
    <w:nsid w:val="1381823A"/>
    <w:multiLevelType w:val="hybridMultilevel"/>
    <w:lvl w:ilvl="0">
      <w:lvlJc w:val="left"/>
      <w:lvlText w:val="5"/>
      <w:numFmt w:val="bullet"/>
      <w:start w:val="1"/>
    </w:lvl>
  </w:abstractNum>
  <w:abstractNum w:abstractNumId="39">
    <w:nsid w:val="5DB70AE5"/>
    <w:multiLevelType w:val="hybridMultilevel"/>
    <w:lvl w:ilvl="0">
      <w:lvlJc w:val="left"/>
      <w:lvlText w:val="6"/>
      <w:numFmt w:val="bullet"/>
      <w:start w:val="1"/>
    </w:lvl>
  </w:abstractNum>
  <w:abstractNum w:abstractNumId="40">
    <w:nsid w:val="100F8FCA"/>
    <w:multiLevelType w:val="hybridMultilevel"/>
    <w:lvl w:ilvl="0">
      <w:lvlJc w:val="left"/>
      <w:lvlText w:val="7"/>
      <w:numFmt w:val="bullet"/>
      <w:start w:val="1"/>
    </w:lvl>
  </w:abstractNum>
  <w:abstractNum w:abstractNumId="41">
    <w:nsid w:val="6590700B"/>
    <w:multiLevelType w:val="hybridMultilevel"/>
    <w:lvl w:ilvl="0">
      <w:lvlJc w:val="left"/>
      <w:lvlText w:val="8"/>
      <w:numFmt w:val="bullet"/>
      <w:start w:val="1"/>
    </w:lvl>
  </w:abstractNum>
  <w:abstractNum w:abstractNumId="42">
    <w:nsid w:val="15014ACB"/>
    <w:multiLevelType w:val="hybridMultilevel"/>
    <w:lvl w:ilvl="0">
      <w:lvlJc w:val="left"/>
      <w:lvlText w:val="9"/>
      <w:numFmt w:val="bullet"/>
      <w:start w:val="1"/>
    </w:lvl>
  </w:abstractNum>
  <w:abstractNum w:abstractNumId="43">
    <w:nsid w:val="5F5E7FD0"/>
    <w:multiLevelType w:val="hybridMultilevel"/>
    <w:lvl w:ilvl="0">
      <w:lvlJc w:val="left"/>
      <w:lvlText w:val="%1"/>
      <w:numFmt w:val="decimal"/>
      <w:start w:val="10"/>
    </w:lvl>
  </w:abstractNum>
  <w:abstractNum w:abstractNumId="44">
    <w:nsid w:val="98A3148"/>
    <w:multiLevelType w:val="hybridMultilevel"/>
    <w:lvl w:ilvl="0">
      <w:lvlJc w:val="left"/>
      <w:lvlText w:val="%1"/>
      <w:numFmt w:val="decimal"/>
      <w:start w:val="14"/>
    </w:lvl>
  </w:abstractNum>
  <w:abstractNum w:abstractNumId="45">
    <w:nsid w:val="799D0247"/>
    <w:multiLevelType w:val="hybridMultilevel"/>
    <w:lvl w:ilvl="0">
      <w:lvlJc w:val="left"/>
      <w:lvlText w:val="%1"/>
      <w:numFmt w:val="decimal"/>
      <w:start w:val="22"/>
    </w:lvl>
  </w:abstractNum>
  <w:abstractNum w:abstractNumId="46">
    <w:nsid w:val="6B94764"/>
    <w:multiLevelType w:val="hybridMultilevel"/>
    <w:lvl w:ilvl="0">
      <w:lvlJc w:val="left"/>
      <w:lvlText w:val="%1"/>
      <w:numFmt w:val="decimal"/>
      <w:start w:val="34"/>
    </w:lvl>
  </w:abstractNum>
  <w:abstractNum w:abstractNumId="47">
    <w:nsid w:val="42C296BD"/>
    <w:multiLevelType w:val="hybridMultilevel"/>
    <w:lvl w:ilvl="0">
      <w:lvlJc w:val="left"/>
      <w:lvlText w:val="%1"/>
      <w:numFmt w:val="decimal"/>
      <w:start w:val="45"/>
    </w:lvl>
  </w:abstractNum>
  <w:abstractNum w:abstractNumId="48">
    <w:nsid w:val="168E121F"/>
    <w:multiLevelType w:val="hybridMultilevel"/>
    <w:lvl w:ilvl="0">
      <w:lvlJc w:val="left"/>
      <w:lvlText w:val="%1"/>
      <w:numFmt w:val="decimal"/>
      <w:start w:val="57"/>
    </w:lvl>
  </w:abstractNum>
  <w:abstractNum w:abstractNumId="49">
    <w:nsid w:val="1EBA5D23"/>
    <w:multiLevelType w:val="hybridMultilevel"/>
    <w:lvl w:ilvl="0">
      <w:lvlJc w:val="left"/>
      <w:lvlText w:val="%1"/>
      <w:numFmt w:val="decimal"/>
      <w:start w:val="68"/>
    </w:lvl>
  </w:abstractNum>
  <w:abstractNum w:abstractNumId="50">
    <w:nsid w:val="661E3F1E"/>
    <w:multiLevelType w:val="hybridMultilevel"/>
    <w:lvl w:ilvl="0">
      <w:lvlJc w:val="left"/>
      <w:lvlText w:val="%1"/>
      <w:numFmt w:val="decimal"/>
      <w:start w:val="69"/>
    </w:lvl>
  </w:abstractNum>
  <w:abstractNum w:abstractNumId="51">
    <w:nsid w:val="5DC79EA8"/>
    <w:multiLevelType w:val="hybridMultilevel"/>
    <w:lvl w:ilvl="0">
      <w:lvlJc w:val="left"/>
      <w:lvlText w:val="%1"/>
      <w:numFmt w:val="decimal"/>
      <w:start w:val="79"/>
    </w:lvl>
  </w:abstractNum>
  <w:abstractNum w:abstractNumId="52">
    <w:nsid w:val="540A471C"/>
    <w:multiLevelType w:val="hybridMultilevel"/>
    <w:lvl w:ilvl="0">
      <w:lvlJc w:val="left"/>
      <w:lvlText w:val="%1"/>
      <w:numFmt w:val="decimal"/>
      <w:start w:val="92"/>
    </w:lvl>
  </w:abstractNum>
  <w:abstractNum w:abstractNumId="53">
    <w:nsid w:val="7BD3EE7B"/>
    <w:multiLevelType w:val="hybridMultilevel"/>
    <w:lvl w:ilvl="0">
      <w:lvlJc w:val="left"/>
      <w:lvlText w:val="%1"/>
      <w:numFmt w:val="decimal"/>
      <w:start w:val="105"/>
    </w:lvl>
  </w:abstractNum>
  <w:abstractNum w:abstractNumId="54">
    <w:nsid w:val="51D9C564"/>
    <w:multiLevelType w:val="hybridMultilevel"/>
    <w:lvl w:ilvl="0">
      <w:lvlJc w:val="left"/>
      <w:lvlText w:val="%1"/>
      <w:numFmt w:val="decimal"/>
      <w:start w:val="117"/>
    </w:lvl>
  </w:abstractNum>
  <w:abstractNum w:abstractNumId="55">
    <w:nsid w:val="613EFDC5"/>
    <w:multiLevelType w:val="hybridMultilevel"/>
    <w:lvl w:ilvl="0">
      <w:lvlJc w:val="left"/>
      <w:lvlText w:val="%1"/>
      <w:numFmt w:val="decimal"/>
      <w:start w:val="127"/>
    </w:lvl>
  </w:abstractNum>
  <w:abstractNum w:abstractNumId="56">
    <w:nsid w:val="BF72B14"/>
    <w:multiLevelType w:val="hybridMultilevel"/>
    <w:lvl w:ilvl="0">
      <w:lvlJc w:val="left"/>
      <w:lvlText w:val="%1"/>
      <w:numFmt w:val="decimal"/>
      <w:start w:val="140"/>
    </w:lvl>
  </w:abstractNum>
  <w:abstractNum w:abstractNumId="57">
    <w:nsid w:val="11447B73"/>
    <w:multiLevelType w:val="hybridMultilevel"/>
    <w:lvl w:ilvl="0">
      <w:lvlJc w:val="left"/>
      <w:lvlText w:val="%1"/>
      <w:numFmt w:val="decimal"/>
      <w:start w:val="158"/>
    </w:lvl>
  </w:abstractNum>
  <w:abstractNum w:abstractNumId="58">
    <w:nsid w:val="42963E5A"/>
    <w:multiLevelType w:val="hybridMultilevel"/>
    <w:lvl w:ilvl="0">
      <w:lvlJc w:val="left"/>
      <w:lvlText w:val="%1"/>
      <w:numFmt w:val="decimal"/>
      <w:start w:val="170"/>
    </w:lvl>
  </w:abstractNum>
  <w:abstractNum w:abstractNumId="59">
    <w:nsid w:val="A0382C5"/>
    <w:multiLevelType w:val="hybridMultilevel"/>
    <w:lvl w:ilvl="0">
      <w:lvlJc w:val="left"/>
      <w:lvlText w:val="%1"/>
      <w:numFmt w:val="decimal"/>
      <w:start w:val="180"/>
    </w:lvl>
  </w:abstractNum>
  <w:abstractNum w:abstractNumId="60">
    <w:nsid w:val="8F2B15E"/>
    <w:multiLevelType w:val="hybridMultilevel"/>
    <w:lvl w:ilvl="0">
      <w:lvlJc w:val="left"/>
      <w:lvlText w:val="%1"/>
      <w:numFmt w:val="decimal"/>
      <w:start w:val="193"/>
    </w:lvl>
  </w:abstractNum>
  <w:abstractNum w:abstractNumId="61">
    <w:nsid w:val="1A32234B"/>
    <w:multiLevelType w:val="hybridMultilevel"/>
    <w:lvl w:ilvl="0">
      <w:lvlJc w:val="left"/>
      <w:lvlText w:val="%1"/>
      <w:numFmt w:val="decimal"/>
      <w:start w:val="206"/>
    </w:lvl>
  </w:abstractNum>
  <w:abstractNum w:abstractNumId="62">
    <w:nsid w:val="3B0FD379"/>
    <w:multiLevelType w:val="hybridMultilevel"/>
    <w:lvl w:ilvl="0">
      <w:lvlJc w:val="left"/>
      <w:lvlText w:val="%1"/>
      <w:numFmt w:val="decimal"/>
      <w:start w:val="214"/>
    </w:lvl>
  </w:abstractNum>
  <w:abstractNum w:abstractNumId="63">
    <w:nsid w:val="68EB2F63"/>
    <w:multiLevelType w:val="hybridMultilevel"/>
    <w:lvl w:ilvl="0">
      <w:lvlJc w:val="left"/>
      <w:lvlText w:val="%1"/>
      <w:numFmt w:val="decimal"/>
      <w:start w:val="222"/>
    </w:lvl>
  </w:abstractNum>
  <w:abstractNum w:abstractNumId="64">
    <w:nsid w:val="4962813B"/>
    <w:multiLevelType w:val="hybridMultilevel"/>
    <w:lvl w:ilvl="0">
      <w:lvlJc w:val="left"/>
      <w:lvlText w:val="%1"/>
      <w:numFmt w:val="decimal"/>
      <w:start w:val="232"/>
    </w:lvl>
  </w:abstractNum>
  <w:abstractNum w:abstractNumId="65">
    <w:nsid w:val="60B6DF70"/>
    <w:multiLevelType w:val="hybridMultilevel"/>
    <w:lvl w:ilvl="0">
      <w:lvlJc w:val="left"/>
      <w:lvlText w:val="%1"/>
      <w:numFmt w:val="decimal"/>
      <w:start w:val="238"/>
    </w:lvl>
  </w:abstractNum>
  <w:abstractNum w:abstractNumId="66">
    <w:nsid w:val="6A5EE64"/>
    <w:multiLevelType w:val="hybridMultilevel"/>
    <w:lvl w:ilvl="0">
      <w:lvlJc w:val="left"/>
      <w:lvlText w:val="%1"/>
      <w:numFmt w:val="decimal"/>
      <w:start w:val="248"/>
    </w:lvl>
  </w:abstractNum>
  <w:abstractNum w:abstractNumId="67">
    <w:nsid w:val="14330624"/>
    <w:multiLevelType w:val="hybridMultilevel"/>
    <w:lvl w:ilvl="0">
      <w:lvlJc w:val="left"/>
      <w:lvlText w:val="%1"/>
      <w:numFmt w:val="decimal"/>
      <w:start w:val="258"/>
    </w:lvl>
  </w:abstractNum>
  <w:abstractNum w:abstractNumId="68">
    <w:nsid w:val="7FFFCA11"/>
    <w:multiLevelType w:val="hybridMultilevel"/>
    <w:lvl w:ilvl="0">
      <w:lvlJc w:val="left"/>
      <w:lvlText w:val="%1"/>
      <w:numFmt w:val="decimal"/>
      <w:start w:val="267"/>
    </w:lvl>
  </w:abstractNum>
  <w:abstractNum w:abstractNumId="69">
    <w:nsid w:val="1A27709E"/>
    <w:multiLevelType w:val="hybridMultilevel"/>
    <w:lvl w:ilvl="0">
      <w:lvlJc w:val="left"/>
      <w:lvlText w:val="%1"/>
      <w:numFmt w:val="decimal"/>
      <w:start w:val="274"/>
    </w:lvl>
  </w:abstractNum>
  <w:abstractNum w:abstractNumId="70">
    <w:nsid w:val="71EA1109"/>
    <w:multiLevelType w:val="hybridMultilevel"/>
    <w:lvl w:ilvl="0">
      <w:lvlJc w:val="left"/>
      <w:lvlText w:val="%1"/>
      <w:numFmt w:val="decimal"/>
      <w:start w:val="278"/>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lowerRoman"/>
      <w:start w:val="2"/>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decimal"/>
      <w:start w:val="58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1)"/>
      <w:numFmt w:val="lowerRoman"/>
      <w:start w:val="1"/>
    </w:lvl>
  </w:abstractNum>
  <w:abstractNum w:abstractNumId="94">
    <w:nsid w:val="49DA307D"/>
    <w:multiLevelType w:val="hybridMultilevel"/>
    <w:lvl w:ilvl="0">
      <w:lvlJc w:val="left"/>
      <w:lvlText w:val="(%1)"/>
      <w:numFmt w:val="lowerRoman"/>
      <w:start w:val="3"/>
    </w:lvl>
  </w:abstractNum>
  <w:abstractNum w:abstractNumId="95">
    <w:nsid w:val="7055A5F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jpeg"/><Relationship Id="rId275" Type="http://schemas.openxmlformats.org/officeDocument/2006/relationships/image" Target="media/image254.jpeg"/><Relationship Id="rId249" Type="http://schemas.openxmlformats.org/officeDocument/2006/relationships/hyperlink" Target="http://www.sec.gov/Archives/edgar/data/2033770/000121390025003518/ea0208059-15.htm#T201" TargetMode="External"/><Relationship Id="rId250" Type="http://schemas.openxmlformats.org/officeDocument/2006/relationships/hyperlink" Target="http://www.sec.gov/Archives/edgar/data/2033770/000121390025057972/ea024660701ex3-1_cidhold.htm" TargetMode="External"/><Relationship Id="rId251" Type="http://schemas.openxmlformats.org/officeDocument/2006/relationships/hyperlink" Target="https://www.sec.gov/Archives/edgar/data/2033770/000121390025057972/ea024660701ex3-2_cidhold.htm" TargetMode="External"/><Relationship Id="rId252" Type="http://schemas.openxmlformats.org/officeDocument/2006/relationships/hyperlink" Target="http://www.sec.gov/Archives/edgar/data/2033770/000121390024094562/ea020805905ex4-5_cidhold.htm" TargetMode="External"/><Relationship Id="rId253" Type="http://schemas.openxmlformats.org/officeDocument/2006/relationships/hyperlink" Target="http://www.sec.gov/Archives/edgar/data/2033770/000121390024094562/ea020805905ex4-6_cidhold.htm" TargetMode="External"/><Relationship Id="rId254" Type="http://schemas.openxmlformats.org/officeDocument/2006/relationships/hyperlink" Target="http://www.sec.gov/Archives/edgar/data/1885461/000121390021061326/ea151223ex4-1_shoulderup.htm" TargetMode="External"/><Relationship Id="rId255" Type="http://schemas.openxmlformats.org/officeDocument/2006/relationships/hyperlink" Target="http://www.sec.gov/Archives/edgar/data/2033770/000121390025057972/ea024660701ex4-4_cidhold.htm" TargetMode="External"/><Relationship Id="rId256" Type="http://schemas.openxmlformats.org/officeDocument/2006/relationships/hyperlink" Target="http://www.sec.gov/Archives/edgar/data/2033770/000121390025084680/ea025415001ex5-1_cidhold.htm" TargetMode="External"/><Relationship Id="rId257" Type="http://schemas.openxmlformats.org/officeDocument/2006/relationships/hyperlink" Target="http://www.sec.gov/Archives/edgar/data/2033770/000121390025057972/ea024660701ex10-8_cidhold.htm" TargetMode="External"/><Relationship Id="rId258" Type="http://schemas.openxmlformats.org/officeDocument/2006/relationships/hyperlink" Target="http://www.sec.gov/Archives/edgar/data/2033770/000121390025057972/ea024660701ex10-10_cidhold.htm" TargetMode="External"/><Relationship Id="rId259" Type="http://schemas.openxmlformats.org/officeDocument/2006/relationships/hyperlink" Target="http://www.sec.gov/Archives/edgar/data/2033770/000121390025057972/ea024660701ex10-11_cidhold.htm" TargetMode="External"/><Relationship Id="rId260" Type="http://schemas.openxmlformats.org/officeDocument/2006/relationships/hyperlink" Target="http://www.sec.gov/Archives/edgar/data/2033770/000121390025057972/ea024660701ex10-12_cidhold.htm" TargetMode="External"/><Relationship Id="rId261" Type="http://schemas.openxmlformats.org/officeDocument/2006/relationships/hyperlink" Target="https://www.sec.gov/Archives/edgar/data/2033770/000121390025057972/ea024660701ex21-1_cidhold.htm" TargetMode="External"/><Relationship Id="rId262" Type="http://schemas.openxmlformats.org/officeDocument/2006/relationships/hyperlink" Target="http://www.sec.gov/Archives/edgar/data/2033770/000121390025084680/ea025415001ex-fee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2025-12-02T16:27:22Z</dcterms:created>
  <dcterms:modified xsi:type="dcterms:W3CDTF">2025-12-02T16:27:22Z</dcterms:modified>
</cp:coreProperties>
</file>