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23, 2026</w:t>
      </w:r>
    </w:p>
    <w:p>
      <w:pPr>
        <w:spacing w:after="0" w:line="31"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(303)-332-4122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Edmund Nabrotzky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(303)-332-4122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Atlantic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West Peachtree Street, Suite 2900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Gerry Williams</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Penny J. Minna</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(404) 736-7891</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010" w:gutter="0" w:footer="0" w:header="0"/>
        </w:sectPr>
      </w:pPr>
    </w:p>
    <w:bookmarkStart w:id="1" w:name="page2"/>
    <w:bookmarkEnd w:id="1"/>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Neither we nor the Selling Securityholder may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APRIL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51,000,000 shares of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relates to the potential offer and sale of up to 51,000,000 shares of our common stock, par value $0.0001 per share (the “Common Stock”), by White Lion Capital, LLC (“White Lion” or the “Selling Securityholder”). The shares of Common Stock to which this prospectus relates include: (a) up to 15,000,000 shares of Common Stock (the “Purchase Shares”) that we may elect, in our sole discretion, to issue and sell to White Lion from time to time during the Commitment Period under the Common Stock Purchase Agreement dated April 17, 2026 between us and White Lion (the “Common Stock Purchase Agreement” or “ELOC Agreement”), (b) up to 1,000,000 shares of Common Stock (the “Commitment Shares”) issuable to White Lion as consideration for it entering into the Common Stock Purchase Agreement, (c) up to 15,000,000 shares of Common Stock (the “Warrant Shares”) issuable upon exercise of the Commitment Warrant issued to White Lion, and (d) up to 20,000,000 shares of Common Stock (the “Conversion Shares”) issuable upon conversion of the Convertible Notes issued pursuant to the Note Purchase Agreement dated April 17, 2026 between us and White Lion (the “Note Purchase Agreement”).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by the Selling Securityholder pursuant to this prospectus. We will pay the expenses, other than underwriting discounts and commissions and expenses incurred by the Selling Securityholder for brokerage, accounting, tax or legal services or any other expenses incurred by the Selling Securityholder in disposing of the securities, associated with the sale of securities pursuant to this prospectus.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registering the securities for resale pursuant to the Selling Securityholder’s registration rights under certain agreements between us and the Selling Securityholder. Our registration of the securities covered by this prospectus does not mean that either we or the Selling Securityholder will issue, offer or sell, as applicable, any of the securities. The Selling Securityholder may offer and sell the securities covered by this prospectus in a number of different ways and at varying prices. Please see “Plan of Distribution” for more information. In addition, certain of the securities being registered hereby are subject to vesting and/or transfer restrictions that may prevent the Selling Securityholder from offering or selling such securities upon the effectiveness of the registration statement of which this prospectus is a part. See “Description of Securities” for more information.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 Our Common Stock and Public Warrants are traded on the Nasdaq Stock Market LLC under the symbols “DAIC” and “DAICW”, respectively. On April 22, 2026, the last reported sale price of our Common Stock on the Nasdaq Stock Market LLC was $0.23 per share, and the closing price of our Public Warrants was $0.02 per Public Warrant.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shares of Common Stock being offered for resale in this prospectus represent approximately 174% of our current total outstanding Common Stock. The shares of Common Stock represent a substantial percentage of our total outstanding Common Stock as of the date of this prospectus. The sale of all securities being offered in this prospectus could result in a significant decline in the public trading price of our Common Stock. The public securityholders may not experience a similar rate of return on the securities they purchase due to differences in the purchase prices and the current trading price.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each as defined under federal securities laws and are subject to reduced public company reporting requirements. Investing in our Common Stock involves a high degree of risk. See “Risk Factors” beginning on page 7 of this prospectus.</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520" w:type="dxa"/>
            <w:vAlign w:val="bottom"/>
            <w:tcBorders>
              <w:bottom w:val="single" w:sz="8" w:color="CCEEFF"/>
            </w:tcBorders>
            <w:gridSpan w:val="1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7660" w:type="dxa"/>
            <w:vAlign w:val="bottom"/>
            <w:tcBorders>
              <w:bottom w:val="single" w:sz="8" w:color="CCEEFF"/>
            </w:tcBorders>
            <w:gridSpan w:val="1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500" w:type="dxa"/>
            <w:vAlign w:val="bottom"/>
            <w:tcBorders>
              <w:bottom w:val="single" w:sz="8" w:color="CCEEFF"/>
            </w:tcBorders>
            <w:gridSpan w:val="2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6520" w:type="dxa"/>
            <w:vAlign w:val="bottom"/>
            <w:tcBorders>
              <w:bottom w:val="single" w:sz="8" w:color="CCEEFF"/>
            </w:tcBorders>
            <w:gridSpan w:val="1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SECURITIES AND DIVIDEND POLICY</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5"/>
        </w:trPr>
        <w:tc>
          <w:tcPr>
            <w:tcW w:w="89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OUR BUSINESS</w:t>
            </w:r>
          </w:p>
        </w:tc>
        <w:tc>
          <w:tcPr>
            <w:tcW w:w="84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4280" w:type="dxa"/>
            <w:vAlign w:val="bottom"/>
            <w:tcBorders>
              <w:bottom w:val="single" w:sz="8" w:color="CCEEFF"/>
            </w:tcBorders>
            <w:gridSpan w:val="6"/>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240" w:type="dxa"/>
            <w:vAlign w:val="bottom"/>
            <w:tcBorders>
              <w:bottom w:val="single" w:sz="8" w:color="CCEEFF"/>
            </w:tcBorders>
            <w:gridSpan w:val="1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700" w:type="dxa"/>
            <w:vAlign w:val="bottom"/>
            <w:tcBorders>
              <w:bottom w:val="single" w:sz="8" w:color="CCEEFF"/>
            </w:tcBorders>
            <w:gridSpan w:val="15"/>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80" w:type="dxa"/>
            <w:vAlign w:val="bottom"/>
            <w:tcBorders>
              <w:bottom w:val="single" w:sz="8" w:color="CCEEFF"/>
            </w:tcBorders>
            <w:gridSpan w:val="2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CHANGES IN INDEPENDENT REGISTERED PUBLIC ACCOUNTING FIRM</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6"/>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have not authorized any dealer, salesperson or other person to provide you with information about the Company, except for the information contained in this prospectus. The information contained in this prospectus is complete and accurate only as of the date on the front cover page of this prospectus, regardless of the time of delivery of this prospectus or the sale of any securities. This prospectus is not an offer to sell these securities and we are not soliciting an offer to buy these securities in any state where the offer or sale is not permitted. The information contained in this prospectus may change after the date of this prospectus. Do not assume after the date of this prospectus that the information contained in this prospectus is still correct.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a “shelf” registration process. Under this shelf registration process, from time to time, we and the Selling Securityholder may offer and sell the securities offered by them described in this prospectus in one or more offerings from time to time through any means described in the section entitled “Plan of Distribution.” Additional information about any offering may be provided in a prospectus supplement that describes, among other things, the specific amounts and prices of the Common Stock and Warrant Shares being offered and the terms of the offering.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 have authorized anyone to provide any information or to make any representations other than those contained in this prospectus, any accompanying prospectus supplement or any free writing prospectus we have prepared. We and the Selling Securityholder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statements included in this prospectus contains statements that are forward-looking and as such are not historical facts. These forward-looking statements are based on CID HoldCo,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219" w:lineRule="exact"/>
        <w:rPr>
          <w:sz w:val="20"/>
          <w:szCs w:val="20"/>
          <w:color w:val="auto"/>
        </w:rPr>
      </w:pPr>
    </w:p>
    <w:p>
      <w:pPr>
        <w:ind w:left="740" w:right="40" w:hanging="354"/>
        <w:spacing w:after="0" w:line="282"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combined company or others following the consummation of the Business Combination (as defined herein) and any definitive agreements with respect thereto;</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stock exchange listing standards;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grow and manage growth profitably, maintain relationships with customers and suppliers and retain its management and key employees;</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security vulnerabilities, and real or perceived errors, failures, defects, or bugs in the Company’s platforms or products;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SEE ID or the Company may be adversely affected by other economic, business, or competitive factors;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estimates of expenses and profitability;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raise financing in the future;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public securities’ potential liquidity and trading;</w:t>
      </w:r>
    </w:p>
    <w:p>
      <w:pPr>
        <w:spacing w:after="0" w:line="279" w:lineRule="exact"/>
        <w:rPr>
          <w:rFonts w:ascii="Times New Roman" w:cs="Times New Roman" w:eastAsia="Times New Roman" w:hAnsi="Times New Roman"/>
          <w:sz w:val="18"/>
          <w:szCs w:val="18"/>
          <w:color w:val="auto"/>
        </w:rPr>
      </w:pPr>
    </w:p>
    <w:p>
      <w:pPr>
        <w:jc w:val="both"/>
        <w:ind w:left="740" w:right="40" w:hanging="354"/>
        <w:spacing w:after="0" w:line="266"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including compliance with the SEC’s requirements regarding internal controls over financial reporting, may strain the Company’s resources and divert management’s attention, and the increases in legal, accounting and compliance expenses that may be greater than anticipated;</w:t>
      </w:r>
    </w:p>
    <w:p>
      <w:pPr>
        <w:spacing w:after="0" w:line="22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the ability to adequately protect the Company’s intellectual property rights; and</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relating to the business, operations and financial performance of the Company detailed under the section entitled “Risk Factors” herein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prospectus are more fully described under the heading “Risk Factors” and elsewhere in this prospectus. The risks described under the heading “Risk Factors”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of belief and similar statements reflect the beliefs and opinions of the Company on the relevant subject. These statements are based upon information available to the Company, as applicable, as of the date of this prospectus,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These statements are inherently uncertain and you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7419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7419340"/>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It does not contain all the information that you may consider important in making your investment decision. Therefore, you should read the entire prospectus carefully, including, in particular, the sections entitled “Risk Factors” and “Management’s Discussion and Analysis of Financial Condition and Results of Operations,” and our consolidated financial statements and related notes.</w:t>
      </w:r>
    </w:p>
    <w:p>
      <w:pPr>
        <w:spacing w:after="0" w:line="1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prospectus, unless the context otherwise requires or indicates, references to “Company,” “we,” “our,” and “us,” refer to CID HoldCo, Inc.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Another common application is tracking inventory. We provide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our technology is disruptive to legacy logistics systems which are either inadequate to gather this level of detail or much more expensive and inflexible to deploy.</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Another example application is guided spotting and collision avoidance for vehicles. We not only provide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Using our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we provide the capability to enable machine learning and AI intervention in complex processes to enhance safety, assurance and efficiency.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unique process visibility provided by their innovations, we are often implemented as an edge system producing rich data streams for other supervisory systems of record. Powerful commercial partnerships are intended to be formed with large ERP, MES or WMS system players in the targeted vertical markets. In short, we bring a next generation capability to know when, where and why assets move in the enterprise, providing an opportunity to apply AI to complex edge processes.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the Company consummated the transactions contemplated by the Business Combination Agreement. Pursuant to the Business Combination Agreement, on the Closing Date, (i) ShoulderUp Merger Sub merged with and into SUAC, with SUAC surviving the ShoulderUp Merger as a wholly-owned subsidiary of the Company and (ii) simultaneously with the ShoulderUp Merger, SEI Merger Sub merged with and into SEE ID, with SEE ID surviving the SEE ID Merger as a wholly-owned subsidiary of the Company.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5" w:right="459" w:bottom="1440" w:gutter="0" w:footer="0" w:header="0"/>
        </w:sectPr>
      </w:pPr>
    </w:p>
    <w:bookmarkStart w:id="6" w:name="page7"/>
    <w:bookmarkEnd w:id="6"/>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7693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7693660"/>
                    </a:xfrm>
                    <a:prstGeom prst="rect">
                      <a:avLst/>
                    </a:prstGeom>
                    <a:noFill/>
                  </pic:spPr>
                </pic:pic>
              </a:graphicData>
            </a:graphic>
          </wp:anchor>
        </w:drawing>
        <w:t>Prior to and in connection with the Special Meeting, holders of 2,000 shares of SUAC’s Class A Common Stock sold in its initial public offering exercised their right to redeem those shares for cash at a price of approximately $11.00 per share, for an aggregate of approximately $22,019. The per share redemption price of approximately $11.00 for public shareholders electing redemption was paid out of the Trust Account, which after taking into account the redemptions, had a balance immediately prior to the Closing of approximately $5,577,304.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White Lion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17, 2026, we entered into a Common Stock Purchase Agreement (the “Common Stock Purchase Agreement” or “ELOC Agreement”) with White Lion Capital, LLC, a Nevada limited liability company (“White Lion” or the “Investor”), pursuant to which White Lion has committed to purchase, from time to time at our sole discretion, up to $10,000,000 in aggregate gross purchase price of newly issued shares of our Common Stock over a commitment period ending December 31, 2028 (the “Commitment Period”). We are under no obligation to sell any securities to White Lion under the Common Stock Purchase Agreement.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Common Stock Purchase Agreement provides for two types of purchase notices by which we may direct White Lion to purchase shares (the “Purchase Notice Shares”): (i) Rapid Purchase Notices, at a purchase price equal to the average of the three (3) lowest traded prices of the Common Stock during the two-hour period following White Lion’s written acceptance, and (ii) VWAP Purchase Notices, at a purchase price equal to 97% of the lowest daily volume-weighted average price (“VWAP”) over a three-consecutive-business-day measurement period, subject to a volume limitation equal to 60% of the median daily trading volume of the Common Stock over the five business days immediately preceding the applicable notice, subject to White Lion’s right to waive this limit.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applicable Nasdaq rules, we may not issue to White Lion more than 19.99% of the shares of Common Stock outstanding as of the effective date of the Common Stock Purchase Agreement (the “Exchange Cap”) unless we obtain stockholder approval or the average price paid equals or exceeds the Minimum Price (as defined in Nasdaq Rule 5635). In addition, we may not issue shares that would cause White Lion to beneficially own more than 4.99% of the outstanding Common Stock (the “Beneficial Ownership Limitation”), which may be increased to 9.99% upon the mutual written agreement of the Company and White Lion.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consideration for White Lion entering into the Common Stock Purchase Agreement, we agreed to issue to White Lion (a) shares of Common Stock (the “Commitment Shares”) having a value of $120,000, calculated based on the closing price of the Common Stock on the trading day immediately preceding the earlier of (i) the date on which the registration statement is declared effective by the SEC and (ii) the date that is 180 calendar days following April 17, 2026 (the “Commitment Fee Price”), and (b) a common stock purchase warrant (the “Commitment Warrant”) to purchase up to $10,000,000 of Common Stock, each as described below. White Lion has agreed not to engage in any short sales of our Common Stock during the term of the Common Stock Purchase Agreement. We have also agreed to a prohibition on variable rate transactions without White Lion’s consent (the “Variable Rate Prohibition”) and have granted White Lion a right of first refusal on future financings (the “Right of First Refusal”), each during the term of the Common Stock Purchase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Warrant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further consideration for White Lion entering into the Common Stock Purchase Agreement, we issued to White Lion the Commitment Warrant, which entitles White Lion to purchase shares of our Common Stock having an aggregate exercise value of up to $10,000,000. The exercise price per share under the Commitment Warrant is equal to 99% of the closing sales price of the Common Stock on the trading day prior to the exercise date. The Commitment Warrant has a five-year term, includes a cashless exercise feature, and is subject to a beneficial ownership limitation of 4.99% and applicable Nasdaq stockholder approval requirements. The Commitment Warrant also contains anti-dilution protections and customary adjustments.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Purchase Agreement and Convertible Notes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Concurrently with the Common Stock Purchase Agreement, we entered into a Note Purchase Agreement (the “Note Purchase Agreement”) with White Lion, pursuant to which we agreed to issue and sell to White Lion senior secured convertible promissory notes in an aggregate principal amount of $2,875,000 (the “Convertible Notes” or the “Notes”), structured as up to ten monthly tranches of $287,500 each, at an aggregate purchase price of $2,300,000, reflecting a 20% original issue discount (the “OID”). Each tranche is subject to mutual written authorization, and no tranche may be funded until both the registration statement covering the underlying shares has been declared effective and stockholder approval pursuant to Nasdaq Rule 5635 has been obtained (the “Stockholder Approval”).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7" w:name="page8"/>
    <w:bookmarkEnd w:id="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7556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556500"/>
                    </a:xfrm>
                    <a:prstGeom prst="rect">
                      <a:avLst/>
                    </a:prstGeom>
                    <a:noFill/>
                  </pic:spPr>
                </pic:pic>
              </a:graphicData>
            </a:graphic>
          </wp:anchor>
        </w:drawing>
        <w:t>The Company’s obligations under the Convertible Notes will be secured by (i) a security interest in all of the assets and personal property of the Company pursuant to a security agreement (the “Security Agreement”) and (ii) a security interest in all of the Company’s intellectual property pursuant to an intellectual property security agreement (the “IP Security Agreement”), each by and between the Company and White Lion. The Company has received authorization and consent from J.J. Astor &amp; Co. to grant to White Lion a second priority lien and security interest in all assets of the Company. White Lion has the right to require the Company to apply up to 10% of all proceeds received under the Common Stock Purchase Agreement, the Commitment Warrant, or any other securities of the Company, toward repayment of the Convertible Notes (the “Proceeds Repayment Right”). The Company has agreed to use the proceeds from the sale of the Notes to prepay the outstanding senior secured convertible note issued to J.J. Astor &amp; Co.</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8% per annum, with interest for the first six months guaranteed and accruing immediately upon issuance. Each Convertible Note matures six months from the date of issuance of each tranche, and is convertible at the option of the holder into shares of our Common Stock (the “Conversion Shares”) at a variable conversion price equal to 80% of the lowest daily VWAP during the fifteen trading days ending on the latest complete trading day prior to the conversion date (the “Variable Conversion Price”). The Notes may not be prepaid without the prior written consent of the 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foregoing agreements, we entered into the Registration Rights Agreement with White Lion, pursuant to which we agreed to file a registration statement (the “Registration Statement”) to register the resale of all shares of Common Stock issuable to White Lion under the Common Stock Purchase Agreement, the Commitment Warrant, and the Convertible Notes, including the Purchase Notice Shares, Commitment Shares, Warrant Shares, and Conversion Shares.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a more detailed description of the Common Stock Purchase Agreement, the Commitment Warrant, the Note Purchase Agreement, the Convertible Notes, the Security Agreement, the IP Security Agreement, and the Registration Rights Agreement, see the section entitled “White Lion Transaction” beginning on page 46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Convertible Loan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5, 2025, we entered into a Loan Agreement (the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$226,515.</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Lender Notes and the exercise of the Lender Warrants are subject to applicable Nasdaq rules.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8" w:name="page9"/>
    <w:bookmarkEnd w:id="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6184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6184900"/>
                    </a:xfrm>
                    <a:prstGeom prst="rect">
                      <a:avLst/>
                    </a:prstGeom>
                    <a:noFill/>
                  </pic:spPr>
                </pic:pic>
              </a:graphicData>
            </a:graphic>
          </wp:anchor>
        </w:drawing>
        <w:t>We also entered into a registration rights agreement requiring us to file a resale shelf registration statement covering up to 100% of the shares issuable upon conversion of the Initial Note and any Additional Notes. Any Lender Note is convertible, in whole or in part, only after an Event of Default and the effectiveness of such resale registration statement, at a conversion price equal to 80% of the average of the four lowest volume-weighted average prices of our Common Stock on its principal market over the 20 trading days immediately prior to the Lender’s notice of conversion, and any conversion is also subject to the 4.99% beneficial ownership cap.</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of 1933, as amended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were formed as a Delaware corporation on February 27, 2024.</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principal executive office is located at 5661 S Cameron St, Suite 100, Las Vegas, Nevada 89118 and our telephone number is (303) 332-4122.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is https://daic.ai. The information found on, or that can be accessed from or that is hyperlinked to, our website is not part of this prospectus.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9"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395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3956050"/>
                    </a:xfrm>
                    <a:prstGeom prst="rect">
                      <a:avLst/>
                    </a:prstGeom>
                    <a:noFill/>
                  </pic:spPr>
                </pic:pic>
              </a:graphicData>
            </a:graphic>
          </wp:anchor>
        </w:drawing>
        <w:t>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An investment in our Common Stock involves substantial risk.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w:t>
      </w:r>
    </w:p>
    <w:p>
      <w:pPr>
        <w:spacing w:after="0" w:line="207" w:lineRule="exact"/>
        <w:rPr>
          <w:sz w:val="20"/>
          <w:szCs w:val="20"/>
          <w:color w:val="auto"/>
        </w:rPr>
      </w:pPr>
    </w:p>
    <w:p>
      <w:pPr>
        <w:ind w:left="720" w:right="40" w:hanging="350"/>
        <w:spacing w:after="0" w:line="282"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215" w:lineRule="exact"/>
        <w:rPr>
          <w:rFonts w:ascii="Times New Roman" w:cs="Times New Roman" w:eastAsia="Times New Roman" w:hAnsi="Times New Roman"/>
          <w:sz w:val="18"/>
          <w:szCs w:val="18"/>
          <w:color w:val="auto"/>
        </w:rPr>
      </w:pPr>
    </w:p>
    <w:p>
      <w:pPr>
        <w:ind w:left="720" w:hanging="350"/>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our ability to grow the Company’s business depends on retaining and expanding the Company’s customer base.</w:t>
      </w:r>
    </w:p>
    <w:p>
      <w:pPr>
        <w:spacing w:after="0" w:line="279" w:lineRule="exact"/>
        <w:rPr>
          <w:rFonts w:ascii="Times New Roman" w:cs="Times New Roman" w:eastAsia="Times New Roman" w:hAnsi="Times New Roman"/>
          <w:sz w:val="18"/>
          <w:szCs w:val="18"/>
          <w:color w:val="auto"/>
        </w:rPr>
      </w:pPr>
    </w:p>
    <w:p>
      <w:pPr>
        <w:ind w:left="720" w:hanging="350"/>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and enhance the Company’s brand and reputation.</w:t>
      </w:r>
    </w:p>
    <w:p>
      <w:pPr>
        <w:spacing w:after="0" w:line="279" w:lineRule="exact"/>
        <w:rPr>
          <w:rFonts w:ascii="Times New Roman" w:cs="Times New Roman" w:eastAsia="Times New Roman" w:hAnsi="Times New Roman"/>
          <w:sz w:val="18"/>
          <w:szCs w:val="18"/>
          <w:color w:val="auto"/>
        </w:rPr>
      </w:pPr>
    </w:p>
    <w:p>
      <w:pPr>
        <w:ind w:left="720" w:hanging="350"/>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limited operating history.</w:t>
      </w:r>
    </w:p>
    <w:p>
      <w:pPr>
        <w:spacing w:after="0" w:line="279" w:lineRule="exact"/>
        <w:rPr>
          <w:rFonts w:ascii="Times New Roman" w:cs="Times New Roman" w:eastAsia="Times New Roman" w:hAnsi="Times New Roman"/>
          <w:sz w:val="18"/>
          <w:szCs w:val="18"/>
          <w:color w:val="auto"/>
        </w:rPr>
      </w:pPr>
    </w:p>
    <w:p>
      <w:pPr>
        <w:ind w:left="720" w:hanging="350"/>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incidents or real or perceived errors, failures or bugs in the Company’s systems or website could impair its business.</w:t>
      </w:r>
    </w:p>
    <w:p>
      <w:pPr>
        <w:spacing w:after="0" w:line="279" w:lineRule="exact"/>
        <w:rPr>
          <w:rFonts w:ascii="Times New Roman" w:cs="Times New Roman" w:eastAsia="Times New Roman" w:hAnsi="Times New Roman"/>
          <w:sz w:val="18"/>
          <w:szCs w:val="18"/>
          <w:color w:val="auto"/>
        </w:rPr>
      </w:pPr>
    </w:p>
    <w:p>
      <w:pPr>
        <w:ind w:left="720" w:hanging="350"/>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 team has limited experience managing a public company.</w:t>
      </w:r>
    </w:p>
    <w:p>
      <w:pPr>
        <w:spacing w:after="0" w:line="279" w:lineRule="exact"/>
        <w:rPr>
          <w:rFonts w:ascii="Times New Roman" w:cs="Times New Roman" w:eastAsia="Times New Roman" w:hAnsi="Times New Roman"/>
          <w:sz w:val="18"/>
          <w:szCs w:val="18"/>
          <w:color w:val="auto"/>
        </w:rPr>
      </w:pPr>
    </w:p>
    <w:p>
      <w:pPr>
        <w:ind w:left="720" w:right="40" w:hanging="350"/>
        <w:spacing w:after="0" w:line="282"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internal controls over financial reporting may not be effective and the Company’s independent registered public accounting firm may not be able to certify as to their effectiveness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You should carefully review and consider the risk factors set forth under the section entitled “</w:t>
      </w:r>
      <w:r>
        <w:rPr>
          <w:rFonts w:ascii="Times New Roman" w:cs="Times New Roman" w:eastAsia="Times New Roman" w:hAnsi="Times New Roman"/>
          <w:sz w:val="18"/>
          <w:szCs w:val="18"/>
          <w:i w:val="1"/>
          <w:iCs w:val="1"/>
          <w:color w:val="auto"/>
        </w:rPr>
        <w:t>Risk Factors”.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5" w:right="459" w:bottom="1440" w:gutter="0" w:footer="0" w:header="0"/>
        </w:sectPr>
      </w:pPr>
    </w:p>
    <w:bookmarkStart w:id="10" w:name="page11"/>
    <w:bookmarkEnd w:id="10"/>
    <w:p>
      <w:pPr>
        <w:spacing w:after="0" w:line="200" w:lineRule="exact"/>
        <w:rPr>
          <w:sz w:val="20"/>
          <w:szCs w:val="20"/>
          <w:color w:val="auto"/>
        </w:rPr>
      </w:pPr>
    </w:p>
    <w:p>
      <w:pPr>
        <w:spacing w:after="0" w:line="236" w:lineRule="exact"/>
        <w:rPr>
          <w:sz w:val="20"/>
          <w:szCs w:val="20"/>
          <w:color w:val="auto"/>
        </w:rPr>
      </w:pPr>
    </w:p>
    <w:p>
      <w:pPr>
        <w:ind w:left="160" w:right="220" w:hanging="161"/>
        <w:spacing w:after="0" w:line="282" w:lineRule="auto"/>
        <w:rPr>
          <w:sz w:val="20"/>
          <w:szCs w:val="20"/>
          <w:color w:val="auto"/>
        </w:rPr>
      </w:pPr>
      <w:r>
        <w:rPr>
          <w:rFonts w:ascii="Times New Roman" w:cs="Times New Roman" w:eastAsia="Times New Roman" w:hAnsi="Times New Roman"/>
          <w:sz w:val="18"/>
          <w:szCs w:val="18"/>
          <w:color w:val="auto"/>
        </w:rPr>
        <w:t>Common Stock Outstanding before this offering:</w:t>
      </w:r>
    </w:p>
    <w:p>
      <w:pPr>
        <w:spacing w:after="0" w:line="162" w:lineRule="exact"/>
        <w:rPr>
          <w:sz w:val="20"/>
          <w:szCs w:val="20"/>
          <w:color w:val="auto"/>
        </w:rPr>
      </w:pPr>
    </w:p>
    <w:p>
      <w:pPr>
        <w:ind w:left="160" w:right="360" w:hanging="161"/>
        <w:spacing w:after="0" w:line="282" w:lineRule="auto"/>
        <w:rPr>
          <w:sz w:val="20"/>
          <w:szCs w:val="20"/>
          <w:color w:val="auto"/>
        </w:rPr>
      </w:pPr>
      <w:r>
        <w:rPr>
          <w:rFonts w:ascii="Times New Roman" w:cs="Times New Roman" w:eastAsia="Times New Roman" w:hAnsi="Times New Roman"/>
          <w:sz w:val="18"/>
          <w:szCs w:val="18"/>
          <w:color w:val="auto"/>
        </w:rPr>
        <w:t>Common Stock offered by the Selling Securityholders:</w:t>
      </w:r>
    </w:p>
    <w:p>
      <w:pPr>
        <w:spacing w:after="0" w:line="200" w:lineRule="exact"/>
        <w:rPr>
          <w:sz w:val="20"/>
          <w:szCs w:val="20"/>
          <w:color w:val="auto"/>
        </w:rPr>
      </w:pPr>
    </w:p>
    <w:p>
      <w:pPr>
        <w:spacing w:after="0" w:line="394"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to sell: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ticker symbols:</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-328930</wp:posOffset>
            </wp:positionV>
            <wp:extent cx="7127875" cy="9339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933958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29,293,322 shares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 to 51,000,000 shares of Common Stock, consisting of: (a) up to 15,000,000 Purchase Shares, (b) up to 1,000,000 Commitment Shares, (c) up to 15,000,000 Warrant Shares issued or issuable pursuant to the Commitment Warrant, and (d) up to 20,000,000 Conversion Shares in accordance with the Note Purchase Agreement.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 to 80,293,322 shares (assuming the issuance of all registered shares of Common Stock issuable under the Common Stock Purchase Agreement, the Commitment Warrant, and the Note Purchase Agreement). The actual number of shares issued will vary depending on the sales prices of the Purchase Shares in this offering, but will not be greater than 5,855,735 shares (including the Commitment Shares) representing 19.99% of the shares of our Common Stock outstanding on the date of the Common Stock Purchase Agreement (the “Exchange Cap”), unless: (i) we first obtain stockholder approval to issue shares in excess of such amount under the Common Stock Purchase Agreement; or (ii) the average price of all shares of Common Stock issued to White Lion under the Common Stock Purchase Agreement equals or exceeds the Minimum Price, so that the Exchange Cap limitation would not apply to issuances and sales of Common Stock under the Common Stock Purchase Agreement under applicable Nasdaq rules.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Common Stock by the Selling Securityholder pursuant to this prospectus. However, we may receive up to $10,000,000 in aggregate gross proceeds under the Common Stock Purchase Agreement from any shares of Common Stock that we may sell to White Lion from time to time under the Common Stock Purchase Agreement, and we may receive up to $10,000,000 in aggregate gross proceeds from the exercise of the Commitment Warrant for cash. The proceeds, if any, that we receive from sales of our Common Stock to White Lion under the Common Stock Purchase Agreement will depend on the frequency and prices at which we sell shares to White Lion. We expect to use the net proceeds from sales of shares under the Common Stock Purchase Agreement, if any, and from the exercise of the Commitment Warrant, if any, to repay outstanding amounts owed under the Loan Agreement, to terminate the ELOC Agreement with New Circle and for general corporate purposes, including working capital. We will bear the costs, expenses, and fees incurred in connection with the registration of the shares being offered pursuant to this prospectus. The Selling Securityholder will bear all commissions and discounts, if any, attributable to the sale of shares. See “Use of Proceeds.”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 named in this prospectus, or their pledgees, assignees and successors-in-interest, may offer or sell the shares offered hereby from time to time through public or private transactions at prevailing market prices, at prices related to prevailing market prices or at privately negotiated prices. The Selling Securityholder may also resell the securities to or through underwriters, broker-dealers or agents, who may receive compensation in the form of discounts, concessions or commissions. See “Plan of Distribution.”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our securityholders are subject to certain restrictions on transfer until the termination of applicable lockup periods. See the section entitled “</w:t>
      </w:r>
      <w:r>
        <w:rPr>
          <w:rFonts w:ascii="Times New Roman" w:cs="Times New Roman" w:eastAsia="Times New Roman" w:hAnsi="Times New Roman"/>
          <w:sz w:val="18"/>
          <w:szCs w:val="18"/>
          <w:i w:val="1"/>
          <w:iCs w:val="1"/>
          <w:color w:val="auto"/>
        </w:rPr>
        <w:t>Plan of Distribution - Restrictions to Sell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April 6, 2026, there were approximately 190 holders of record of our Common Stock and approximately 4 holders of record of the Warrants. The number of holders of record does not include a substantially greater number of “street name” holders or beneficial holders whose Common Stock and Warrants are held of record by banks, brokers and other financial institutions.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current plans to pay cash dividends. The declaration, amount and payment of any future dividends on our Common Stock will be at the sole discretion of our board of directors (referred to herein as the “Board” or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DAIC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DAICW</w:t>
      </w:r>
    </w:p>
    <w:p>
      <w:pPr>
        <w:spacing w:after="0" w:line="200" w:lineRule="exact"/>
        <w:rPr>
          <w:sz w:val="20"/>
          <w:szCs w:val="20"/>
          <w:color w:val="auto"/>
        </w:rPr>
      </w:pPr>
    </w:p>
    <w:p>
      <w:pPr>
        <w:sectPr>
          <w:pgSz w:w="11900" w:h="16838" w:orient="portrait"/>
          <w:cols w:equalWidth="0" w:num="2">
            <w:col w:w="3080" w:space="340"/>
            <w:col w:w="7540"/>
          </w:cols>
          <w:pgMar w:left="460" w:top="455" w:right="479" w:bottom="1037"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455" w:right="479" w:bottom="1037"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Investors should carefully consider the risks described below and all of the other information set forth in the registration statement of which this prospectus forms a part, including our financial statements and related notes and “Management’s Discussion and Analysis of Financial Condition and Results of Operations,” before deciding to invest in our Common Stock and Warrants. If any of the events or developments described below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to White Lion under the Common Stock Purchase Agreement will dilute the ownership interest of our existing stockholders.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sell up to $10,000,000 of our Common Stock to White Lion under the Common Stock Purchase Agreement. The shares will be sold to White Lion at a discount to the then-prevailing market price. To the extent we sell shares to White Lion under the Common Stock Purchase Agreement, additional shares of our Common Stock will be issued, which will result in dilution to the holders of our Common Stock. In addition, the lower our stock price is at the time we elect to sell shares, the more shares we would need to issue for any given dollar amount of proceeds, resulting in greater dilution to our existing stockholders. Our existing stockholders may experience substantial dilution as a result of issuances of shares under the Common Stock Purchase Agreement, and such dilution could cause the trading price of our Common Stock to decline.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White Lion under the ELOC Agreement, or the actual gross proceeds resulting from those sales. We may not have access to the full amount available under the ELOC Agreement.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17, 2026, we entered into the Common Stock Purchase Agreement with White Lion, pursuant to which White Lion committed to purchase up to $10,000,000 of our Common Stock, subject to certain limitations and conditions set forth in the Common Stock Purchase Agreement. The Common Stock that may be issued under the Common Stock Purchase Agreement may be sold by us to White Lion at our discretion, from time to time, over a period ending December 31, 2028, commencing on the date of the ELOC Agreement. We generally have the right to control the timing and amount of any sales of our Common Stock to White Lion under the ELOC Agreement. Sales of our Common Stock to White Lion under the ELOC Agreement will depend upon market conditions as well as other factors to be determined by us. We may ultimately decide to sell to White Lion all or a portion of the shares of our Common Stock that may be available pursuant to the ELOC Agreement, or decide to terminate the ELOC Agreement or not sell to White Lion any Common Stock that may be available for us to sell to White Lion thereunder.</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the White Lion for the shares of Common Stock that we may elect to sell to White Lion under the ELOC Agreement will fluctuate based on the market prices of our Common Stock during the applicable pricing period for each purchase, it is not possible for us to predict, as of the date of this prospectus, the number of Common Stock that we will sell to White Lion under the ELOC Agreement, the purchase price per share that the White Lion will pay for shares purchased from us under the ELOC Agreement, or the aggregate gross proceeds that we will receive from those purchases by the White Lion under the ELOC Agreement.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the ELOC Agreement provides that we may sell up to an aggregate of $10,000,000 of shares of Common Stock to White Lion, only 15,000,000 shares of Common Stock that may be issued to White Lion under the ELOC Agreement are being registered for resale by White Lion under the registration statement that includes this prospectus.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elect to sell to White Lion all of the 15,000,000 shares of Common Stock being registered for resale by White Lion in the registration statement that includes this prospectus, depending on the market prices of our Common Stock during the applicable pricing period for each purchase made pursuant to the ELOC Agreement, the actual gross proceeds from the sale of all such shares may be substantially less than the $10,000,000 total commitment originally available to us under the ELOC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White Lion will not be required to purchase any shares of Common Stock if such sale would result in White Lion’s beneficial ownership exceeding 4.99% of the then-outstanding voting power or shares of Common Stock; provided, that the Beneficial Ownership Limitation may be increased to 9.99% upon the mutual written agreement of the Company and White Lion, effective not less than sixty-one (61) days after such mutual written agreement. Any issuance and sale by us under the ELOC Agreement of a substantial amount of shares of our Common Stock in addition to the 15,000,000 shares of Common Stock being registered for resale by White Lion under this prospectus could cause additional substantial dilution to our stockholders. The number of shares of Common Stock ultimately offered for resale by White Lion is dependent upon the number of shares of Common Stock we ultimately sell to White Lion under the ELOC Agreement. Our inability to access a portion or the full amount available under the ELOC Agreement, in the absence of any other financing sources, could have a material adverse effect on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issuance of certain securities under the Common Stock Purchase Agreement, the Commitment Warrant, and the Note Purchase Agreement is contingent upon us obtaining Stockholder Approval. If we do not obtain the Stockholder Approval, these securities may never become issuable and/or exercisable.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it becomes necessary for us to issue and sell to White Lion Common Stock in excess of the Exchange Cap under the Common Stock Purchase Agreement in order to receive aggregate gross proceeds equal to $10,000,000 under the Common Stock Purchase Agreement, then for so long as the Exchange Cap continues to apply to issuances and sales of Common Stock under the Common Stock Purchase Agreement, we must first obtain Stockholder Approval. In addition, no Tranche of the Convertible Notes may be funded until Stockholder Approval has been obtained. If we are unable to obtain the required Stockholder Approval, these securities will not be issuable and/or exercisable, and will have little to no value.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agreed to use commercially reasonable efforts to duly call, give notice of, convene, and hold a stockholder meeting (the “Stockholder Meeting”) as soon as reasonably practicable, but in no event later than May 15, 2026, for the purposes of obtaining Stockholder Approval. If the Company fails to hold a Stockholder Meeting by May 15, 2026, it shall pay liquidated damages to White Lion, as more fully described in the Common Stock Purchase Agreement. In the event Stockholder Approval is not obtained at the first Stockholder Meeting, the Company is obligated to cause an additional Stockholder Meeting to be held every one hundred eighty (180) days during the period beginning on such date and continuing seven hundred twenty (720) days thereafter, until Stockholder Approval is obtained.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ELOC Agreement, we will have discretion, subject to market demand, to vary the timing, prices, and numbers of shares sold to the White Lion. If and when we do elect to sell shares of Common Stock to the White Lion under the ELOC Agreement, after the White Lion has acquired such shares, the White Lion may resell all or a portion of such shares at any time or from time to time in its discretion and at different prices. As a result, investors who purchase shares from the White Lion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White Lion as a result of future sales made by us to the White Lion at prices lower than the prices such investors paid for their shares.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issuance of our Common Stock to the Selling Securityholder will cause dilution to our existing stockholders, and the sale of the shares acquired by the Selling Securityholder, or the perception that such sales may occur, could cause the price of our Common Stock to decline.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subject to the restrictions and limitations described below. If our shareholders sell, or the market perceives that our shareholders intend to sell, substantial amounts of shares of our Common Stock in the public market following this offering, the market price of shares of our Common Stock could decline significantly.</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Selling Securityholder can resell, under this prospectus, up to 51,000,000 shares. If all of the 51,000,000 shares offered by the Selling Securityholder under this prospectus were issued and outstanding as of the date hereof, such shares would represent approximately 174% of the total number of shares of Common Stock outstanding as of the date hereof. After the Selling Securityholder has acquired the shares, the Selling Securityholder may resell all, some, or none of those shares at any time or from time to time in its discretion. Therefore, sales to the Selling Securityholder by us could result in substantial dilution to the interests of other holders of our Common Stock. Additionally, sales of a substantial number of shares of our Common Stock in the public market by the Selling Securityholder and/or by our other existing stockholders, or the perception that those sales might occur, could depress the market price of our Common Stock and could impair our ability to raise capital through the sale of additional equity securities in the future at a time and at a price that we might otherwise wish to effect sales.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we receive from the sale of shares to the Selling Stockholder and may not use them effectively.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proceeds we receive from the Selling Securityholder pursuant to sales of Common Stock under the Common Stock Purchase Agreement, if any, including for any of the purposes described in the section entitled “Use of Proceeds,” and you will not have the opportunity as part of your investment decision to assess whether our management is using the proceeds appropriately. Because of the number and variability of factors that will determine our use of our proceeds from the Selling Securityholder, their ultimate use may vary substantially from their currently intended use. The failure by our management to apply these funds effectively could result in financial losses that could have a material adverse effect on our business and cause the price of our Common Stock to decline. Pending their use, we may invest the proceeds from the Selling Securityholder in short-term, investment-grade, interest-bearing securities. These investments may not yield a favorable return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Convertible Notes will be secured by substantially all of our assets, and a default could result in White Lion foreclosing on our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obligations under the Convertible Notes will be secured by a security interest in all of our assets and personal property, including our intellectual property. If we default under the Convertible Notes, White Lion could foreclose on our assets, which could force us to curtail or cease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White Lion has the right to require us to apply a portion of our financing proceeds toward repayment of the Convertible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Note Purchase Agreement, White Lion has the right to require us to apply up to 10% of all cash proceeds received from the issuance of securities pursuant to the Common Stock Purchase Agreement, the exercise of the Commitment Warrant, or the issuance of any other securities of the Company, toward repayment of the Convertible Notes. This could reduce the amount of proceeds available to us for working capital and other corporate purposes.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price of the Commitment Warrant is subject to full ratchet anti-dilution adjustment, which could result in additional dilution to our stockholders.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Commitment Warrant issued to White Lion includes a full ratchet anti-dilution provision, pursuant to which the exercise price of the Commitment Warrant will be reduced to the effective price per share of any new issuance of Common Stock or Common Stock equivalents below the then-current exercise price (subject to exceptions for exempt issuances). Because the exercise price is initially set at 99% of the closing sales price of the Common Stock on the trading day prior to the exercise date and is subject to downward adjustment, any future dilutive issuance by the Company could result in a reduction of the exercise price and a corresponding increase in the number of shares issuable upon exercise, resulting in additional dilution to our existing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of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For the year ended December 31, 2025, we identified the material weaknesses in our internal control over financial reporting related to the following for the years ended December 31, 2025 and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Personnel and Financial Reporting Controls. </w:t>
      </w:r>
      <w:r>
        <w:rPr>
          <w:rFonts w:ascii="Times New Roman" w:cs="Times New Roman" w:eastAsia="Times New Roman" w:hAnsi="Times New Roman"/>
          <w:sz w:val="18"/>
          <w:szCs w:val="18"/>
          <w:color w:val="auto"/>
        </w:rPr>
        <w:t>Management determined that the Company does not currently maintain sufficient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and has not fully designed and implemented the processes and internal controls necessary to support accurate and timely financial reporting. These deficiencies (i) limit the Company’s ability to effectively review and approve certain material journal entries and properly adopt new accounting pronouncements, increasing the risk that a material misstatement of interim or annual financial statements may not be prevented or detected on a timely basis, and (ii) have resulted in an insufficient segregation of duties between the preparation, review, and approval of certain material reconciliations and other financial reporting controls.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material weaknesses noted above, for the year ended December 31, 2024, the Company reclassified its expense presentation by reallocating certain amounts previously reported as cost of goods sold to general and administrative, research and development, and sales and marketing expenses to better reflect the nature of the underlying costs. These reclassifications had no effect on total revenue, loss from operations, net loss, or shareholders’ equity (deficit) for any period presented.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management identified that the Company did not initially accrue all Board of Director compensation earned during the year ended December 31, 2025. During the year-end audit process, management recorded the appropriate accrual and related Board of Director compensation expense for the year ended December 31,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management identified presentation revisions in the statements of cash flows for the six months ended June 30, 2025 and the nine months ended September 30, 2025. Certain items were reclassified between operating and financing activities, including amounts related to short-term debt and proceeds from bridge financing arrangements, and certain components associated with the reverse recapitalization transaction were adjusted for proper presentation. These revisions affected the classification of cash flows between operating and financing activities, but had no impact on the total change in cash, net loss, or previously reported balance sheet amounts.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evaluated the quantitative and qualitative factors associated with these matters and concluded that the corrections were not material to any previously issued annual or interim financial statements. Accordingly, the Company has reflected these changes in the affected prior-period financial statements in this prospectus to reflect these reclassifications as immaterial reclassifications to previously issued financial statements.</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Fair Value Calculation Controls</w:t>
      </w:r>
      <w:r>
        <w:rPr>
          <w:rFonts w:ascii="Times New Roman" w:cs="Times New Roman" w:eastAsia="Times New Roman" w:hAnsi="Times New Roman"/>
          <w:sz w:val="18"/>
          <w:szCs w:val="18"/>
          <w:color w:val="auto"/>
        </w:rPr>
        <w:t>. In addition, management identified a material weakness in the design of internal controls related to the review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calculation of SAFE notes performed by a third-party valuation specialist for the year ended December 31, 2024. The controls lacked the precision needed to detect inappropriate inputs that could materially impact valuation.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identified material weaknesses, our management concluded that our internal controls over financial reporting were not effective as of December 31, 2025 and 2024. The Company is actively working to develop and implement remediation plans related to the material weaknesses identified. Remediation efforts include enhancing the design and implementation of controls over the accounting for financial instruments and hiring additional qualified accounting personnel.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respond to the material weaknesses, we devoted significant effort and resources to the remediation and improvement of our internal controls over financial reporting, including enhancing the design and implementation of controls over the accounting for financial instruments and hiring additional qualified accounting personnel.</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failure to maintain such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ordinary shares is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ordinary shares.</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can give no assurance that the measures we have taken will remediate the material weaknesses identified or that any additional material weaknesses will not arise in the future due to a failure to implement and maintain adequate internal controls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of $865,624 and working capital deficit of $1,730,095. Further, we have incurred and expect to continue to incur significant costs in pursuit of our revenue growth but we cannot assure you that our plans will be successful. These factors, among others, raise substantial doubt about our ability to continue as a going concern. See “Management’s Discussion and Analysis of Financial Condition and Results of Operations-Liquidity and Capital Resources-Funding Requirements and Going Concern.” The financial statements contained elsewhere in this prospectus do not include any adjustments that might result from our inability to consummate this offering or our inability to continue as a going concern.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rapid growth makes it difficult to evaluate our future financial position and increases the risk that we will not continue to grow at or near historical rates.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largely a pre-revenue company, with revenue of $5,804,369 and $172,661 for the fiscal years ended December 31,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growth of our business in new use cases.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most of our revenue has been derived from sales relating to research and development activities, including proof of concept demonstrations. In 2025, we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and results of operations could be harmed.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68 employees as of the last business day of the fiscal year ended December 31,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revenue and results of operations will be harmed.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spacing w:after="0" w:line="203" w:lineRule="exact"/>
        <w:rPr>
          <w:sz w:val="20"/>
          <w:szCs w:val="20"/>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commitments to or preferences for their existing vendors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switching costs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inexperience with or reluctance to adopt our solutions in their physical operations;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help potential customers successfully deploy and use our solutions;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develop or expand relationships with existing partners or to attract new partners;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into new markets;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retain, and motivate our engineering and research and development, sales and marketing, and other personnel;</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or the amendment of existing, laws, rules, or regulations that negatively impact the utility of, or that require difficult-to-implement changes to, our solutions;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efforts to attract new customers are not successful, our business, financial condition, and results of operations will suffer.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and expand our relationships with existing customers, our financial position and results of operations will be harmed.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utilizing our solution or an economic downturn affecting their industry. A decrease in our renewal rate would have an adverse effect on our business, financial condition, and results of operations.</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estimates of market opportunity and forecasts of market growth included in this prospectus may prove to be inaccurate.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markets may prove to be inaccurate. Even if the markets in which we compete meet the size estimates and growth forecasted in this prospectus, we may not successfully penetrate these markets and our business could fail to grow at a similar pace,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our strategic initiatives or meet our long-term financial goals.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a limited number of joint design manufacturers and suppliers of manufacturing services and critical components within our supply chain for our IoT devices may adversely affect our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a key supplier in Israel and the possibility of having to switch suppliers may adversely affect our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pipeline is immature, and as such, revenue forecasts and projections are likely to be unstable through fiscal year 2026.</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anticipate typical sales cycles to be nine to twelve months for most of our opportunities and are only six months into an aggressive pivot to active sales and marketing. As such, revenue forecasts and projections are likely to be unstable through fiscal year 2026,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length of our sales cycle can be unpredictable, particularly with respect to sales to large customers, and our sales efforts may require considerable time and expense.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changing customer needs, requirements or preferences, our Dot Cloud SaaS platform may become less competitive.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and increasing competition, and we may not be able to compete effectively, which could reduce demand for our solution and adversely affect our business, revenue growth, and market share.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our business is dependent in part on strategic relationships we develop and maintain with third parties.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subscription or pricing models could adversely affect our business,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spacing w:after="0" w:line="203" w:lineRule="exact"/>
        <w:rPr>
          <w:sz w:val="20"/>
          <w:szCs w:val="20"/>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particularly large customers;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relationships with existing customers;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new channel partners and retain existing channel partners;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 and other qualified personnel;</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growth rate of the overall market that our solution addresses;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mix of our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left="360" w:hanging="354"/>
        <w:spacing w:after="0" w:line="282"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and operations, including continued investments in sales and marketing, research and development and general and administrative resources;</w:t>
      </w:r>
    </w:p>
    <w:p>
      <w:pPr>
        <w:spacing w:after="0" w:line="215"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performance degradation of our cloud service;</w:t>
      </w:r>
    </w:p>
    <w:p>
      <w:pPr>
        <w:spacing w:after="0" w:line="279"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or cybersecurity breaches;</w:t>
      </w:r>
    </w:p>
    <w:p>
      <w:pPr>
        <w:spacing w:after="0" w:line="279"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79"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and regulations affecting our and our customers’ businesses or product requirements;</w:t>
      </w:r>
    </w:p>
    <w:p>
      <w:pPr>
        <w:spacing w:after="0" w:line="279"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number of subscriptions or pricing changes upon any renewals of customer agreements;</w:t>
      </w:r>
    </w:p>
    <w:p>
      <w:pPr>
        <w:spacing w:after="0" w:line="279"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79"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and purchasing practices of customers;</w:t>
      </w:r>
    </w:p>
    <w:p>
      <w:pPr>
        <w:spacing w:after="0" w:line="279"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customers to purchase alternative solutions from other vendors;</w:t>
      </w:r>
    </w:p>
    <w:p>
      <w:pPr>
        <w:spacing w:after="0" w:line="279"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which could adversely affect their ability to purchase or pay for a subscription to use our solution;</w:t>
      </w:r>
    </w:p>
    <w:p>
      <w:pPr>
        <w:spacing w:after="0" w:line="215"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future litigation or other disputes;</w:t>
      </w:r>
    </w:p>
    <w:p>
      <w:pPr>
        <w:spacing w:after="0" w:line="279"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79"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effective tax rate, including impacts caused by any reorganization in our corporate tax structure and any new legislation or regulatory developments;</w:t>
      </w:r>
    </w:p>
    <w:p>
      <w:pPr>
        <w:spacing w:after="0" w:line="215"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279"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duties) and import or export licensing requirements;</w:t>
      </w:r>
    </w:p>
    <w:p>
      <w:pPr>
        <w:spacing w:after="0" w:line="279"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79"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timing and success in introducing new features and Applications to the market, including integrations of our solution with additional third-party software and devices;</w:t>
      </w:r>
    </w:p>
    <w:p>
      <w:pPr>
        <w:spacing w:after="0" w:line="215"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or any other change in the competitive dynamics of our industry, including consolidation among competitors, customers or strategic partners;</w:t>
      </w:r>
    </w:p>
    <w:p>
      <w:pPr>
        <w:spacing w:after="0" w:line="215"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and realize the anticipated benefits of any future acquisitions of businesses, solutions, or technologies;</w:t>
      </w:r>
    </w:p>
    <w:p>
      <w:pPr>
        <w:spacing w:after="0" w:line="279" w:lineRule="exact"/>
        <w:rPr>
          <w:rFonts w:ascii="Times New Roman" w:cs="Times New Roman" w:eastAsia="Times New Roman" w:hAnsi="Times New Roman"/>
          <w:sz w:val="18"/>
          <w:szCs w:val="18"/>
          <w:color w:val="auto"/>
        </w:rPr>
      </w:pPr>
    </w:p>
    <w:p>
      <w:pPr>
        <w:ind w:left="360" w:hanging="354"/>
        <w:spacing w:after="0" w:line="282"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businesses, solutions, or technologies and potential future charges for impairment of goodwill from acquired companies; or</w:t>
      </w:r>
    </w:p>
    <w:p>
      <w:pPr>
        <w:spacing w:after="0" w:line="215"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described in this prospectus.</w:t>
      </w:r>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700" w:top="364" w:right="37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sustain a level of liquidity sufficient to support our operations and fulfill our obligations, our business, financial condition, and results of operations could be adversely affected.</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risks related to third-party financing of our customers’ subscriptions to our Dot Cloud SaaS platform.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manage qualified personnel, and in particular, our key personnel.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our business, financial condition, and results of operations may be harmed.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Challenges in implementation or incorrect use of, or our customers’ failure to update, our solution could result in customer dissatisfaction and negatively affect our business and growth prospects.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fund our business and support our growth, and any inability to generate or obtain such capital may adversely affect our business and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generate sufficient cash to service our indebtedness, and the terms of our new senior secured convertible facility could materially and adversely affect us.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service, refinance, or otherwise meet our indebtedness depends on our financial condition, operating performance, access to capital markets, and broader economic and market conditions, many of which are beyond our control. There can be no assurance that our cash flows will be sufficient to satisfy scheduled payments as they come due.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5, 2025, we entered into a senior secured convertible facility with upfront fees and immediate monthly amortization. Monthly installments must be funded primarily through draws on our equity line of credit and failure or inability to draw is an event of default. Issuances and sales under the equity line could increase selling pressure on our Common Stock and reduce our liquidity. Access to additional tranches is at the lender’s election and conditioned on continued exchange listing and specified price and volume thresholds, and therefore may not be available when needed.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an event of default and the effectiveness of a resale registration statement, the facility becomes convertible at a discounted, market-price-based formula, and we have issued (and may issue additional) warrants in connection with tranche fundings. Conversions and warrant exercises could be dilutive and push our stock price down. There can be no assurance that the market will absorb any such issuances without adverse price impact or that we will maintain the listing of our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facility is secured by first-priority liens on substantially all of our assets and a pledge of subsidiary equity and provides accelerated remedies upon default, which could increase our obligations and facilitate enforcement. The facility also contains restrictive covenants that limit additional debt, liens, and securities issuances and require certain extraordinary receipts to prepay the loans, which could constrain our ability to raise capital or execute our strategy. In addition, legal, contractual, tax, or covenant restrictions may limit our subsidiaries’ ability to upstream cash to us.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 foregoing, individually or in the aggregate, could have a material adverse effect on our business, financial condition, results of operations, and cash flows, increase our cost of capital, reduce our financial flexibility, and negatively affect the market price and liquidity of our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warranty and recall claims that may increase the costs of doing business and adversely affect our business, financial condition,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face the risk of product liability or warranty claims if our Dot Cloud SaaS platform or our devices fail, or are alleged to fail, to perform as expected, or if they result, or are alleged to result, in bodily injury or property damage. Certain technologies incorporated into our devices may increase the risk profile of these products. This risk may be heightened as we launch our first family of hardware products, since newly introduced products are more susceptible to quality issues during the initial launch and stabilization period. Although our experienced team is focused on mitigating potential product quality concerns, issues may arise despite these efforts.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maintain insurance coverage that we believe is appropriate for these risks, significant product liability claims could exceed our coverage limits, and insurance may not remain available on commercially reasonable terms, if at all. We may incur substantial costs to defend against product liability or warranty claims, and we cannot assure that we will not experience material losses in the future. In addition, if any of our devices are found, or alleged, to be defective, we may be required to conduct recalls, provide replacements or repairs, issue refunds, or otherwise address customer claims. The costs associated with warranties, repairs, replacements, recalls, or customer reimbursements could exceed our historical experience and materially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the supply of our devices is complex. Insufficient supply and inventory may result in lost sales opportunities or delayed revenue, while excess inventory may harm our gross margins.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impacted by U.S. and global market and economic conditions adverse to industries that depend on physical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have serious adverse consequences on our future revenue and financial condition and result in losses that may not be covered by insurance.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252" w:lineRule="exact"/>
        <w:rPr>
          <w:sz w:val="20"/>
          <w:szCs w:val="20"/>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infrastructures by international businesses;</w:t>
      </w:r>
    </w:p>
    <w:p>
      <w:pPr>
        <w:spacing w:after="0" w:line="279" w:lineRule="exact"/>
        <w:rPr>
          <w:rFonts w:ascii="Times New Roman" w:cs="Times New Roman" w:eastAsia="Times New Roman" w:hAnsi="Times New Roman"/>
          <w:sz w:val="18"/>
          <w:szCs w:val="18"/>
          <w:color w:val="auto"/>
        </w:rPr>
      </w:pPr>
    </w:p>
    <w:p>
      <w:pPr>
        <w:jc w:val="both"/>
        <w:ind w:left="740" w:right="40" w:hanging="354"/>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p>
      <w:pPr>
        <w:spacing w:after="0" w:line="22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solution for specific countries;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longer sales and payment cycles, and different pricing environments;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potentially inconsistent and often more stringent regulations relating to privacy, data protection and data security and the unauthorized use of, or access to, commercial, biometric, and/or personal information, particularly in Europe;</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including with respect to wage and hour laws, that make it harder to do business in certain regions such as Europe;</w:t>
      </w:r>
    </w:p>
    <w:p>
      <w:pPr>
        <w:spacing w:after="0" w:line="279" w:lineRule="exact"/>
        <w:rPr>
          <w:rFonts w:ascii="Times New Roman" w:cs="Times New Roman" w:eastAsia="Times New Roman" w:hAnsi="Times New Roman"/>
          <w:sz w:val="18"/>
          <w:szCs w:val="18"/>
          <w:color w:val="auto"/>
        </w:rPr>
      </w:pPr>
    </w:p>
    <w:p>
      <w:pPr>
        <w:jc w:val="both"/>
        <w:ind w:left="740" w:right="20" w:hanging="354"/>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215"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legal and compliance costs associated with international operations;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ind w:left="740" w:right="40" w:hanging="354"/>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 or obtaining necessary intellectual property licenses from third parties;</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terrorist activities;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p>
      <w:pPr>
        <w:spacing w:after="0" w:line="215"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(FCPA), U.S. domestic bribery laws, the UK Bribery Act, and similar laws and regulations in other jurisdictions;</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U.S. and non-U.S. export control laws and regulations, including Export Administration Regulations (EAR); or</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wholly-owned subsidiary in Puerto Rico has been granted certain incentives under Act 60 (described below), and the validity of these incentives are conditioned on our continuous compliance with the terms and conditions of the grant.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or expect to enter into, various arrangements with our subsidiary in Puerto Rico regarding the intercompany provision of services. Applicable taxing authorities could challenge the prices for these services.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or Compliance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regulations or administrative interpretations thereof may materially adversely affect our financial condition, results of operations and cash flows.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could be adversely affected by changes in applicable tax laws, regulations, or administrative interpretations thereof. Changes could be enacted in the future to increase the corporate tax rate, limit further the deductibility of interest or effect other changes that could have a material adverse effect on the Company’s business, results of operations and financial condition. 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federal government or independent standards organizations may implement significant regulations or standards that could adversely affect our ability to produce or market our products.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spacing w:after="0" w:line="210" w:lineRule="exact"/>
        <w:rPr>
          <w:sz w:val="20"/>
          <w:szCs w:val="20"/>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solutions and services;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requirements of applicable environmental legislation and regulation could have a material adverse effect on our revenue and profitability.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or contractual provisions applicable to our business could cause us to lose government customers or our ability to contract with the U.S. and other governments.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changes in the use of artificial intelligence are unpredictable and therefore we are not able to accurately predict how potential regulatory changes in artificial intelligence space may affect our current and future offerings.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fines, penalties, or other costs, either directly or vicariously, if any of our partners, resellers, contractors, vendors or other third parties fail to adhere to their compliance obligations under our policies and applicable law.</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and Technology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incidents or real or perceived errors, failures or bugs in our systems or our website could impair our operations, result in loss of personal customer information, damage our reputation, and brand, and harm our business and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fundamentally in the data business, and as such have taken steps to use leading edge encryption and security measures in our IT deployments.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risk is real that our systems could be penetrated and cause business disruption and damage our brand in the marketplace.</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Abuse or misuse of our internal platform controls and system tools could cause significant harm to our business and reputation.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Interruptions or performance problems with either our technology and infrastructure or our data center hosting facilities could, among other things:</w:t>
      </w:r>
    </w:p>
    <w:p>
      <w:pPr>
        <w:spacing w:after="0" w:line="252" w:lineRule="exact"/>
        <w:rPr>
          <w:sz w:val="20"/>
          <w:szCs w:val="20"/>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destruction or disruption of any of our critical business operations, controls, or procedures or information technology systems;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affect our ability to conduct normal business operations;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material weakness in our internal control over financial reporting;</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customers to terminate their subscriptions;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issuing credits or paying penalties or fines;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brand and reputation;</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renewal rates or our ability to attract new customers; or</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solution to be perceived as not being secure.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 above could adversely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or address the misappropriation of our data.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for certain essential financial and operational services, and a failure or disruption in these services could materially and adversely affect our ability to manage our business effectively.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substantially harm our business and results of operations.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patents or patent applications will be enforceable or otherwise upheld as valid.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patents, trademarks, or other intellectual property rights that we have obtained or may obtain may be challenged by others or invalidated, circumvented, abandoned or lapse. As of December 31, 2025, our patent portfolio consisted of 2 issued U.S. patents, and 2 U.S. patent applications pending for examination. As of December 31, 2025,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third-party intellectual property infringement claims associated with our solution. To the extent that any claim arises as a result of third-party technology we use in our solutions, we may be unable to recover from the appropriate third party any expenses or other liabilities that we incur.</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risks associated with the use of intellectual property may be increased as a result of acquisitions.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in the use of artificial intelligence (“AI”) in our solution may result in reputational harm or liability.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subscriptions to our Dot Cloud SaaS platform and subject us to possible litigation.</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and Public Warrants may be highly volatile and could decline significantly.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presented elsewhere in this prospectus, and, among others, the following:</w:t>
      </w:r>
    </w:p>
    <w:p>
      <w:pPr>
        <w:spacing w:after="0" w:line="210" w:lineRule="exact"/>
        <w:rPr>
          <w:sz w:val="20"/>
          <w:szCs w:val="20"/>
          <w:color w:val="auto"/>
        </w:rPr>
      </w:pPr>
    </w:p>
    <w:p>
      <w:pPr>
        <w:ind w:left="740" w:hanging="354"/>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quarterly or annual earnings relative to similar companies;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the us, our competitors or our industry, or positive or negative recommendations or withdrawal of research coverage by securities analysts;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press-releases, other public announcements and filings with the SEC;</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senior management;</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the Company, our directors, executive officers, principal shareholders;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 whether dividends on our Common Stock have been, and are likely to be, declared and paid from time to time;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Common Stock relative to other investment alternatives;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geographies or customers;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 investigations.</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additional laws, regulations, and stock exchange listing standards, which impose additional costs on us and may strain our resources and divert our management’s attention.</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meet the continued listing requirements of Nasdaq could result in a delisting of our Common Stock, which could have a material adverse effect on the liquidity of our Common Stock.</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Nasdaq has requirements that a company must meet in order to remain listed on Nasdaq. In particular, Nasdaq rules require us to maintain a minimum bid price of $1.00 per share of our Common Stock. If the closing bid price of our Common Stock were to remain below $1.00 per share for 30 consecutive trading days or we do not meet other listing requirements, we would fail to be in compliance with Nasdaq listing standards. There can be no assurance that we will continue to meet the minimum bid price requirement, or any other requirement in the future. If we fail to meet the minimum bid price requirement, The Nasdaq Stock Market LLC may initiate the delisting process. In addition, we may be unable to meet other applicable Nasdaq listing requirements, including maintaining minimum levels of stockholders’ equity or market values of our Common Stock in which case, our Common Stock could be delisted. Such a delisting would likely have a negative effect on the liquidity and the market price of our Common Stock.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Charter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other operating metrics may fluctuate from quarter to quarter, which makes these metrics difficult to predict.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207" w:lineRule="exact"/>
        <w:rPr>
          <w:sz w:val="20"/>
          <w:szCs w:val="20"/>
          <w:color w:val="auto"/>
        </w:rPr>
      </w:pPr>
    </w:p>
    <w:p>
      <w:pPr>
        <w:ind w:left="740" w:hanging="354"/>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attract new customers;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and upgrading of our technology platform;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740" w:right="40" w:hanging="354"/>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service, feature, and content introductions by us or our competitors or any other change in the competitive landscape of our market;</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our forecasting of the demand for our products and services, which could lead to lower revenue or increased costs, or both;</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marketing, sales, and other operating expenses that we may incur to grow and expand our operations and to remain competitive;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expansion into international markets;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diversification and growth of our revenue sources;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gross margins and operating margins;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the availability of consumer financing or increased down payment requirements to finance purchases of our products;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or breaches of security or privacy;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including content costs for past use;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insurance and consumer product regulations;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79"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 including lower consumer confidence, recessionary conditions, increased unemployment rates, or stagnant or declining wages.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above may result in significant fluctuations in our operating results.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is not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Taking advantage of the reduced disclosure requirements applicable to “emerging growth companies” may make our Common Stock less attractive to investors.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JOBS Act provides that, so long as a company qualifies as an “emerging growth company,” it will, among other things:</w:t>
      </w:r>
    </w:p>
    <w:p>
      <w:pPr>
        <w:spacing w:after="0" w:line="252" w:lineRule="exact"/>
        <w:rPr>
          <w:sz w:val="20"/>
          <w:szCs w:val="20"/>
          <w:color w:val="auto"/>
        </w:rPr>
      </w:pPr>
    </w:p>
    <w:p>
      <w:pPr>
        <w:ind w:left="740" w:right="40" w:hanging="354"/>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215"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“say on pay” and “say on golden parachute” advisory vote requirements of the Dodd-Frank Wall Street Reform and Consumer Protection Act (the “</w:t>
      </w:r>
      <w:r>
        <w:rPr>
          <w:rFonts w:ascii="Times New Roman" w:cs="Times New Roman" w:eastAsia="Times New Roman" w:hAnsi="Times New Roman"/>
          <w:sz w:val="18"/>
          <w:szCs w:val="18"/>
          <w:b w:val="1"/>
          <w:bCs w:val="1"/>
          <w:i w:val="1"/>
          <w:iCs w:val="1"/>
          <w:color w:val="auto"/>
        </w:rPr>
        <w:t>Dodd-Frank Act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740" w:right="20" w:hanging="354"/>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215" w:lineRule="exact"/>
        <w:rPr>
          <w:rFonts w:ascii="Times New Roman" w:cs="Times New Roman" w:eastAsia="Times New Roman" w:hAnsi="Times New Roman"/>
          <w:sz w:val="18"/>
          <w:szCs w:val="18"/>
          <w:color w:val="auto"/>
        </w:rPr>
      </w:pPr>
    </w:p>
    <w:p>
      <w:pPr>
        <w:jc w:val="both"/>
        <w:ind w:left="740" w:right="20" w:hanging="354"/>
        <w:spacing w:after="0" w:line="266"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our internal control over financial reporting is not effective, we may fail to detect errors or fraud on a timely basis, and our financial statements could be materially misstated.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or fail to maintain an effective system of internal control. A material weakness is a deficiency, or combination of deficiencies, in internal control over financial reporting such that there is a reasonable possibility that a material misstatement of our financial statements will not be prevented or detected on a timely basis. The existence of material weaknesses could adversely affect investor confidence in our reported financial information and our ability to access the capital markets.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forecasts of market growth and other projections included in this prospectus may prove to be inaccurate, and even if the markets in which we compete achieve the forecasted growth, we cannot assure you that our business will grow at a similar rate, if at all.</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Growth forecasts and projections are subject to significant uncertainty and are based on assumptions and estimates that may not prove to be accurate. The forecasts in this 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THE WHITE LION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17, 2026, the Company entered into the Common Stock Purchase Agreement and the Registration Rights Agreement with White Lion, pursuant to which White Lion has committed to purchase up to $10,000,000 of Common Stock, subject to certain limitations and satisfaction of the conditions set forth in the Common Stock Purchase Agreement.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and subject to the conditions set forth in the Common Stock Purchase Agreement, the Company has the right, but not the obligation, to sell to White Lion, and White Lion is obligated to purchase, up to $10,000,000 of the Company’s Common Stock. Such sales of Common Stock by the Company, if any, will be subject to certain limitations specified in the Common Stock Purchase Agreement and may occur from time to time, at the Company’s sole discretion, during the Commitment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Purchases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Common Stock Purchase Agreement, during the Commitment Period, we will have the right, but not the obligation, to direct White Lion to purchase shares of our Common Stock by delivering a Rapid Purchase Notice. A Rapid Purchase Notice will be deemed delivered on the business day on which (i) the Rapid Purchase Notice is received and accepted by email by White Lion and (ii) the DWAC of the applicable shares has been initiated and completed as confirmed by White Lion’s designated brokerage account, in each case by 6:00 a.m. Pacific time (the “Rapid Purchase Notice Date”). The purchase price for each Rapid Purchase (the “Rapid Purchase Price”) will be equal to the average of the three (3) lowest traded prices of the Common Stock during the two (2) hour period following White Lion’s written consent of acceptance of the applicable Rapid Purchase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VWAP Purchases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Common Stock Purchase Agreement, during the Commitment Period, we will have the right, but not the obligation, to direct White Lion to purchase shares of our Common Stock by delivering a Rapid Purchase Notice. A Rapid Purchase Notice will be deemed delivered on the business day on which (i) the Rapid Purchase Notice is received and accepted by email by White Lion and (ii) the DWAC of the applicable shares has been initiated and completed as confirmed by White Lion’s designated brokerage account, in each case by 6:00 a.m. Pacific time (the “Rapid Purchase Notice Date”). The purchase price for each Rapid Purchase (the “Rapid Purchase Price”) will be equal to the average of the three (3) lowest traded prices of the Common Stock during the two (2) hour period following White Lion’s written consent of acceptance of the applicable Rapid Purchase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will control the timing and amount of any sales of Common Stock to White Lion pursuant to the Common Stock Purchase Agreement. White Lion does not have the right to require the Company to sell any shares of Common Stock, but is obligated to purchase shares as directed by the Company, subject to the conditions set forth in the Common Stock Purchase Agreement.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actual amount and timing of any sales of Common Stock will be determined by the Company at its discretion and will depend on various factors, including, among others, general market conditions, the trading price of the Common Stock, and the Company’s assessment of appropriate funding sources for its operations. The net proceeds that the Company may receive under the Common Stock Purchase Agreement will vary based on the frequency of sales and the prices at which shares are sold to White Lion. The Company currently intends to use any proceeds from such sales for working capital and general corporate purposes.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case of Rapid Purchases and VWAP Purchases, the purchase price per share will be equitably adjusted for any reorganization, recapitalization, non-cash dividend, stock split, reverse stock split or other similar transaction occurring during the business days used to compute the purchase price.</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aggregate number of shares that the Company can sell to White Lion under the Common Stock Purchase Agreement together with the number of Commitment Shares (defined below) is limited to and may not exceed (i) 15,000,000 shares (subject to adjustment as described above), which is equal to 19.99% of the total shares of the Common Stock outstanding immediately prior to the execution of the Common Stock Purchase Agreement (the “Exchange Cap”), unless either of the following conditions is satisfied: (i) the Company obtains stockholder approval to issue Purchase Shares in excess of the Exchange Cap; or (ii) the average price paid for all shares of Common Stock issued under the Purchase Agreement equals or exceeds the lower of: (A) the Nasdaq official closing price of the Common Stock on the trading day immediately preceding the date of the Common Stock Purchase Agreement; and</w:t>
      </w:r>
    </w:p>
    <w:p>
      <w:pPr>
        <w:spacing w:after="0" w:line="5" w:lineRule="exact"/>
        <w:rPr>
          <w:sz w:val="20"/>
          <w:szCs w:val="20"/>
          <w:color w:val="auto"/>
        </w:rPr>
      </w:pPr>
    </w:p>
    <w:p>
      <w:pPr>
        <w:ind w:firstLine="8"/>
        <w:spacing w:after="0" w:line="260" w:lineRule="auto"/>
        <w:tabs>
          <w:tab w:leader="none" w:pos="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official closing price of our Common Stock on Nasdaq for the five consecutive trading days ending on the trading day immediately preceding the date of the Common Stock Purchase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In all cases, the Common Stock Purchase Agreement also prohibits the Company from directing White Lion to purchase any shares of Common Stock if those shares, when aggregated with all other shares of Common Stock then beneficially owned by White Lion (as calculated pursuant to Section 13(d) of the Securities Exchange Act of 1934, as amended, and Rule 13d-3 thereunder), would result in White Lion beneficially owning more than 4.99% of the then total outstanding shares of Common Stock, provided that the Beneficial Ownership Limitation may be increased to 9.99% upon the mutual written agreement of the Company and White Lion, effective not less than sixty-one (61) days after such mutual written agreement.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White Lion has agreed not to engage in or effect, directly or indirectly, for its own principal account or for the principal account of any of its affiliates, any short sales of the Common Stock during the term of the Common Stock Purchase Agreement. The Company has agreed to a prohibition on variable rate transactions without White Lion’s prior consent (the “Variable Rate Prohibition”) and has granted White Lion a right of first refusal on future financings (the “Right of First Refusal”), each during the term of the Common Stock Purchase Agreement.</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consideration for White Lion’s execution and delivery of the Common Stock Purchase Agreement, the Company will issue to White Lion shares of Common Stock valued in an aggregate amount of $120,000 (the “Commitment Shares”). The amount of shares to be issued shall be determined by dividing $120,000 by the Commitment Fee Price (which is the closing price of the Common Stock on the Trading Day immediately preceding the earlier of (i) the date on which the Registration Statement is declared effective by the SEC and (ii) the date that is 180 calendar days following the date of the Common Stock Purchase Agreement), provided, however, that the Company shall not issue a number of Commitment Shares in excess of the Exchange Cap. The Commitment Shares will be fully earned as of the Effective Date of the Common Stock Purchase Agreement and are not contingent upon the Company submitting a Purchase Notice, the filing or effectiveness of the Registration Statement, or any termination of the Common Stock Purchase Agreement. White Lion shall not resell, on any single business day, an amount of Commitment Shares exceeding 10% of the median daily trading volume of the Common Stock.</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Common Stock Purchase Agreement contains customary representations, warranties, conditions and indemnification obligations of both parties. The Company may terminate the Common Stock Purchase Agreement upon five Trading Days’ prior written notice to White Lion, provided that (i) there are no outstanding Purchase Notices under which Common Stock has yet to be issued, and (ii) the Company has paid all amounts owed to White Lion pursuant to the Common Stock Purchase Agreement. The Common Stock Purchase Agreement may also be terminated at any time by the mutual written consent of the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Warrants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further consideration for White Lion entering into the Common Stock Purchase Agreement, we issued to White Lion the Commitment Warrant, which entitles White Lion to purchase shares of our Common Stock having an aggregate exercise value of up to $10,000,000 (the “Warrant Shares”). The exercise price per share under the Commitment Warrant is equal to 99% of the closing sales price of the Common Stock on the trading day prior to the exercise date. The Commitment Warrant has a five-year term from the Initial Exercise Date, and expires at 5:00 p.m. (New York City time) on the Termination Date, subject to earlier termination by the Company upon five trading days’ prior written notice to White Lion. The Commitment Warrant may be exercised for cash or, if at the time of exercise there is no effective registration statement registering the resale of the Warrant Shares, on a cashless basis pursuant to a formula set forth in the Commitment Warrant. The Commitment Warrant contains a beneficial ownership limitation pursuant to which White Lion does not have the right to exercise any portion of the Commitment Warrant if it would result in White Lion (together with its affiliates) beneficially owning more than 4.99% of the outstanding Common Stock. The Holder, upon notice to and with the consent of the Company, may increase the Beneficial Ownership Limitation up to 9.99%, with any such change effective on the 61st day after such notice. Exercise of the Commitment Warrant beyond the Exchange Cap is subject to obtaining Stockholder Approval. The exercise price is subject to customary adjustments for stock dividends, stock splits, combinations, recapitalizations, reclassifications, and similar events. The Commitment Warrant also contains a full ratchet anti-dilution provision, pursuant to which the exercise price will be reduced to the effective price per share of any new issuance of Common Stock or Common Stock Equivalents below the then-current exercise price (subject to exceptions for certain exempt issuances), with a corresponding proportionate adjustment to the number of Warrant Shares. In the event of a Fundamental Transaction (as defined in the Commitment Warrant), including any merger, consolidation, sale of substantially all assets, or change of control, the holder shall have the right to receive, upon exercise, the same amount and kind of securities, cash, or other property that the holder would have been entitled to receive upon the occurrence of such Fundamental Transaction had the Commitment Warrant been exercised immediately prior thereto. The Commitment Warrant is fully earned as of the Effective Date and is not contingent upon any other event or condition, including the Company’s submission of a Purchase Notice or the filing or effectiveness of any registration statement, and irrespective of any termination of the Common Stock Purchase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Note Purchase Agreement and Convertible Notes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Concurrently with the Common Stock Purchase Agreement, we entered into a Note Purchase Agreement (the “Note Purchase Agreement”) with White Lion, pursuant to which we agreed to issue and sell to White Lion senior secured convertible promissory notes in an aggregate principal amount of up to $2,875,000 (the “Convertible Notes” or the “Notes”), structured as up to ten tranches of $287,500 each, at an aggregate purchase price of up to $2,300,000 (reflecting a 20% original issue discount). Each tranche is subject to the mutual written authorization of the Company and White Lion, and neither the Company nor White Lion has any obligation to proceed with any Subsequent Closing. The first tranche is to be funded within one trading day after the Company has filed both (i) the Registration Statement and (ii) a preliminary proxy statement seeking Stockholder Approval.</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Convertible Notes bear interest at 8% per annum, with interest for the first six months on the principal amount guaranteed and accruing immediately upon issuance. Each Convertible Note matures six months from its date of issuance. The Convertible Notes may not be prepaid without the prior written consent of the holder. The Company has agreed to use the proceeds from the sale of the Notes to make scheduled monthly payments under, and to prepay the outstanding balance of, the senior secured convertible note issued to J.J. Astor &amp; Co. In connection therewith, the proceeds of each funding will be wired directly to a bank account designated by J.J. Astor &amp; Co. In addition, subject to satisfaction of the conditions under the Common Stock Purchase Agreement, the Company has agreed to apply not less than 80% of all net proceeds received from White Lion’s purchase of Common Stock under the Common Stock Purchase Agreement to prepay the remaining balances due under the J.J. Astor notes until paid in full.</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Convertible Notes are convertible at the option of the holder into Conversion Shares at a variable conversion price equal to 80% of the lowest daily VWAP of the Common Stock during the fifteen (15) trading days ending on the latest complete trading day prior to the conversion date (representing a 20% discount). The Conversion Price is subject to equitable adjustment for stock splits, stock dividends, combinations, recapitalizations, reclassifications, and similar events. Conversions are subject to the Beneficial Ownership Limitation and the Exchange Cap.</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obligations under the Convertible Notes will be secured by (i) a security interest in all of the assets and personal property of the Company pursuant to the Security Agreement and (ii) a security interest in all of the Company’s intellectual property pursuant to the IP Security Agreement, each by and between the Company and White Lion. The Company has received authorization and consent from J.J. Astor &amp; Co. to grant to White Lion a second priority lien and security interest in all assets of the Company, including the Company’s intellectual property. White Lion has the right, in its sole discretion, to require the Company to apply up to 10% of all cash proceeds received from the issuance of securities pursuant to the Common Stock Purchase Agreement, or pursuant to the exercise of the Commitment Warrant or any other securities of the Company, to repay all or any portion of the outstanding amounts owed under the Notes, as more fully described above under the caption “Note Purchase Agreement and Convertible Notes” in the Prospectus Summary.</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Notes contain customary Events of Default, including, among others, failure to pay principal or interest when due, breach of covenants or representations, appointment of a receiver or trustee, bankruptcy or insolvency events, entry of material judgments, cessation of operations, failure to maintain material assets, financial statement restatements, cessation of trading of the Common Stock for five consecutive trading days, replacement of the transfer agent without delivering updated instructions, cross-default with the Common Stock Purchase Agreement and other agreements with White Lion, and transmission of material non-public information to the holder without consent. In addition, the failure of the Company to file the Registration Statement with the SEC on or before March 31, 2026, or to obtain Stockholder Approval by May 15, 2026, each constitutes an Event of Default, upon which White Lion shall have the option to use a default conversion price for conversions of the Notes. Upon an Event of Default, the outstanding principal amount of the Notes, plus accrued but unpaid interest and other amounts, will become immediately due and payable.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Common Stock Purchase Agreement and the Note Purchase Agreement, the Company and White Lion entered into the Registration Rights Agreement. Pursuant to the terms of the Registration Rights Agreement, the Company was obligated to: (a) file a Registration Statement on Form S-1 (or any successor form) with the SEC within fifteen (15) Business Days after the Execution Date (the “Filing Deadline”), registering the resale by White Lion of the maximum number of Common Stock representing (i) an aggregate of up to $10,000,000 of Purchase Notice Shares, (ii) the Commitment Shares, (iii) the Warrant Shares issuable upon exercise of the Commitment Warrant, (iv) the Conversion Shares issuable upon conversion of the Convertible Notes issued under the Note Purchase Agreement, (v) any and all other Common Stock issued or issuable to White Lion pursuant to the Common Stock Purchase Agreement or the Note Purchase Agreement, and (vi) any capital stock of the Company issued or issuable with respect to the foregoing, including as a result of any stock split, stock dividend, recapitalization, exchange or similar event, in each case until such time as such securities cease to be Registrable Securities (“Registrable Securities”) as shall be permitted to be included thereon in accordance with applicable SEC rules, regulations and interpretations so as to permit the resale of such Registrable Securities by White Lion under Rule 415 under the Securities Act at then prevailing market prices (and not fixed prices); (b) use its commercially reasonable best efforts to have the Registration Statement and any amendment thereto declared effective by the SEC as soon as reasonably practicable following the filing thereof; and (c) subject to Allowable Grace Periods, use its commercially reasonable best efforts to keep each Registration Statement effective (and the Prospectus contained therein available for use) pursuant to Rule 415 promulgated under the Securities Act for resales by White Lion of Registrable Securities on a continuous basis at then-prevailing market prices (and not fixed prices) at all times until the earlier of (i) the date on which White Lion shall have sold all of the Registrable Securities covered by such Registration Statement, (ii) the later of the date of termination of the Common Stock Purchase Agreement and the date of the Note Purchase Agreement if as of such termination date White Lion holds no Registrable Securities (or, if applicable, the date on which such securities cease to be Registrable Securities after the date of termination of the Common Stock Purchase Agreement or the Note Purchase Agreement, as applicable), and (iii) all such securities cease to be Registrable Securities pursuant to Section 2(f)(iii) or Section 2(f)(iv) of the Registration Rights Agreement (the “Registration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Selling Securityholder will receive all of the proceeds of the sale of shares of Common Stock offered from time to time pursuant to this prospectus. Accordingly, we will not receive any proceeds from the resale of Common Stock by the Selling Securityholder registered pursuant to this prospectus. We may receive up to $10,000,000 in aggregate gross proceeds from White Lion in connection with sales of our Common Stock to White Lion pursuant to the Common Stock Purchase Agreement from time to time in our sole discretion during the Commitment Period. We may also receive up to $2,300,000 in aggregate funded proceeds under the Note Purchase Agreement and up to $10,000,000 upon exercise of the Commitment Warrant. However, the actual proceeds from White Lion may be less than these amounts depending on the number of shares of our Common Stock sold, the prices at which the shares of our Common Stock are sold, and whether all tranches of the Convertible Notes are funded and the Commitment Warrant is exercised.</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if any, received from the sale of our Common Stock to White Lion pursuant to the Common Stock Purchase Agreement, from the funding of the Convertible Notes under the Note Purchase Agreement, and from the exercise of the Commitment Warrant, to repay outstanding amounts owed under the Loan Agreement, to terminate the ELOC Agreement with New Circle, and for general corporate purposes, including working capital. The expected use of net proceeds represents our intentions based upon our current plans and business conditions, which could change in the future as our plans and business conditions evolve and change. The amounts and timing of our actual expenditures, specifically with respect to working capital, may vary significantly depending on numerous factors. As a result, our management will retain broad discretion over the allocation of the net proceeds from such cash exercise, if any. We have no current agreements, commitments or understandings for any material acquisitions or licenses of any products, businesses or technologies that are definitive or probable to close.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Securityholder will pay any underwriting discounts and commissions and expenses incurred by the Selling Securityholder for brokerage, accounting, tax or legal services or any other expenses incurred by the Selling Securityholder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prices at which the shares of Common Stock covered by this prospectus may actually be sold will be determined by the prevailing public market price for shares of our Common Stock or by negotiations between the Selling Securityholder and buyers of our Common Stock in private transactions or as otherwise described in “Plan of Distribution.”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SECURITIES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March 31, 2026, there were 29,293,322 shares of Common Stock issued and outstanding held of record by 232 holders, and warrants to purchase an aggregate of 15,654,983 shares of Common Stock outstanding held of record by 4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Factors–Risks Related to Our Business and Industry” or included elsewhere in this prospectus. These risks and uncertainties could cause actual results to differ materially from those projected in forward-looking statements contained in this prospectus or implied by past results and trends. Forward-looking statements are statements that attempt to forecast or anticipate future developments in our business, financial condition, or results of operations. These statements, like all statements in this prospectus, speak only as of their date (unless another date is indicated), and we undertake no obligation to update or revise these statements in light of future developments.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the Company’s extensive research and development initiatives, the Company’s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Throughout this prospectus,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(as amended, the “Business Combination Registration Statement”) with the SEC. On June 18, 2025, the Business Combination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(159,915,641) or 8.129%.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Innovation and Future Growth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market leadership is supported by continuous innovation in our Dot Cloud, our inventions in IoT data collection and our advances in applying AI to our customer problem sets. We will continuously invest in adding new applications and methods to our solutions. As such, spending on research and development will always be an important part of our strategy.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However, the driving force that will fuel our company is market growth. Our recent pivot to move most of our spending to Sales and Marketing shows a commitment to our go-to-market strategy. We recognize the need to increase adoption and expand brand awareness as we increase market share.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Adding additional compliance and oversight resources as we grow, and especially as we adapt to operating as a public entity, is a natural and essential step. In addition, our small operations team will continue to grow as the demand increases from our maturing sales pipeline.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enables data collection and provides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revenues are primarily related to the delivery of hardware products such as bridges, labels and gateways to customers. We also provide feasibility study reports to customers seeking to gain insight into how data driven tracking could improve their business, which is recognized upon acceptance of the feasibility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Overhead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Overhead costs that are not directly attributable to a specific functional group are allocated based on relative usage. These costs include expenses related to warehouse lease and cloud hosting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cellular-related costs, third-party cloud infrastructure expenses, customer support costs, warranty charges, employee-related costs directly associated with our customer support and operations, including salaries, employee benefits and share-based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our customers expand and increase the use of our Dot Cloud driven by additional IoT devices and Applications, our cost of goods sold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goods sold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employee benefits and share-based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directly associated with our sales and marketing activities, including salaries, employee benefits and share-based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costs for executive, finance, legal, human resources, facilities, and certain IT personnel, including salaries, employee benefits and share-based compensation, professional fees for external legal, accounting, recruiting and other consulting services, credit losses,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primarily of interest incurred for our short-term bridge loans.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 agreements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the fair value of SAFE agreements represents the unrealized gains or losses resulting from the fluctuations in the estimated fair value of the outstanding SAFE agreements, or reevaluation of updated market conditions and company-specific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 All other transaction costs have been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extinguishment of debt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closing of the Business Combination, a lender provided the Company with a bridge loan in the aggregate principal amount of $2,850,000. Upon the closing of the Business Combination, the lender elected to convert a portion of the outstanding principal, totaling $2,456,500, into shares of the Company’s Common Stock. In connection with this conversion, the Company derecognized the related debt liability, issued shares of Common Stock, and recognized a loss on extinguishment of debt of $6,141,250, representing the excess of the fair value of the shares issued on the closing date over the carrying value of the debt extinguished.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Company assumed certain indebtedness of the SPAC in the principal amount of $1,400,000. A portion of this obligation, totaling $987,045, was subsequently repaid, and the Company recognized a gain on extinguishment of debt of $412,955. As a result of these transactions, the Company recognized a net loss on debt extinguishment of $5,728,295 upon the closing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total revenue, cost of goods sold, gross profit, and gross margin for the years ended December 31, 2025 and 2024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5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40" w:type="dxa"/>
            <w:vAlign w:val="bottom"/>
            <w:gridSpan w:val="5"/>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5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5,804,349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5,631,708</w:t>
            </w: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3,261.7%</w:t>
            </w:r>
          </w:p>
        </w:tc>
        <w:tc>
          <w:tcPr>
            <w:tcW w:w="220" w:type="dxa"/>
            <w:vAlign w:val="bottom"/>
            <w:tcBorders>
              <w:top w:val="single" w:sz="8" w:color="CCEEFF"/>
            </w:tcBorders>
            <w:gridSpan w:val="2"/>
            <w:shd w:val="clear" w:color="auto" w:fill="CCEEFF"/>
          </w:tcPr>
          <w:p>
            <w:pPr>
              <w:spacing w:after="0"/>
              <w:rPr>
                <w:sz w:val="18"/>
                <w:szCs w:val="18"/>
                <w:color w:val="auto"/>
              </w:rPr>
            </w:pP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3,133,139</w:t>
            </w:r>
          </w:p>
        </w:tc>
        <w:tc>
          <w:tcPr>
            <w:tcW w:w="22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43,634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3,089,505</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7,080.5%</w:t>
            </w:r>
          </w:p>
        </w:tc>
      </w:tr>
      <w:tr>
        <w:trPr>
          <w:trHeight w:val="236"/>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2,671,230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2,542,203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by $5.6 million, or 3,261.7%, for the year ended December 31, 2025 compared to the year ended December 31, 2024. The increase in revenue is primarily driven by higher hardware sales. Hardware implementation represents the initial step in a customer’s adoption of our SaaS subscription platform and contributed significantly to the overall growth in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increased by $3.1 million, or 7,080.5%, for the year ended December 31, 2025 compared to the year ended December 31, 2024. The increase was primarily attributable to higher materials costs, direct labor, and related manufacturing expenses associated with the growth in revenue.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gross margin was 46.0% for the year ended December 31, 2025 compared to 74.7% for the year ended December 31, 2024. The decrease in gross margin is primarily attributable to a shift in revenue mix year over year, with a greater proportion of 2025 revenue generated from hardware sales.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2025 and 2024 are summarized as follows:</w:t>
      </w:r>
    </w:p>
    <w:p>
      <w:pPr>
        <w:spacing w:after="0" w:line="22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595,942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70.1%</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$0.6 million, or 70.1%, for the year ended December 31, 2025 compared to the year ended December 31, 2024. The increases are primarily driven by our continued investment in innovation through engagement of software and hardware development contractors.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and marketing expenses for the years ended December 31, 2025 and 2024 are summarized as follows:</w:t>
      </w:r>
    </w:p>
    <w:p>
      <w:pPr>
        <w:spacing w:after="0" w:line="22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3,671,865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2,721,981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949,884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$0.9 million, or 34.9%, for the year ended December 31, 2025 compared to the year ended December 31, 2024. The increase reflects our continued pivot toward the market and was primarily driven by higher spending on digital marketing services and additional modules and users in our customer relationship management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for the years ended December 31, 2025 and 2024 are summarized as follows:</w:t>
      </w:r>
    </w:p>
    <w:p>
      <w:pPr>
        <w:spacing w:after="0" w:line="22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6,764,453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1,563,328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5,201,125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332.7%</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$5.2 million, or 332.7%, for the year ended December 31, 2025 compared to the year ended December 31, 2024. The increases are primarily due to additional labor costs pertaining to the ramp up of the business as well as incremental expenses related to operating as a public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SAFE agreements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tables below summarize the change in the fair value of SAFE agreements and the SAFE agreements activity for the year ended December 31, 2025 and 2024:</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issued for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notes converted into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1"/>
                <w:szCs w:val="21"/>
                <w:color w:val="auto"/>
              </w:rPr>
            </w:pPr>
          </w:p>
        </w:tc>
      </w:tr>
      <w:tr>
        <w:trPr>
          <w:trHeight w:val="234"/>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(17,368,415)</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(14,492,176)</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(2,876,239)</w:t>
            </w:r>
          </w:p>
        </w:tc>
        <w:tc>
          <w:tcPr>
            <w:tcW w:w="2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-156845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5" w:lineRule="exact"/>
        <w:rPr>
          <w:sz w:val="20"/>
          <w:szCs w:val="20"/>
          <w:color w:val="auto"/>
        </w:rPr>
      </w:pPr>
    </w:p>
    <w:p>
      <w:pPr>
        <w:jc w:val="center"/>
        <w:ind w:left="-2239"/>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2239"/>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5715</wp:posOffset>
            </wp:positionV>
            <wp:extent cx="156019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3080"/>
        <w:spacing w:after="0"/>
        <w:tabs>
          <w:tab w:leader="none" w:pos="44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19685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700"/>
        <w:spacing w:after="0"/>
        <w:tabs>
          <w:tab w:leader="none" w:pos="3000" w:val="left"/>
          <w:tab w:leader="none" w:pos="4020" w:val="left"/>
          <w:tab w:leader="none" w:pos="4420" w:val="left"/>
        </w:tabs>
        <w:rPr>
          <w:sz w:val="20"/>
          <w:szCs w:val="20"/>
          <w:color w:val="auto"/>
        </w:rPr>
      </w:pPr>
      <w:r>
        <w:rPr>
          <w:rFonts w:ascii="Times New Roman" w:cs="Times New Roman" w:eastAsia="Times New Roman" w:hAnsi="Times New Roman"/>
          <w:sz w:val="18"/>
          <w:szCs w:val="18"/>
          <w:color w:val="auto"/>
        </w:rPr>
        <w:t>$</w:t>
        <w:tab/>
        <w:t>23,334,626</w:t>
        <w:tab/>
        <w:t>$</w:t>
      </w:r>
      <w:r>
        <w:rPr>
          <w:sz w:val="20"/>
          <w:szCs w:val="20"/>
          <w:color w:val="auto"/>
        </w:rPr>
        <w:tab/>
      </w:r>
      <w:r>
        <w:rPr>
          <w:rFonts w:ascii="Times New Roman" w:cs="Times New Roman" w:eastAsia="Times New Roman" w:hAnsi="Times New Roman"/>
          <w:sz w:val="18"/>
          <w:szCs w:val="18"/>
          <w:color w:val="auto"/>
        </w:rPr>
        <w:t>4,602,950</w:t>
      </w:r>
    </w:p>
    <w:p>
      <w:pPr>
        <w:spacing w:after="0" w:line="27"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18"/>
          <w:szCs w:val="18"/>
          <w:color w:val="auto"/>
        </w:rPr>
        <w:t>23,752</w:t>
      </w:r>
      <w:r>
        <w:rPr>
          <w:sz w:val="20"/>
          <w:szCs w:val="20"/>
          <w:color w:val="auto"/>
        </w:rPr>
        <w:tab/>
      </w:r>
      <w:r>
        <w:rPr>
          <w:rFonts w:ascii="Times New Roman" w:cs="Times New Roman" w:eastAsia="Times New Roman" w:hAnsi="Times New Roman"/>
          <w:sz w:val="18"/>
          <w:szCs w:val="18"/>
          <w:color w:val="auto"/>
        </w:rPr>
        <w:t>4,239,500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5715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3020"/>
        <w:spacing w:after="0"/>
        <w:tabs>
          <w:tab w:leader="none" w:pos="4320" w:val="left"/>
        </w:tabs>
        <w:rPr>
          <w:sz w:val="20"/>
          <w:szCs w:val="20"/>
          <w:color w:val="auto"/>
        </w:rPr>
      </w:pPr>
      <w:r>
        <w:rPr>
          <w:rFonts w:ascii="Times New Roman" w:cs="Times New Roman" w:eastAsia="Times New Roman" w:hAnsi="Times New Roman"/>
          <w:sz w:val="18"/>
          <w:szCs w:val="18"/>
          <w:color w:val="auto"/>
        </w:rPr>
        <w:t>17,368,415</w:t>
      </w:r>
      <w:r>
        <w:rPr>
          <w:sz w:val="20"/>
          <w:szCs w:val="20"/>
          <w:color w:val="auto"/>
        </w:rPr>
        <w:tab/>
      </w:r>
      <w:r>
        <w:rPr>
          <w:rFonts w:ascii="Times New Roman" w:cs="Times New Roman" w:eastAsia="Times New Roman" w:hAnsi="Times New Roman"/>
          <w:sz w:val="18"/>
          <w:szCs w:val="18"/>
          <w:color w:val="auto"/>
        </w:rPr>
        <w:t>14,492,176</w:t>
      </w:r>
    </w:p>
    <w:p>
      <w:pPr>
        <w:spacing w:after="0" w:line="9" w:lineRule="exact"/>
        <w:rPr>
          <w:sz w:val="20"/>
          <w:szCs w:val="20"/>
          <w:color w:val="auto"/>
        </w:rPr>
      </w:pPr>
    </w:p>
    <w:p>
      <w:pPr>
        <w:ind w:left="2960"/>
        <w:spacing w:after="0"/>
        <w:tabs>
          <w:tab w:leader="none" w:pos="5080" w:val="left"/>
        </w:tabs>
        <w:rPr>
          <w:sz w:val="20"/>
          <w:szCs w:val="20"/>
          <w:color w:val="auto"/>
        </w:rPr>
      </w:pPr>
      <w:r>
        <w:rPr>
          <w:rFonts w:ascii="Times New Roman" w:cs="Times New Roman" w:eastAsia="Times New Roman" w:hAnsi="Times New Roman"/>
          <w:sz w:val="18"/>
          <w:szCs w:val="18"/>
          <w:color w:val="auto"/>
        </w:rPr>
        <w:t>(40,726,793)</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14605</wp:posOffset>
            </wp:positionV>
            <wp:extent cx="713232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8" w:lineRule="exact"/>
        <w:rPr>
          <w:sz w:val="20"/>
          <w:szCs w:val="20"/>
          <w:color w:val="auto"/>
        </w:rPr>
      </w:pPr>
    </w:p>
    <w:p>
      <w:pPr>
        <w:jc w:val="both"/>
        <w:ind w:left="2700"/>
        <w:spacing w:after="0"/>
        <w:tabs>
          <w:tab w:leader="none" w:pos="3740" w:val="left"/>
          <w:tab w:leader="none" w:pos="4020" w:val="left"/>
          <w:tab w:leader="none" w:pos="4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w:t>
        <w:tab/>
        <w:t>23,334,626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43180</wp:posOffset>
            </wp:positionV>
            <wp:extent cx="156019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333" w:right="339" w:bottom="1440" w:gutter="0" w:footer="0" w:header="0"/>
          <w:type w:val="continuous"/>
        </w:sectPr>
      </w:pPr>
    </w:p>
    <w:p>
      <w:pPr>
        <w:spacing w:after="0" w:line="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the liability balance of SAFE agreements for the year ended December 31, 2025, compared to December 31, 2024, was primarily attributable to the conversion of the SAFE notes into company shares upon the closing of the Business Combination. Upon conversion, the related liabilities were reclassified to equity.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Liquidity is a measure of our ability to access sufficient cash flows to meet the short-term and long-term cash requirements of our business operations. To date, we have funded our operations primarily with proceeds from the issuance of shares of our Common Stock to PIPE investors contemporaneously with the close of the Business Combination, proceeds from bridge loans and other short-term borrowings.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 (“FASB”)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consolidated financial statements are issued.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had cash of $865,624 and $721,032, respectively, deficits in working capital of $1,730,095 and $1,215,988, respectively, and accumulative deficits of $61,451,334 and $24,733,263,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through proceeds from the issuance of common shares to PIPE investors in connection with the closing of the Business Combination, totaling $10,837,643, proceeds from bridge loans and other short-term borrowings. In the future, we expect to finance our cash needs through a combination of equity, debt financings, and improvement of cash from operations derived from selling subscriptions to our platform.</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shares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shares of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it must be bifurcated and accounted for separately as a derivative asset or liability, depending on changes in the underlying stock price relative to the pegged discounted VWAP. The derivative is measured at fair value, with changes in fair value recognized in net income. The fair value of the purchased put option was determined to be de minimis as of December 31, 2025, and therefore was not recorded on the Company’s balance sheet as of that date.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13, December 30, and December 31, 2025, the Company issued purchase notices for the sale of 30,000, 500,000, and 1,000,000 shares, respectively, at settlement prices of $2.62, $0.32, and $0.32 per share, resulting in total cash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October 1, 2026 with a final payment by December 31, 2026. All of the Company’s obligations and payments under the Executive Notes are subordinated to the Company’s obligations under the loan agreement with J.J. Astor &amp; Co.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 for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40" w:type="dxa"/>
            <w:vAlign w:val="bottom"/>
            <w:tcBorders>
              <w:bottom w:val="single" w:sz="8" w:color="CCEEFF"/>
            </w:tcBorders>
          </w:tcPr>
          <w:p>
            <w:pPr>
              <w:spacing w:after="0"/>
              <w:rPr>
                <w:sz w:val="21"/>
                <w:szCs w:val="21"/>
                <w:color w:val="auto"/>
              </w:rPr>
            </w:pPr>
          </w:p>
        </w:tc>
        <w:tc>
          <w:tcPr>
            <w:tcW w:w="44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(13,250,533)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(3,290,008)</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(1,829,739)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(834,220)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15,224,864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4,239,500</w:t>
            </w:r>
          </w:p>
        </w:tc>
      </w:tr>
      <w:tr>
        <w:trPr>
          <w:trHeight w:val="655"/>
        </w:trPr>
        <w:tc>
          <w:tcPr>
            <w:tcW w:w="4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was $13.3 million for the year ended December 31, 2025. This consisted of a net loss of $36.7 million, adjusted for non-cash charges of $24.4 million and net changes in operating assets and liabilities of $1.0 million. The non-cash charges were primarily driven by a $17.4 million change in the fair value of SAFE notes and a $5.7 million loss on debt extinguishment. Changes in operating assets and liabilities were primarily attributable to increases in accounts receivable of $3.6 million and inventory of $1.4 million, partially offset by increases in accounts payable of $3.4 million and accrued expenses of $1.8 million.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$3.3 million for the year ended December 31, 2024. This consisted of a net loss of $21.5 million, adjusted for non-cash charges of approximately $14.7 million and net changes in operating assets and liabilities of approximately $3.5 million. Non-cash charges were primarily driven by a $14.5 million change in the fair value of SAFE notes. Changes in operating assets and liabilities were primarily attributable to an increase in deferred revenue of $2.7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$1.8 million for the year ended December 31, 2025, which consisted of capital expenditures for internal-use software development costs of $1.2 million and equipment purchases of $0.6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$0.8 million for the year ended December 31, 2024, which consisted of capital expenditures for internal-use software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$15.2 million for the year ended December 31, 2025. This consisted primarily of proceeds from PIPE investments of $10.8 million and proceeds from the trust account of $5.6 million, as well as borrowings from short-term loans of $1.8 million, and bridge loans of $2.9 million. These inflows were partially offset by repayments of bridge and short-term loans totaling $1.4 million and the purchase of Common Stock of $5.0 million.</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$4.2 million for the year ended December 31, 2024, which consisted of proceeds from issuance of SAFE agreements for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estimated future obligations consist of leases and non-cancelable purchase commitments as of December 31, 2025. For additional discussion on our leases and other commitments, refer to Note 13 - Leases and Note 17 - Commitments and Contingencies to our consolidated financial statements for the year ended December 31, 2025 included elsewhere 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consolidated financial statements, we believe that the following accounting policies are the most critical to fully understanding and evaluating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SAFE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FASB ASC 815–40, Contracts in Entity’s Own Equity, the Company determined the SAFE agreements are freestanding financial instruments and, accordingly, are classified as “liabilities” in the accompanying consolidated balance sheets. The SAFE agreements are carried at estimated fair value determined by the Company using a probability weighted expected return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Convertible Debt</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convertible debt instruments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other applicable authoritative guidance. Management evaluates the terms of each instrument to 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Warrants and Embedded Derivatives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and therefore require separation from the host contract. The embedded call option permits the Company, upon a change in control, to call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warrants issued in connection with the short-term loan are accounted for as a separate derivative liability. The warrants are measured at fair value at each reporting date, and changes in fair value are recognized in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Business Combination</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transaction was accounted for as a reverse recapitalization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Although ShoulderUp was the legal acquirer in the transaction, the Company was determined to be the accounting acquirer based on the evaluation of the relevant accounting guidance. Accordingly, the transaction was treated 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promised goods or services are transferred to customers in an amount that reflects the consideration to which we expect to be entitled in exchange for those goods or services.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recognizes revenue from the sale 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contracts with customers include various performance obligations which are satisfied at a point in time or over time. In reaching this conclusion, we considered the context of the contract and the nature of our promises to provide the customers with products and services.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product performance obligations are satisfied at a point in time, as our customers do not consume the benefits until the products are delivered. Accordingly, the consideration related to the performance obligations are recognized on when control of the products are transferred to the customer which is upon acceptance.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involved in revenue recognition pertain to determination of the stand-alone selling price. Management considered the data inputs for the stand-alone selling price and determined that the adjusted market assessment approach provided the best estimate of the stand-alone selling price and the total products and services to be delivered over the term of the contract. The estimates applied have been reasonable in the past and the likelihood of change in estimate to impact the stand-alone selling price is remote.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Company received a $2,000,000 payment from the reseller for a five-year exclusivity right, including four successive one year automatic renewal periods, granting the reseller exclusive rights to distribute the Company’s products to its customers.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 40, </w:t>
      </w:r>
      <w:r>
        <w:rPr>
          <w:rFonts w:ascii="Times New Roman" w:cs="Times New Roman" w:eastAsia="Times New Roman" w:hAnsi="Times New Roman"/>
          <w:sz w:val="18"/>
          <w:szCs w:val="18"/>
          <w:i w:val="1"/>
          <w:iCs w:val="1"/>
          <w:color w:val="auto"/>
        </w:rPr>
        <w:t>Intangibles Goodwill and Other Internal Use Software</w:t>
      </w:r>
      <w:r>
        <w:rPr>
          <w:rFonts w:ascii="Times New Roman" w:cs="Times New Roman" w:eastAsia="Times New Roman" w:hAnsi="Times New Roman"/>
          <w:sz w:val="18"/>
          <w:szCs w:val="18"/>
          <w:color w:val="auto"/>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describe the recently issued accounting pronouncements that apply in Note 2 of the consolidated financial statements as of and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Company</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CID Holdco offers a SAAS platform for customer subscriptions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Real-time asset tracking services allow customers to improve many workflows, such as: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inspection - Inspecting a vehicle as it is approaching to know when a high value asset is on board before it leaves a secure area allows operators to respond, halt the vehicle, and investigate. Customer security will know what is leaving and whether it is scheduled to leave. This capability can be used at gates, docks or storage locations to automatically grant access and record movements for accountability.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tracking - CID Holdco provides a unique capability to dynamically sweep item inventory with roving, inexpensive readers powered by batteries. Due to their low cost and wireless capability, these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Tracking items and/or personnel - Using RF tags or access cards, CID Holdco systems automatically process inbound and outbound personnel or items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collision avoidance -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short, CID Holdco brings a next generation capability to know when, where and why assets move in the enterprise, providing an opportunity to apply AI to complex edge processes.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robust pipeline of software development projects underway. The costs associated with these projects are largely the cost of human resources associated with the project, with some additional minor costs related to use costs for infrastructure, tools and platforms that support the development. The time of team members spent on the projects are pro-rated against salary levels and attributed to the module capitalization. Time is spent on development, test, compliance and commercialization activities to prepare modules for sale to the general market.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generates its revenue from a limited number of customers, resulting in customer concentration. A majority of revenue is derived from a small group of customers, with one customer representing a significant portion of total revenue. The Company’s accounts receivable balances are also concentrated among a limited number of customers, with a significant portion attributable to one or more primary customers. The Company monitors the credit worthiness of its customers on an ongoing basis and believes its credit risk is limited due to the financial strength and payment history of these customers. Management does not expect material losses from these concentrations and has not recorded an allowance for credit losses, as all receivables are considered highly collectible.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grow revenue depends on enhancing our Dot Cloud SaaS platform and introducing new solutions that meet evolving customer needs and comply with applicable governmental regulations. The development and launch of new offerings are complex and subject to risks, including regulatory changes, competitive pressures, technology integration challenges, and market acceptance. Our business is also subject to existing laws and regulations that govern data privacy, security, and industry-specific compliance requirements, which may increase operating costs, limit how our solutions are delivered, or require ongoing modifications to our platform. Failure to comply with current or future governmental regulations could adversely affect our operations, reputation, and financial results.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customers that need to know when, where and why assets and personnel are moving, and to have assurance that orders are progressing, CID Holdco provides a variety of solutions across many use cases, including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Management and Control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Mining and Construction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Military Operations and Logistics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Airport and Aviation Ground Support Management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CID Holdco solutions allow customers to create a connected network of vehicles, ground support equipment (“GSE”) and personnel with more control over the coordination of airport services.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Forklift Collision Warning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Logistics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RTLS healthcare system includes a comprehensive digital pattern of human and asset movement and their use and interaction, so that customers get actionable insights to improve patient experience and outcome while optimizing internal logistics.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Yard Management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Artificial Intelligence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spacing w:after="0" w:line="176" w:lineRule="exact"/>
        <w:rPr>
          <w:sz w:val="20"/>
          <w:szCs w:val="20"/>
          <w:color w:val="auto"/>
        </w:rPr>
      </w:pPr>
    </w:p>
    <w:p>
      <w:pPr>
        <w:jc w:val="both"/>
        <w:ind w:left="66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AI Cameras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Rules Engine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AI to implement Enhanced Workflows.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68 full-time equivalent employees. These resources are organized into five major departments, each headed by an executive: Sales, Marketing, Customer Success, Research &amp; Development and General &amp; Administrative which include manufacturing and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8"/>
          <w:szCs w:val="18"/>
          <w:color w:val="auto"/>
        </w:rPr>
        <w:t>The Company is based in the United States with four existing or planned locations of activity: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Las Vegas, Nevada — hosts our Go-To-Market team including our Sales, Marketing and Professional Services leadership, a Western Experience Center for demonstrations as well as customer and channel training facilities.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Bethesda, Maryland — hosts our General &amp; Administration leadership team, an Eastern Experience Center for demonstrations as well as customer and channel training facilities.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Manati, Puerto Rico — the site of our hardware manufacturing, a small factory producing selected tags and bridges that are specific to the unique tracking system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Leaders in Tracking and AutoID Systems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Zebra — Zebra Technologies Corporation is a mobile computing company based in San Francisco, California, specializing in technology used to sense, analyze, and act 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Samsara — Samsara Inc. is an IoT company headquartered in San Francisco, California, that provides software and insights for physical operations. The company 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HID Global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Niche or Regional Tracking System Players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is crowded with small players as is typical in periods of generational transition. Many are attempting to apply IoT technology in a specific way or focused on a particular vertical application. They include US based companies, such as Link Labs, Cognosos, True Spot, Radiant RFID, Savi, and Inpixion; and international companies such as Blueiot, Dusun, Mokosmart, Milesight, Digital Matter, Abeeway, Kontakt.io, Ubisense, Sensolus, and Litum. Combined, these smaller players represent approximately $350M in annual sales. Most are using a transactional model, selling software and hardware bundled into a solution with a one-time fee, often with a maintenance fee for each year of operation.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are industry specific players, particularly in Health Care, where the requirements can be quite specific and the use cases focused. Competition is from all over the world, with many of the most important competitors centered in the US market. Many of the devices designed by these players are made in China via contractors. There is also a wide technology spread. Some specialize in precise location services using UWB. Some are strictly BLE or LoRA shops. There are also passive RFID and barcode system companies active in the market. Their legacy footprint represents one of the best market opportunities to convert.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Automation and Sensor Companies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Large automation players such as Honeywell, Siemens, Rockwell Automation, Mitsubishi, Panasonic, Omron, Sick, Schneider Electric 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is more often seen as complementary to the solutions of the Company. Their channel partners are prime targets to take on the solution set provided by the Company to augment existing offerings from their primary line card.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ERP, MES or WMS Players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group includes Korber, SAP, Microsoft, Oracle, Blue Yonder, Infor, and Manhattan Associates. They can compete with the Company in some applications but are most often commercial partners in the solution. The Company will act as an edge module that is integrated into their platform for enhanced visibility, safety, assurance, or execution in the system.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and Integrator Vendor Consultants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IBM, Cisco, Juniper Networks, JMA, Sierra Wireless, Dell, Arista, HPE have some extensive infrastructure and software of their own to enhance systems 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Workflow Automation, Integration &amp; AI Vendor Consultants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 IoT 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Factors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competitive factors in the markets in which we operate include:</w:t>
      </w:r>
    </w:p>
    <w:p>
      <w:pPr>
        <w:spacing w:after="0" w:line="221" w:lineRule="exact"/>
        <w:rPr>
          <w:sz w:val="20"/>
          <w:szCs w:val="20"/>
          <w:color w:val="auto"/>
        </w:rPr>
      </w:pPr>
    </w:p>
    <w:p>
      <w:pPr>
        <w:jc w:val="both"/>
        <w:ind w:left="660" w:hanging="328"/>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Implementation </w:t>
      </w:r>
      <w:r>
        <w:rPr>
          <w:rFonts w:ascii="Times New Roman" w:cs="Times New Roman" w:eastAsia="Times New Roman" w:hAnsi="Times New Roman"/>
          <w:sz w:val="18"/>
          <w:szCs w:val="18"/>
          <w:color w:val="auto"/>
        </w:rPr>
        <w:t>— while this is an emerging area, we are investing heavily in this battleground feature. We believe that soon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aspect of the buying decision will be the extent to which AI has been implemented to simplify the complex logistics processes and intervene when needed to enable greater enterprise performance.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TCO (Total Cost of Ownership) </w:t>
      </w:r>
      <w:r>
        <w:rPr>
          <w:rFonts w:ascii="Times New Roman" w:cs="Times New Roman" w:eastAsia="Times New Roman" w:hAnsi="Times New Roman"/>
          <w:sz w:val="18"/>
          <w:szCs w:val="18"/>
          <w:color w:val="auto"/>
        </w:rPr>
        <w:t>— Our systems are intended to run for decades in an enterprise, with costs over that time playing a key role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buying decision. The ability for the customer to extend the system easily, not be subject to custom programming charges, avoid proprietary devices and keep pace with data structure and security changes is an important competitive advantage.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ROI (Return on Investment) </w:t>
      </w:r>
      <w:r>
        <w:rPr>
          <w:rFonts w:ascii="Times New Roman" w:cs="Times New Roman" w:eastAsia="Times New Roman" w:hAnsi="Times New Roman"/>
          <w:sz w:val="18"/>
          <w:szCs w:val="18"/>
          <w:color w:val="auto"/>
        </w:rPr>
        <w:t>— Our value to the enterprise vs the benefit is part of every buy decision. This includes the total cost of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Accuracy and Reliability </w:t>
      </w:r>
      <w:r>
        <w:rPr>
          <w:rFonts w:ascii="Times New Roman" w:cs="Times New Roman" w:eastAsia="Times New Roman" w:hAnsi="Times New Roman"/>
          <w:sz w:val="18"/>
          <w:szCs w:val="18"/>
          <w:color w:val="auto"/>
        </w:rPr>
        <w:t>— many competitors advertise pinpoint location accuracy to win customers. However, most processes do not need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 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2" w:name="page73"/>
    <w:bookmarkEnd w:id="72"/>
    <w:p>
      <w:pPr>
        <w:jc w:val="both"/>
        <w:ind w:left="660" w:hanging="328"/>
        <w:spacing w:after="0" w:line="26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Services </w:t>
      </w:r>
      <w:r>
        <w:rPr>
          <w:rFonts w:ascii="Times New Roman" w:cs="Times New Roman" w:eastAsia="Times New Roman" w:hAnsi="Times New Roman"/>
          <w:sz w:val="18"/>
          <w:szCs w:val="18"/>
          <w:color w:val="auto"/>
        </w:rPr>
        <w:t>— The processes that we impact are critical to the functioning of an enterprise. To commit to this new technology, users need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Friendly country sourcing </w:t>
      </w:r>
      <w:r>
        <w:rPr>
          <w:rFonts w:ascii="Times New Roman" w:cs="Times New Roman" w:eastAsia="Times New Roman" w:hAnsi="Times New Roman"/>
          <w:sz w:val="18"/>
          <w:szCs w:val="18"/>
          <w:color w:val="auto"/>
        </w:rPr>
        <w:t>— So many competitors rely on Chinese or Taiwan sourcing, excluding them from consideration for 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or Military contracts and making them less desirable for private sector selection. Sourcing from DFAR compliant countries and making our core components in the USA positions us particularly well for the crucial US market.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Focused Customer Acquisition</w:t>
      </w:r>
      <w:r>
        <w:rPr>
          <w:rFonts w:ascii="Times New Roman" w:cs="Times New Roman" w:eastAsia="Times New Roman" w:hAnsi="Times New Roman"/>
          <w:sz w:val="18"/>
          <w:szCs w:val="18"/>
          <w:color w:val="auto"/>
        </w:rPr>
        <w:t>: With a rapidly digitizing market, we believe that there is a significant opportunity to continue to grow our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as we promote our capabilities. We plan to continually invest in our sales and marketing coverage, including channel partners, and leverage our go-to-market model to continue acquiring new customers.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Expand Within Our Existing Customer Base</w:t>
      </w:r>
      <w:r>
        <w:rPr>
          <w:rFonts w:ascii="Times New Roman" w:cs="Times New Roman" w:eastAsia="Times New Roman" w:hAnsi="Times New Roman"/>
          <w:sz w:val="18"/>
          <w:szCs w:val="18"/>
          <w:color w:val="auto"/>
        </w:rPr>
        <w:t>. Once we solve the first problem for our customers, we see a significant opportunity to expand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adoption within that same account. This includes increasing the number of physical assets enrolled as well as expanding across our customers’ multiple sites and divisions.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Customer-centric Innovation and Rapid Product Releases</w:t>
      </w:r>
      <w:r>
        <w:rPr>
          <w:rFonts w:ascii="Times New Roman" w:cs="Times New Roman" w:eastAsia="Times New Roman" w:hAnsi="Times New Roman"/>
          <w:sz w:val="18"/>
          <w:szCs w:val="18"/>
          <w:color w:val="auto"/>
        </w:rPr>
        <w:t>. Our architecture was designed as a platform from the beginning to enable fast turns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parallel 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Channel development</w:t>
      </w:r>
      <w:r>
        <w:rPr>
          <w:rFonts w:ascii="Times New Roman" w:cs="Times New Roman" w:eastAsia="Times New Roman" w:hAnsi="Times New Roman"/>
          <w:sz w:val="18"/>
          <w:szCs w:val="18"/>
          <w:color w:val="auto"/>
        </w:rPr>
        <w:t>. Our vision is to be a channel focused company. Rapid acquisition of targeted channel partners in all of the global markets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 primary metric. Our unique technology, very attractive commercial model, as well as the training and support capability we offer will drive channel acquisition.</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Expand Technology Partnerships and Integrations</w:t>
      </w:r>
      <w:r>
        <w:rPr>
          <w:rFonts w:ascii="Times New Roman" w:cs="Times New Roman" w:eastAsia="Times New Roman" w:hAnsi="Times New Roman"/>
          <w:sz w:val="18"/>
          <w:szCs w:val="18"/>
          <w:color w:val="auto"/>
        </w:rPr>
        <w:t>. Our use of COTS devices and integration with existing software for many of our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us useful 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Expand Internationally</w:t>
      </w:r>
      <w:r>
        <w:rPr>
          <w:rFonts w:ascii="Times New Roman" w:cs="Times New Roman" w:eastAsia="Times New Roman" w:hAnsi="Times New Roman"/>
          <w:sz w:val="18"/>
          <w:szCs w:val="18"/>
          <w:color w:val="auto"/>
        </w:rPr>
        <w:t>. A key focus of our company is to continue to expand our global reach. In the short term we are already expanding channel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 and expect to form a sales company in Southern Germany or Northern Switzerland next year. To support our offshore engineering team, add customer support capability and some sales opportunities already emerging in the region, we also plan to form an Indian subsidiary in 2026. Note that our product platforms were designed from the outset to meet international standards and regulations.</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Monetizing data streams</w:t>
      </w:r>
      <w:r>
        <w:rPr>
          <w:rFonts w:ascii="Times New Roman" w:cs="Times New Roman" w:eastAsia="Times New Roman" w:hAnsi="Times New Roman"/>
          <w:sz w:val="18"/>
          <w:szCs w:val="18"/>
          <w:color w:val="auto"/>
        </w:rPr>
        <w:t>. As a data producer, the Company has access to valuable data that is of interest to industry analysts, financial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providers, Equipment OEMs, regulatory bodies and many other stakeholders. Current EULAs and contracts allow the Company to use non-PII data for any purpose, including for sale. This emerging opportunity to monetize the data streams can be significant in the future.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Acquisitions</w:t>
      </w:r>
      <w:r>
        <w:rPr>
          <w:rFonts w:ascii="Times New Roman" w:cs="Times New Roman" w:eastAsia="Times New Roman" w:hAnsi="Times New Roman"/>
          <w:sz w:val="18"/>
          <w:szCs w:val="18"/>
          <w:color w:val="auto"/>
        </w:rPr>
        <w:t>. Note that it is likely that we will also look to accelerate growth by acquisition. Potential targets are being evaluated based on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they can help us in one or more of the strategies’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Supply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agreements in place with Wiliot, the company which provides our chip and passive labels for tracking and Arshon Technology Inc.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 order chips from Wiliot and from Identiv. Identiv is recognized as one of the world’s largest producers of specialty RFID tags, inlays and labels. In fact, Identiv is the main supplier for Wiliot.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agreement (the “Arshon Agreement”) between CID Holdco, Inc. (Client) and Arshon (Contractor) outlines several material terms, including the rights and obligations of both parties, as well as termination and payment provisions. Arshon is responsible for providing services such as designing and developing Perth PCBs, including schematics, prototypes, production boards, and test jigs. Deliverables include Gerber files, BOM, schematics, and PCBs. These services are to be performed independently, with Arshon taking responsibility for reporting compensation as income and complying with all applicable laws. We are obligated to provide payments as outlined in the Statement of Work (SOW) and reimburse pre-approved travel and related expenses. Intellectual property rights for all deliverables created during the performance of services are assigned to the Company, and Arshon is required to maintain confidentiality of all information we provide, and to return or destroy such information upon termination of the Arshon Agreement.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Arshon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Arshon is required to return all work products and confidential information, while we must pay any accrued but unpaid fees.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material terms of the agreement (the “Wiliot Agreement”) between Wiliot Ltd. and CID Holdco Inc. dba Dot AI Corporation include key rights, obligations, termination provisions, and payment terms. Under the Wiliot Agreement, Wiliot grants the Company non-exclusive rights to promote, market, and resell Wiliot’s IoT Pixels, Hardware, and Cloud subscriptions as part of an Integrated Solution. The Company also has the right to provide professional services related to Wiliot’s products. The Company is required to maintain certification and compliance with integration requirements while ensuring customer relationships align with the agreement’s terms. Intellectual property rights remain with Wiliot for its products and solutions, while the Company retains rights to its own developments based on Wiliot’s intellectual property with proper attribution.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Wiliot Agreement can be terminated under several conditions, including mutual convenience with 90 days’ notice, material breach not remedied within 30 days, insolvency, or bankruptcy. Upon termination, the Company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Wiliot Agreement emphasizes a collaborative yet clearly delineated partnership, protecting both parties’ intellectual property and operational interests.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under the Wiliot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Our manufacturing subsidiary with assembly and test lines in Puerto Rico is managed on site by our COO/CFO.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Assembly &amp;</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EU</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India</w:t>
            </w:r>
          </w:p>
        </w:tc>
      </w:tr>
      <w:tr>
        <w:trPr>
          <w:trHeight w:val="245"/>
        </w:trPr>
        <w:tc>
          <w:tcPr>
            <w:tcW w:w="194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Admin</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Corporate HQ</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Systems Lab</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Test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Subsidiary</w:t>
            </w:r>
          </w:p>
        </w:tc>
      </w:tr>
      <w:tr>
        <w:trPr>
          <w:trHeight w:val="198"/>
        </w:trPr>
        <w:tc>
          <w:tcPr>
            <w:tcW w:w="194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Location</w:t>
            </w: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Bethesda, Maryland</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Las Vegas,</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Worcester,</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Manati,</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Germany or</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Bangalore, India</w:t>
            </w:r>
          </w:p>
        </w:tc>
      </w:tr>
      <w:tr>
        <w:trPr>
          <w:trHeight w:val="234"/>
        </w:trPr>
        <w:tc>
          <w:tcPr>
            <w:tcW w:w="19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Nevada</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Massachusetts</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Puerto Rico</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Switzerland</w:t>
            </w:r>
          </w:p>
        </w:tc>
        <w:tc>
          <w:tcPr>
            <w:tcW w:w="1460" w:type="dxa"/>
            <w:vAlign w:val="bottom"/>
            <w:shd w:val="clear" w:color="auto" w:fill="CCEEFF"/>
          </w:tcPr>
          <w:p>
            <w:pPr>
              <w:spacing w:after="0"/>
              <w:rPr>
                <w:sz w:val="20"/>
                <w:szCs w:val="20"/>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Size (sq ft)</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16,000</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63 months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annual sub-lease</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monthly lease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monthly lease</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TBD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Lessor</w:t>
            </w:r>
          </w:p>
        </w:tc>
        <w:tc>
          <w:tcPr>
            <w:tcW w:w="15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IN-REL 7500 OGR,</w:t>
            </w:r>
          </w:p>
        </w:tc>
        <w:tc>
          <w:tcPr>
            <w:tcW w:w="15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POPE</w:t>
            </w:r>
          </w:p>
        </w:tc>
        <w:tc>
          <w:tcPr>
            <w:tcW w:w="15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18 Phoenix Park</w:t>
            </w:r>
          </w:p>
        </w:tc>
        <w:tc>
          <w:tcPr>
            <w:tcW w:w="15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Cruce Davila</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194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LLC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TECHNOLOGIES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LLC</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Development LLC</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Monthly Cost</w:t>
            </w:r>
          </w:p>
        </w:tc>
        <w:tc>
          <w:tcPr>
            <w:tcW w:w="14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$7,263</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$9,333</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own any real property. We believe that these facilities are suitable to meet our needs in the short term, and that, when needed, suitable additional or alternative space will be available to accommodate any expansion of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 Intellectual Property” for a discussion of risks related to our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a wide variety of laws and regulations in the United States and other jurisdictions and devote considerable resources to compliance with these laws and regulations.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 Risks Related to Government Regulation” for additional information about the laws and regulations to which we are subject and the risks to our business associated with such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and Privacy Program</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dedicated to protecting and securing the data of our customers as part of our overall data protection and privacy program. 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 Risks Related to Government Regulation” for additional information about the laws and regulations to which we are subject and the risks to our business associated with such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been made aware of a complaint (the “Complaint”) filed by William Reny (“Plaintiff”), a greater than five percent (5%) holder of the outstanding Common Stock against SEE ID, Charles Maddox and Ed Nabrotzky, each a director of SEE ID, and Does 1-20 (collectively with SEE ID, Mr. Maddox and Mr. Nabrotzky, the “Defendants”), in the District Court of Clark County, Nevada.</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 The Company and the Defendants continue to vigorously defend the action and are pursuing available legal remedies, including seeking dismissal of claims. Except as required by law, the Company does not intend to comment further on this matter.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the closing of the PIPE Financing. The PIPE Financing closed substantially concurrently with the closing of the Business Combination (the “Closing”).</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and in connection with the special meeting to approve the Business Combination, holders of 2,000 shares of SUAC’s Class A Common Stock sold in its initial public offering exercised their right to redeem those shares for cash at a price of approximately $11.00 per share, for an aggregate of approximately $22,000. The per share redemption price of approximately $11.00 for public shareholders electing redemption was paid out of SUAC’s trust account, which after taking into account the redemptions, had a balance immediately prior to the Closing of approximately $5,577,304.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Circle Equity Line of Credit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Closing, the Company entered into a Share Purchase Agreement (the “ELOC Agreement”) with New Circle Principal Investments LLC, a Delaware limited liability company (“New Circle”), pursuant to which New Circle has committed to purchase, subject to certain limitations, up to $50 million shares of the Company’s Common Stock. In connection with the ELOC Agreement, the Company also entered into a registration rights agreement with New Circle and previously filed a separate resale registration statement covering up to 5,524,624 shares issuable under the ELOC Agreement.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at our option, direct New Circle to purchase shares from time to time, and we are under no obligation to sell any securities under the ELOC Agreement. Issuances under the ELOC Agreement remain subject to Nasdaq limitations, including a 19.99% cap absent stockholder approval or a minimum price exception, and a 4.99% beneficial ownership cap (which New Circle may elect to increase to 9.99% on 61 days’ notice). New Circle has agreed not to engage in short sales or establish a net short position in our Common Stock during the term of the ELOC Agreement.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future use of the ELOC Agreement will depend on market conditions, our trading price and volume, and our liquidity needs, and could be dilutive to existing stockholders and place downward pressure on our stock price. Only 5,524,624 shares are currently registered for resale; we may need to register additional shares to access the full $50 million capacity. The ELOC Agreement automatically terminates upon the earlier of July 18, 2028 or aggregate purchases of $50 million, and may be terminated earlier by us in accordance with its terms. We currently expect that any proceeds from sales under the ELOC Agreement will be used for working capital and general corporate purposes, including the repayment of debt.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13, December 30, and December 31, 2025, the Company delivered purchase notices for 30,000, 500,000, and 1,000,000 shares at settlement prices of $2.62, $0.32, and $0.32 per share, respectively, resulting in gross cash proceeds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Convertible Loan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5, 2025, we entered into a Loan Agreement (the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 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$226,515.</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Lender Notes and the exercise of the Lender Warrants are subject to applicable Nasdaq rules. We also entered into a registration rights agreement requiring us to file a resale shelf registration statement covering up to 100% of the shares issuable upon conversion of the Initial Note and any Additional Notes. Any Lender Note is convertible, in whole or in part, only after an Event of Default and the effectiveness of such resale registration statement, at a conversion price equal to 80% of the average of the four lowest volume-weighted average prices of our Common Stock on its principal market over the 20 trading days immediately prior to the Lender’s notice of conversion, and any conversion is also subject to the 4.99% beneficial ownership cap.</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2"/>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439"/>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1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Borders>
              <w:top w:val="single" w:sz="8" w:color="CCEEFF"/>
            </w:tcBorders>
            <w:shd w:val="clear" w:color="auto" w:fill="CCEEFF"/>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Director (Class III)</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8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David Carlson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Saling</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III)</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biographical information about each of the individuals named in the tables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Ed Nabrotzky, age 59, </w:t>
      </w:r>
      <w:r>
        <w:rPr>
          <w:rFonts w:ascii="Times New Roman" w:cs="Times New Roman" w:eastAsia="Times New Roman" w:hAnsi="Times New Roman"/>
          <w:sz w:val="18"/>
          <w:szCs w:val="18"/>
          <w:color w:val="auto"/>
        </w:rPr>
        <w:t>has served as a director of CID Holdco since 2025 and as Chief Executive Officer of the Company since its formation in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Nabrotzky is a co-founder of the Company. Prior to co-founding the Company, Mr. Nabrotzky served as President of Litum from January 2022 to August 2022. From December 2019 to June 2022, he served as an Adjunct Faculty Member at the Simon Business School, University of Rochester. From January 2019 to October 2021, he served as Director, Sales &amp; Strategy at Panasonic North America. From September 2011 to January 2019, he served as Chief Solutions Officer at Omni-ID. Earlier in his career, Mr. Nabrotzky served as President of Dynamic e-Horizons Inc. from August 2009 to March 2012, held product marketing leadership roles at Molex from January 2006 to December 2009, and served as Vice President &amp; General Manager at Woodhead Industries Inc. from April 1998 to December 2006. Mr. Nabrotzky has more than 25 years of experience in technology development, industrial communications, software systems and executive leadership. He has held executive leadership roles in both public and private companies with responsibility spanning sales, marketing, operations, engineering and strategy. Mr. Nabrotzky is listed as an inventor on five patents in related technologies and has international management experience across Europe, India, Singapore, China and Japan. He has also served on executive teams involved in four prior successful acquisitions in the industrial communications and software systems sectors. Mr. Nabrotzky holds a B. Sc. in Computer Science from Western University and an MBA from the Ivey Business School at Western University. He is currently a Doctoral Candidate in Technology Management at Indiana State University and has completed executive post-graduate studies at the Center for Creative Leadership, Harvard and MIT.</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Charlie Maddox, age 44, </w:t>
      </w:r>
      <w:r>
        <w:rPr>
          <w:rFonts w:ascii="Times New Roman" w:cs="Times New Roman" w:eastAsia="Times New Roman" w:hAnsi="Times New Roman"/>
          <w:sz w:val="18"/>
          <w:szCs w:val="18"/>
          <w:color w:val="auto"/>
        </w:rPr>
        <w:t>has served as the Company’s Chief Operating and Chief Financial Officer since April 2024. He previously was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Chief Operating Officer since the Company’s formation in 2020 to April 2024. Mr. Maddox is a co-founder of the Company. Since co-founding the Company, Mr. Maddox has been responsible for key aspects of the Company’s operations, finance, capital formation, and growth strategy including operational execution, manufacturing strategy, supply chain development, and other strategic initiatives. Since inception, Mr. Maddox has played a significant role in the Company’s financing activities, including helping raise more than $8 million in seed capital for the Company. Prior to co-founding the Company, Mr. Maddox was the co-founder and Chief Executive Officer of Laudan LLC, a logistics company which he sold in a private transaction. Mr. Maddox has also co-founded other businesses in the construction and information technology sectors. Before his business career, Mr. Maddox served in the United States Air Force, where he was a combat veteran, instructor pilot and operations leader. During his military service, he deployed five times in support of Operation Iraqi Freedom and Operation Enduring Freedom and served in leadership roles involving training, flight operations and worldwide mission execution. Among other responsibilities, he managed continuous global operations involving 51 aircraft representing approximately $11.12 billion in assets and directed more than 1,100 international missions. Mr. Maddox holds an MBA from Worcester Polytechnic Institute and a B.S. in Computer Science from Florida State University.</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Vijayan Nambiar, age 48, </w:t>
      </w:r>
      <w:r>
        <w:rPr>
          <w:rFonts w:ascii="Times New Roman" w:cs="Times New Roman" w:eastAsia="Times New Roman" w:hAnsi="Times New Roman"/>
          <w:sz w:val="18"/>
          <w:szCs w:val="18"/>
          <w:color w:val="auto"/>
        </w:rPr>
        <w:t>has served as Chief Technology Officer of CID Holdco since May 2022. Prior to joining the Company, Mr. Nambiar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Engineering Manager with Verizon since 2018. Mr. Nambiar brings over 24 years of experience in leading product development from conception to field rollout for a variety of next-gen embedded real-time hardware &amp; cloud solutions. Mr.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 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Jeff Saling, age 68, </w:t>
      </w:r>
      <w:r>
        <w:rPr>
          <w:rFonts w:ascii="Times New Roman" w:cs="Times New Roman" w:eastAsia="Times New Roman" w:hAnsi="Times New Roman"/>
          <w:sz w:val="18"/>
          <w:szCs w:val="18"/>
          <w:color w:val="auto"/>
        </w:rPr>
        <w:t>has served as a member of the Board since June 2025. Mr. Saling is a serial entrepreneur, seasoned executive, and prolific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over 30 years of experience in launching, scaling, and exiting startups in the SaaS and cloud domains. He serves as currently the executive director and co-founder of StartUpNV since 2016, Nevada’s non-profit statewide startup accelerator, where he leads the vision, strategy, and operations to support and accelerate the growth of Nevada-based startups. Jeff is also an active angel investor and serves as co-president of Sierra Angels, one of the longest running angel groups in the US since 2013, and a general partner of 1864 Fund, a seed-stage venture capital fund that invests in high-potential startups outside of traditional venture enclaves since 2024.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Janice Bryant Howroyd, age 72, </w:t>
      </w:r>
      <w:r>
        <w:rPr>
          <w:rFonts w:ascii="Times New Roman" w:cs="Times New Roman" w:eastAsia="Times New Roman" w:hAnsi="Times New Roman"/>
          <w:sz w:val="18"/>
          <w:szCs w:val="18"/>
          <w:color w:val="auto"/>
        </w:rPr>
        <w:t>has served as a member of the Board since August 2025. Ms. Howroyd has more than 40 years of experience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Corp.,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David Carlson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DO, MBA, age 66, </w:t>
      </w:r>
      <w:r>
        <w:rPr>
          <w:rFonts w:ascii="Times New Roman" w:cs="Times New Roman" w:eastAsia="Times New Roman" w:hAnsi="Times New Roman"/>
          <w:sz w:val="18"/>
          <w:szCs w:val="18"/>
          <w:color w:val="auto"/>
        </w:rPr>
        <w:t>has served as a member of the Board since June 2025. Dr. Carlson has been the Chief Medical Officer in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 County for Virginia Mason Franciscan Health since 2023. He recently served as a medical director for Seamar Community Health Centers in Pierce and Thurston Counties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Walter Skowronski, age 77, </w:t>
      </w:r>
      <w:r>
        <w:rPr>
          <w:rFonts w:ascii="Times New Roman" w:cs="Times New Roman" w:eastAsia="Times New Roman" w:hAnsi="Times New Roman"/>
          <w:sz w:val="18"/>
          <w:szCs w:val="18"/>
          <w:color w:val="auto"/>
        </w:rPr>
        <w:t>has served as a member of the Board since August 2025. Mr. Skowronski has more than 40 years of experience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of Investor Relations until 1992; and served as the Vice President and Treasurer until 1996. Mr. Skowronski served as Vice President and Treasurer of Lockheed Martin from 1996, upon the merger of Lockheed Corp. and Martin Marietta Corp., until 1999.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Phyllis Newhouse, age 62, </w:t>
      </w:r>
      <w:r>
        <w:rPr>
          <w:rFonts w:ascii="Times New Roman" w:cs="Times New Roman" w:eastAsia="Times New Roman" w:hAnsi="Times New Roman"/>
          <w:sz w:val="18"/>
          <w:szCs w:val="18"/>
          <w:color w:val="auto"/>
        </w:rPr>
        <w:t>has served as a member of the Board since June 2025. Ms. Newhouse previously served as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ShoulderUp Technology Acquisition Corp. Ms. Newhouse is known as a pioneer in 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Our Board currently consists of seven members. The primary responsibilities of our Board are to provide oversight, strategic guidance, counseling and direction to our management. Our Board meets on a regular basis and additionally as required.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is divided into three classes, Class I, Class II and Class III, with members of each class serving staggered three-year terms. Currently,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is divided into the following classes:</w:t>
      </w:r>
    </w:p>
    <w:p>
      <w:pPr>
        <w:spacing w:after="0" w:line="20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Phyllis Newhouse, whose terms will expire at the first annual meeting of stockholders to be held in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Janice Bryant Howroyd and Walter Skowronski whose term will expire at the Company’s second annual meeting of stockholders to be held in 2027;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Edmund Nabrotzky, Dr. David Carlson and Jeff Saling, whose terms will expire at the Company’s third annual meeting of stockholders to be held in 2028.</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may have the effect of delaying or preventing changes in our control or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has an Audit Committee, a Compensation Committee, a Cybersecurity &amp; Technology Committee and a Nominating and Corporate Governance Committee, each of which has the composition and responsibilities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the Company’s independent auditors and determining whether to retain the Company’s existing independent auditors or engage new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engagement of the Company’s independent auditors to perform audit services and any permissible non-audit services;</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internal control policies and procedures, including the responsibilities, budget, staffing and effectiveness of the Company’s internal audit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Company’s independent auditors on the Company’s engagement team as required by law;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Company’s auditors any earnings announcements and other public announcements regarding material developments;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the Company’s annual proxy statement;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major financial risk exposures, including the guidelines and policies to govern the process by which risk assessment and risk management is implemented;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Walter Skowronski, Phyllis Newhouse and Dr. David Carlson, with Walter Skowronski serving as the Audit Committee chair. The Board has affirmatively determined that Walter Skowronski, Phyllis Newhouse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the Company’s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the Company’s executive officers and assessing their performance against these goals and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adoption or amendment of equity and cash incentive plans and approving amendments to such plans to the extent authorized by the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type and amount of compensation to be paid or awarded to the Company’s non-employee board members;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to the extent such authority is delegated by the Board;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for the Company’s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the Company’s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the Board.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Jeff Saling, Janice Bryant Howroyd and Dr. David Carlson, with Jeff Saling serving as chairman. Our Board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&amp; Technology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Cybersecurity &amp; Technology Committee is responsible for,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cybersecurity threat landscape, policies, controls and incident response preparedness, including escalation procedures to the Board, tabletop exercise testing, and periodic simulations;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metrics on cybersecurity incidents, breaches (actual or attempted), and the Company’s response thereto;</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compliance with cybersecurity and data privacy laws, including SEC, state, and international regulations, and industry standards;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technology architecture, platforms and operational resilience;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major technology-related projects, digital initiatives, and infrastructure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disaster recovery, business infrastructure, and data backup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the Company’s cyber insurance coverage and reviewing its adequacy;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the Audit Committee with respect to any matters that may impact internal controls, financial reporting, or cybersecurity disclosures;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cybersecurity workforce, training programs (including executive and board-level cybersecurity education), budget,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vendor and supply chain risk management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policies for oversight of risks arising from use of AI, machine learning, and other emerging technologies;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appropriate disclosures are made in public filings relating to cybersecurity oversight and risk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Board approval updates to the Cybersecurity &amp; Technology Committee’s charter on an annual basis;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compliance with cybersecurity disclosure obligations under SEC Regulation S-K Item 106 and Form 8-K Item 1.05, including timely disclosure of material cybersecurity incidents and governance structures;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third-party risk management practices, including risk assessment and monitoring of key technology vendors and supply chain cybersecurity vulnerabilities;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training programs and culture-building efforts relating to cybersecurity awareness, including for executives and directors.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Cybersecurity &amp; Technology Committee consists of Phyllis Newhouse and Edmund Nabrotzky, with Phyllis Newhouse serving as chairman. The Board has adopted a written charter for the Cybersecurity &amp; Technology Committee, which is available on our corporate website. The information contained on our website is not incorporated by reference into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committees of the Board and individual directors and determining whether continued service on the Board is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the Board and its committees and making recommendations to the Board for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Board any changes to such policies and principles;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the Board current and emerging corporate governance trends;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Business Ethics for Employees, Executive Officers, and Directors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service agreements with each of our non-employee directors pursuant to which they are eligible to receive the following cash and equity incentive payments.</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Fee: Each non-employee director receives an annual cash fee of $50,000, payable quarterly in arrears.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Each non-employee director is eligible to receive quarterly stock options awards with a fair value of $20,000 for each of the first three fiscal quarters and a fair value of $40,000 for the fourth fiscal quarter. The option awards will be granted quarterly with the number of shares subject to each award determined by dividing the dollar value of the grant by the closing price of our Common Stock on the grant date, rounded down to the nearest whole share. All option awards have an exercise price equal to the fair market value of a share of our Common Stock on the date of grant and are 100% vested on the date of grant, unless otherwise specified in the award agreement.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Chair Equity Award: In addition to the quarterly stock option awards, any director serving as the chair of a committee of the board of directors will receive an additional annual grant of stock options with a number of shares subject to the options determined by dividing $25,000 by the closing price of our Common Stock on the date of grant.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 We will reimburse all of our non-employee directors for all reasonable business expenses incurred in the performance of their services in accordance with our expense reimbursement guidelines.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did not grant any option awards to our non-employee directors during 2025. The following table provides information related to the compensation of each of our non-employee directors during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Sheldon Paul, M.D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Carlson, D.O.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w:t>
            </w:r>
          </w:p>
        </w:tc>
      </w:tr>
    </w:tbl>
    <w:p>
      <w:pPr>
        <w:spacing w:after="0" w:line="179"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the annual retainers payable to our non-employee directors.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earned, we did not grant any option awards to our non-employee directors during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executives are our Named Executive Officers:</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 Nabrotzky,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SEE ID’s named executive officers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 Nabrotzky</w:t>
            </w:r>
          </w:p>
        </w:tc>
        <w:tc>
          <w:tcPr>
            <w:tcW w:w="1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285,384</w:t>
            </w:r>
          </w:p>
        </w:tc>
        <w:tc>
          <w:tcPr>
            <w:tcW w:w="2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357,500(1)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642,884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235,821</w:t>
            </w:r>
          </w:p>
        </w:tc>
        <w:tc>
          <w:tcPr>
            <w:tcW w:w="0" w:type="dxa"/>
            <w:vAlign w:val="bottom"/>
          </w:tcPr>
          <w:p>
            <w:pPr>
              <w:spacing w:after="0"/>
              <w:rPr>
                <w:sz w:val="1"/>
                <w:szCs w:val="1"/>
                <w:color w:val="auto"/>
              </w:rPr>
            </w:pPr>
          </w:p>
        </w:tc>
      </w:tr>
      <w:tr>
        <w:trPr>
          <w:trHeight w:val="196"/>
        </w:trPr>
        <w:tc>
          <w:tcPr>
            <w:tcW w:w="3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Charles Maddox</w:t>
            </w:r>
          </w:p>
        </w:tc>
        <w:tc>
          <w:tcPr>
            <w:tcW w:w="960" w:type="dxa"/>
            <w:vAlign w:val="bottom"/>
            <w:gridSpan w:val="2"/>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7"/>
                <w:szCs w:val="17"/>
                <w:color w:val="auto"/>
              </w:rPr>
            </w:pP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263,958</w:t>
            </w:r>
          </w:p>
        </w:tc>
        <w:tc>
          <w:tcPr>
            <w:tcW w:w="98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tcPr>
          <w:p>
            <w:pPr>
              <w:ind w:left="114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250,000(2)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514,558</w:t>
            </w: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Officer/Chief</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Operations Officer</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276,154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476,154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$320,000 transaction bonus paid in connection with the closing of the Business Combination, and $37,500 in fees for service as a member of the Board of Directors.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transaction bonuses paid in connection with the Business Combination.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entered into employment agreements with each of our Named Executive Officers, each of which provides for at-will employment and provides for no specified term of employment. The employment agreements are described more fully below under the heading entitled “- </w:t>
      </w:r>
      <w:r>
        <w:rPr>
          <w:rFonts w:ascii="Times New Roman" w:cs="Times New Roman" w:eastAsia="Times New Roman" w:hAnsi="Times New Roman"/>
          <w:sz w:val="18"/>
          <w:szCs w:val="18"/>
          <w:i w:val="1"/>
          <w:iCs w:val="1"/>
          <w:color w:val="auto"/>
        </w:rPr>
        <w:t>Employment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Arrangements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the executive compensation program. In general, we seek to provide a base salary level designed to reflect each executive officer’s scope of responsibility and accountability. Our Compensation Committee reviews the base salaries of our named executive officers each year (or otherwise at the time of a new hire or promotion). Effective as of July 15, 2025, Mr. Nabrotzky’s base salary was increased to $350,000, Mr. Maddox’s base salary was increased to $300,000 and Mr. Nambiar’s base salary was increased to $330,000.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Bonus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Named Executive Officer was eligible to receive a target annual incentive bonus during 2025 at the discretion of the Board of Directors. Pursuant to their individual employment agreements, effective as of September 5, 2025, each of our NEOs is eligible to earn annual incentive bonus compensation of $50,000 per year, payable $10,000 for the first through third calendar quarters and $20,000 for the fourth calendar quarter, based upon achievement of certain performance metrics determined by the Board of Directors. No incentive compensation was paid to our NEOs during 2025 other than a $600 incentive bonus paid to Mr. Maddox, which was made to maintain consistency with our Puerto Rico employees’ statutory Christmas bonus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Change of Control Payments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recognition of their efforts on the Business Compensation, the Board approved the following change in control transaction bonuses, which were paid to our Named Executive Officers during 2025, subject to the closing of the Business Combination. The actual cash bonuses awarded to the Named Executive Officers in respect of 2025 are set forth in the “All Other Compensation” column of the Summary Compensation Table above.</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Edmund Nabrotzky (Chief Executive Officer): $320,000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$250,000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 $200,000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SEE ID previously granted stock options to our NEOs, all of which are currently vested and were assumed by us and converted into options to purchase common shares of CID Holdco, Inc. in connection with the Business Combination. We maintain the CID Holdco, Inc. 2024 Equity Incentive Plan (the “Equity Incentive Plan”) to provide long-term incentive awards in order to retain talented members of our team, and to motivate eligible executives to achieve long-term financial and strategic objectives. The Equity Incentive Plan is an omnibus plan that permits the grant of stock options, stock appreciation rights, restricted stock, restricted stock units and other stock-based awards. The Board of Directors or its Compensation Committee did not grant any awards under the Equity Incentive Plan during 2025. However, pursuant to their respective employment agreements, Mr. Nabrotzky is eligible to receive a stock option award with a grant date value of $550,000, Mr. Maddox is eligible to receive a stock option award with a grant date value of $400,000 and Mr. Nambiar is eligible to receive a stock option award with a grant date value of $330,000. These options will vest in four equal annual installments on the anniversaries of the grant dates, and the number of shares subject to the option will be determined by dividing the dollar amount of the grant by the fair value of a share of our Common Stock on the date of grant.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do not maintain a 401(k) or any other retirement savings plan for our employees.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of our full-time employees, including the NEOs, are eligible to participate in our health and welfare plans, including medical, dental and vision benefits, flexible spending accounts, long-term disability insurance and life insurance. We do not provide any perquisites to the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Termination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a description of the employment agreements with the NEOs during 2025. Each employment agreement does not have a specific term and provides that the applicable named executive officer is an at-will employee.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Edmund Nabrotzky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Edmund Nabrotzky and SEE ID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time of the Business Combination, Mr. Nabrotzky was employed by SEE ID for the position of Chief Executive Officer (CEO), and his duties were those normally associated with his position and such duties as were assigned to him from time to time, subject to the oversight and direction of the Board of Directors of SEE ID or its designee. Mr. Nabrotzky’s annual base salary at the time of the Business Combination was $230,000 and he was entitled to receive a cash bonus from SEE ID as incentive for key performance milestones, to be paid in amounts and at such times as are reasonably determined by the Board of Directors of SEE 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Edmund Nabrotzky and SEE ID Holding Corp</w:t>
      </w:r>
    </w:p>
    <w:p>
      <w:pPr>
        <w:spacing w:after="0" w:line="22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7"/>
          <w:szCs w:val="17"/>
          <w:color w:val="auto"/>
        </w:rPr>
        <w:t>SEE ID Holding Corp, a wholly-owned subsidiary of CID Holdco, entered into an employment agreement with Mr. Nabrotzky, dated September 5, 2025, for the position of Chief Executive Officer and President, which superseded the agreement with SEE ID. Pursuant to Mr. Nabrotzky’s employment agreement, he is entitled to a base salary of $350,000 (as may be adjusted by the Company in its sole discretion, provided that any decrease will require Mr. Nabrotzky’s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Nabrotzky is eligible to receive a stock option award with a grant date value of $550,000. The stock options will vest as to 25% of the shares on each of the first, second, third and fourth anniversaries of the grant date. If Mr. Nabrotzky’s employment is terminated by the Company without Cause or if Mr. Nabrotzky resigns for Good Reason, as such terms are defined in the employment agreement, and he executes a binding waiver and release of claims, then he is entitled to the following severance benefits: (i) twelve months of continued base salary, (ii) a one-time termination bonus equivalent to 100% of the quarterly bonuses Mr. Nabrotzky may earn during a calendar year ($50,000), (iii) accelerated vesting of any unvested stock options or other equity incentive awards held by Mr. Nabrotzky at the time of termination, and (iv) payment by the Company for COBRA coverage for six months following termination of employment. For purposes of this severance benefit, “Good Reason” generally is defined to include a material reduction in Mr. Nabrotzky’s base salary or target bonus opportunity, a material diminution of Mr. Nabrotzky’s title, role, duties or responsibilities, or the Company’s material breach of his employment agreement. Under the terms of Mr. Nabrotzky’s employment agreement, he is subject to restrictive covenants regarding non-competition and non-solicitation of employees while employed by us and for one year following his termination of employment.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Charles Maddox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Charles Maddox and SEE ID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time of the Business Combination, Mr. Maddox was employed by SEE ID for the positions of Chief Operating Officer and Chief Financial Officer, and his duties were those normally associated with his position and such duties as are assigned to him from time to time, subject to the oversight and direction of the CEO or his designee. Mr. Maddox’s annual base salary at the time of the Business Combination was $230,000 and he was eligible to receive an annual cash bonus from SEE ID’s net income, to be paid in amounts and at such times as are reasonably determined by the Board of Directors of SEE 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Charles Maddox and SEE ID Holding Corp</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SEE ID Holding Corp, a wholly-owned subsidiary of CID Holdco, entered into an employment agreement with Mr. Maddox, dated September 5, 2025, for the positions of Chief Operating Officer and Chief Financial Officer, which superseded the agreement with SEE ID. Pursuant to Mr. Maddox’s employment agreement, he is entitled to a base salary of $300,000 (as may be adjusted by the Company in its sole discretion, provided that any decrease will require Mr. Maddox’s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Maddox is eligible to receive a stock option award with a grant date value of $400,000. The stock options will vest as to 25% of the shares on each of the first, second, third and fourth anniversaries of the grant date. If Mr. Maddox’s employment is terminated by the Company without Cause or if Mr. Maddox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Maddox at the time of termination, and (iii) payment by the Company for COBRA coverage for six months following termination of employment. For purposes of this severance benefit, “Good Reason” generally is defined to include a material reduction in Mr. Maddox’s base salary or target bonus opportunity, a material diminution of Mr. Maddox’s title, role, duties or responsibilities, or the Company’s material breach of his employment agreement. Under the terms of Mr. Maddox’s employment agreement, he is subject to restrictive covenants regarding non-competition and non-solicitation of employees while employed by us and for one year following his termination of employment.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Vijayan Nambiar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Vijayan Nambiar and SEE ID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time of the Business Combination, Mr. Nambiar was employed by SEE ID for the position of Chief Technology Officer, and his duties were those normally associated with his position and such duties as are assigned to him from time to time, subject to the oversight and direction of the CEO or his designee. Mr. Nambiar’s annual base salary as of the Business Combination was $230,000.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Agreement between Vijayan Nambiar and SEE ID Holding Corp</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SEE ID Holding Corp, a wholly-owned subsidiary of CID Holdco, entered into an employment agreement with Mr. Nambiar, dated September 5, 2025, for the positions of Chief Technology Officer, which superseded the agreement with SEE ID. Pursuant to Mr. Nambiar’s employment agreement, he is entitled to a base salary of $330,000 (as may be adjusted by the Company in its sole discretion, provided that any decrease will require Mr. Nambiar’s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Nambiar is eligible to receive a stock option award with a grant date value of $330,000. The stock options will vest as to 25% of the shares on each of the first, second, third and fourth anniversaries of the grant date. If Mr. Nambiar’s employment is terminated by the Company without Cause or if Mr. Nambiar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Nambiar at the time of termination, and (iii) payment by the Company for COBRA coverage for six months following termination of employment. For purposes of this severance benefit, “Good Reason” generally is defined to include a material reduction in Mr. Nambiar’s base salary or target bonus opportunity, a material diminution of Mr. Nambiar’s title, role, duties or responsibilities, or the Company’s material breach of his employment agreement. Under the terms of Mr. Nambiar’s employment agreement, he is subject to restrictive covenants regarding non-competition and non-solicitation of employees while employed by us and for one year following his termination of employment.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grant equity awards to our executives, including stock options, as part of their total compensation. In 2025, we did not grant stock options on any date that, in relation to our disclosure of material nonpublic information, would require us to provide the tabular disclosures of Item 402(x)(2) of Regulation S-K. Accordingly, we have no specific policy or practice on the timing of awards of such options in relation to the disclosure of material nonpublic information by us. In the event that we determine to grant new awards of such options, the Compensation Committee will evaluate the appropriate steps to take in relation to the foregoing. Our insider trading policy also provides guidelines around the repurchases of our securities, which are generally only made pursuant to a Rule 10b5-1 trading plan established when we are not in possession of material nonpublic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a clawback policy intended to comply with Section 10D of the Exchange Act, Rule 10D-1 thereunder and the applicable rules of any national securities exchange on which the Company’s securities are listed. The clawback policy applies to all Affected Officers of the Company. Affected Officers means any current or former “officer” as defined in Exchange Act Rule 16a-1, and any other senior executives as determined by the Compensation Committee. This policy ensures that in the event of an accounting restatement due to material non-compliance with financial reporting requirements, the Company can recover erroneous incentive-based compensation received by an Affected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option awards held by the Company’s named executive officers as of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460" w:type="dxa"/>
            <w:vAlign w:val="bottom"/>
          </w:tcPr>
          <w:p>
            <w:pPr>
              <w:spacing w:after="0"/>
              <w:rPr>
                <w:sz w:val="16"/>
                <w:szCs w:val="16"/>
                <w:color w:val="auto"/>
              </w:rPr>
            </w:pPr>
          </w:p>
        </w:tc>
        <w:tc>
          <w:tcPr>
            <w:tcW w:w="12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4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4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4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c>
          <w:tcPr>
            <w:tcW w:w="460" w:type="dxa"/>
            <w:vAlign w:val="bottom"/>
          </w:tcPr>
          <w:p>
            <w:pPr>
              <w:spacing w:after="0"/>
              <w:rPr>
                <w:sz w:val="16"/>
                <w:szCs w:val="16"/>
                <w:color w:val="auto"/>
              </w:rPr>
            </w:pPr>
          </w:p>
        </w:tc>
        <w:tc>
          <w:tcPr>
            <w:tcW w:w="122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7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46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5"/>
              </w:rPr>
              <w:t>Price ($)</w:t>
            </w:r>
            <w:r>
              <w:rPr>
                <w:rFonts w:ascii="Times New Roman" w:cs="Times New Roman" w:eastAsia="Times New Roman" w:hAnsi="Times New Roman"/>
                <w:sz w:val="29"/>
                <w:szCs w:val="29"/>
                <w:b w:val="1"/>
                <w:bCs w:val="1"/>
                <w:color w:val="auto"/>
                <w:w w:val="95"/>
                <w:vertAlign w:val="superscript"/>
              </w:rPr>
              <w:t>(1)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48"/>
        </w:trPr>
        <w:tc>
          <w:tcPr>
            <w:tcW w:w="436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Edmund Nabrotzky</w:t>
            </w: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9/1/2021</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136,572</w:t>
            </w:r>
          </w:p>
        </w:tc>
        <w:tc>
          <w:tcPr>
            <w:tcW w:w="46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(1)(2)</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34,143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0.1758</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9/1/2031</w:t>
            </w:r>
          </w:p>
        </w:tc>
        <w:tc>
          <w:tcPr>
            <w:tcW w:w="0" w:type="dxa"/>
            <w:vAlign w:val="bottom"/>
          </w:tcPr>
          <w:p>
            <w:pPr>
              <w:spacing w:after="0"/>
              <w:rPr>
                <w:sz w:val="1"/>
                <w:szCs w:val="1"/>
                <w:color w:val="auto"/>
              </w:rPr>
            </w:pPr>
          </w:p>
        </w:tc>
      </w:tr>
      <w:tr>
        <w:trPr>
          <w:trHeight w:val="48"/>
        </w:trPr>
        <w:tc>
          <w:tcPr>
            <w:tcW w:w="43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Chales Maddox</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9/1/2021</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136,572</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(1)(2)</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34,143</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0.1758</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9/1/2031</w:t>
            </w:r>
          </w:p>
        </w:tc>
        <w:tc>
          <w:tcPr>
            <w:tcW w:w="0" w:type="dxa"/>
            <w:vAlign w:val="bottom"/>
          </w:tcPr>
          <w:p>
            <w:pPr>
              <w:spacing w:after="0"/>
              <w:rPr>
                <w:sz w:val="1"/>
                <w:szCs w:val="1"/>
                <w:color w:val="auto"/>
              </w:rPr>
            </w:pPr>
          </w:p>
        </w:tc>
      </w:tr>
      <w:tr>
        <w:trPr>
          <w:trHeight w:val="45"/>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Vijayan Nambiar</w:t>
            </w:r>
          </w:p>
        </w:tc>
        <w:tc>
          <w:tcPr>
            <w:tcW w:w="12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5/7/2022</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518,242</w:t>
            </w:r>
          </w:p>
        </w:tc>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0.0516</w:t>
            </w: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5/7/2032</w:t>
            </w:r>
          </w:p>
        </w:tc>
        <w:tc>
          <w:tcPr>
            <w:tcW w:w="0" w:type="dxa"/>
            <w:vAlign w:val="bottom"/>
          </w:tcPr>
          <w:p>
            <w:pPr>
              <w:spacing w:after="0"/>
              <w:rPr>
                <w:sz w:val="1"/>
                <w:szCs w:val="1"/>
                <w:color w:val="auto"/>
              </w:rPr>
            </w:pPr>
          </w:p>
        </w:tc>
      </w:tr>
      <w:tr>
        <w:trPr>
          <w:trHeight w:val="48"/>
        </w:trPr>
        <w:tc>
          <w:tcPr>
            <w:tcW w:w="43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vMerge w:val="continue"/>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Vijayan Nambiar</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5/7/2022</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518,242</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0.0516</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5/7/2032</w:t>
            </w:r>
          </w:p>
        </w:tc>
        <w:tc>
          <w:tcPr>
            <w:tcW w:w="0" w:type="dxa"/>
            <w:vAlign w:val="bottom"/>
          </w:tcPr>
          <w:p>
            <w:pPr>
              <w:spacing w:after="0"/>
              <w:rPr>
                <w:sz w:val="1"/>
                <w:szCs w:val="1"/>
                <w:color w:val="auto"/>
              </w:rPr>
            </w:pPr>
          </w:p>
        </w:tc>
      </w:tr>
      <w:tr>
        <w:trPr>
          <w:trHeight w:val="45"/>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Vijayan Nambiar</w:t>
            </w:r>
          </w:p>
        </w:tc>
        <w:tc>
          <w:tcPr>
            <w:tcW w:w="12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11/21/2023</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359,721</w:t>
            </w:r>
          </w:p>
        </w:tc>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0.0516</w:t>
            </w: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11/21/2033</w:t>
            </w:r>
          </w:p>
        </w:tc>
        <w:tc>
          <w:tcPr>
            <w:tcW w:w="0" w:type="dxa"/>
            <w:vAlign w:val="bottom"/>
          </w:tcPr>
          <w:p>
            <w:pPr>
              <w:spacing w:after="0"/>
              <w:rPr>
                <w:sz w:val="1"/>
                <w:szCs w:val="1"/>
                <w:color w:val="auto"/>
              </w:rPr>
            </w:pPr>
          </w:p>
        </w:tc>
      </w:tr>
      <w:tr>
        <w:trPr>
          <w:trHeight w:val="45"/>
        </w:trPr>
        <w:tc>
          <w:tcPr>
            <w:tcW w:w="4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460" w:type="dxa"/>
            <w:vAlign w:val="bottom"/>
            <w:vMerge w:val="continue"/>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4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were originally granted by SEE ID, Inc. pursuant to the SEE ID, Inc. 2021 Equity Incentive Plan. The options were assumed and converted into options to purchase shares of common stock of CID Holdco, with the number of shares subject to the options and exercise price adjusted based on the conversion ratio applicable to the conversion of common stock of SEE ID, Inc. in shares of common stock of CID Holdco in connection with the Business Combination.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(2) 20% of the shares subject to the option vest on each of the five anniversaries of the grant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Charter and Bylaws, each of which became effective upon the Closing, provide that we will indemnify our directors and officers, and may indemnify our employees and other agents, to the fullest extent permitted by Delaware law. Delaware law prohibits our Charter from limiting the liability of our directors for the following:</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Charter does not eliminate a director’s duty of care and, in appropriate circumstances, equitable remedies, such as injunctive or other forms of non-monetary relief, remain available under Delaware law.</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provision also does not affect a director’s responsibilities under any other laws, such as the federal securities laws or other state or federal laws.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Bylaws, we are also empowered to purchase insurance on behalf of any person whom we are required or permitted to indemnify.</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indemnification required in our Charter and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w:t>
      </w:r>
    </w:p>
    <w:p>
      <w:pPr>
        <w:spacing w:after="0" w:line="3" w:lineRule="exact"/>
        <w:rPr>
          <w:sz w:val="20"/>
          <w:szCs w:val="20"/>
          <w:color w:val="auto"/>
        </w:rPr>
      </w:pPr>
    </w:p>
    <w:p>
      <w:pPr>
        <w:jc w:val="both"/>
        <w:ind w:firstLine="8"/>
        <w:spacing w:after="0" w:line="251" w:lineRule="auto"/>
        <w:tabs>
          <w:tab w:leader="none" w:pos="3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Assumption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Business Combination,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18, 2025, in connection with the Business Combination, these SAFE agreements converted into 2,156 Common Stock of the Company.</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of revenue from the deferred revenue balance. Pope Technologies LLC is owned by a director of the Company.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$15,457 for the years ended December 31, 2025 and 2024, respectively. As of December 31, 2025 and 2024, amounts outstanding under this agreement were $2,928 and $1,164, respectively, and are included in “Accounts receivable” on the accompanying consolidated balance sheets.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 ended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Common Stock of the Company as of April 6, 2026 by:</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Common Stock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shares of the Company’s Common Stock beneficially owned by them.</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beneficial ownership of Common Stock is based on 29,293,322 shares of our Common Stock issued and outstanding as of April 6,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 of Beneficial Owners</w:t>
            </w:r>
            <w:r>
              <w:rPr>
                <w:rFonts w:ascii="Times New Roman" w:cs="Times New Roman" w:eastAsia="Times New Roman" w:hAnsi="Times New Roman"/>
                <w:sz w:val="29"/>
                <w:szCs w:val="29"/>
                <w:b w:val="1"/>
                <w:bCs w:val="1"/>
                <w:i w:val="1"/>
                <w:iCs w:val="1"/>
                <w:color w:val="auto"/>
                <w:vertAlign w:val="superscript"/>
              </w:rPr>
              <w:t>(1)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640" w:type="dxa"/>
            <w:vAlign w:val="bottom"/>
            <w:gridSpan w:val="2"/>
            <w:vMerge w:val="continue"/>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3,571,614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2,052,788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Janice Bryant Howroyd </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32,983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Carlson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Phyllis Newhouse </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2,574,494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8,912,563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Tremaine Reny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2,470,060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Jeffery Andersen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1,524,924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ShoulderUp 2021 Trust </w:t>
            </w:r>
            <w:r>
              <w:rPr>
                <w:rFonts w:ascii="Times New Roman" w:cs="Times New Roman" w:eastAsia="Times New Roman" w:hAnsi="Times New Roman"/>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1,551,180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52"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1,023,314 shares directly held by Phyllis Newhouse; and (ii) 1,551,180 shares directly held by ShoulderUp 2021 Trust. Ms. Newhouse is the trustee of ShoulderUp 2021 Trust and may be deemed to share voting and investment power over the shares held by ShoulderUp 2021 Trust.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ShoulderUp 2021 Trust. The address of the principal business office of ShoulderUp 2021 Trust is 2291 Loring Oak PL NW Marietta, GA 30064.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relates to the possible resale from time to time by the Selling Securityholder of any or all of the shares of Common Stock that may be issued by us to White Lion under the Common Stock Purchase Agreement, the Commitment Warrant, and the Convertible Notes. For additional information regarding the issuance of Common Stock covered by this prospectus, see the section titled “The White Lion Transaction” above. We are registering the shares of Common Stock pursuant to the provisions of the Registration Rights Agreement we entered into with White Lion in order to permit the Selling Securityholder to offer the shares for resale from time to time. Except for the transactions contemplated by the Common Stock Purchase Agreement, the Note Purchase Agreement, the Commitment Warrant, the Registration Rights Agreement, and as otherwise disclosed in this prospectus, White Lion has not had any material relationship with us within the past three years. As used in this prospectus, the term “Selling Securityholder” means White Lion Capital, LLC.</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the shares issuable pursuant to the Common Stock Purchase Agreement, the Selling Securityholder is deemed to be an “underwriter” within the meaning of Section 2(a)(11) of the Securities Act. Any underwriters, broker-dealers, or agents that participate in the sale of the shares or interests therein may also be “underwriters” within the meaning of Section 2(a)(11) of the Securities Act.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Securityholder and the shares of Common Stock that it may offer from time to time under this prospectus. This table is prepared based on information supplied to us by the Selling Securityholder, and reflects holdings as of April 22, 2026. The number of shares in the column “Maximum Number of Shares of Common Stock to be Offered Pursuant to this Prospectus” represents all of the shares of Common Stock that the Selling Securityholder may offer under this prospectus. The Selling Securityholder may sell some, all or none of its shares in this offering. We do not know how long the Selling Securityholder will hold the shares before selling them, and we currently have no agreements, arrangements or understandings with the Selling Securityholder regarding the sale of any of the shares.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Common Stock with respect to which the Selling Securityholder has voting and investment power. The percentage of shares of Common Stock beneficially owned by the Selling Securityholder prior to the offering shown in the table below is based on an aggregate of 29,293,322 shares of our Common Stock outstanding on April 6, 2026. Because the purchase price of the shares of Common Stock issuable under the Common Stock Purchase Agreement is determined at the time of each purchase, the number of shares that may actually be sold by the Company under the Common Stock Purchase Agreement may be fewer than the number of shares being offered by this prospectus. The fourth column assumes the sale of all of the shares offered by the Selling Securityholder pursuant to this prospectus.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stockholders’ method of distributing these shares.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 to be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Shares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63"/>
        </w:trPr>
        <w:tc>
          <w:tcPr>
            <w:tcW w:w="45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0"/>
              <w:spacing w:after="0" w:line="256" w:lineRule="exact"/>
              <w:rPr>
                <w:sz w:val="20"/>
                <w:szCs w:val="20"/>
                <w:color w:val="auto"/>
              </w:rPr>
            </w:pP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29"/>
                <w:szCs w:val="29"/>
                <w:b w:val="1"/>
                <w:bCs w:val="1"/>
                <w:color w:val="auto"/>
                <w:vertAlign w:val="superscript"/>
              </w:rPr>
              <w:t>(1)</w:t>
            </w:r>
          </w:p>
        </w:tc>
        <w:tc>
          <w:tcPr>
            <w:tcW w:w="24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10"/>
              <w:spacing w:after="0" w:line="256" w:lineRule="exact"/>
              <w:rPr>
                <w:sz w:val="20"/>
                <w:szCs w:val="20"/>
                <w:color w:val="auto"/>
              </w:rPr>
            </w:pPr>
            <w:r>
              <w:rPr>
                <w:rFonts w:ascii="Times New Roman" w:cs="Times New Roman" w:eastAsia="Times New Roman" w:hAnsi="Times New Roman"/>
                <w:sz w:val="18"/>
                <w:szCs w:val="18"/>
                <w:b w:val="1"/>
                <w:bCs w:val="1"/>
                <w:color w:val="auto"/>
              </w:rPr>
              <w:t>Percent</w:t>
            </w:r>
            <w:r>
              <w:rPr>
                <w:rFonts w:ascii="Times New Roman" w:cs="Times New Roman" w:eastAsia="Times New Roman" w:hAnsi="Times New Roman"/>
                <w:sz w:val="29"/>
                <w:szCs w:val="29"/>
                <w:b w:val="1"/>
                <w:bCs w:val="1"/>
                <w:color w:val="auto"/>
                <w:vertAlign w:val="superscript"/>
              </w:rPr>
              <w:t>(2)</w:t>
            </w:r>
          </w:p>
        </w:tc>
        <w:tc>
          <w:tcPr>
            <w:tcW w:w="24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ind w:left="140"/>
              <w:spacing w:after="0" w:line="256" w:lineRule="exact"/>
              <w:rPr>
                <w:sz w:val="20"/>
                <w:szCs w:val="20"/>
                <w:color w:val="auto"/>
              </w:rPr>
            </w:pP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29"/>
                <w:szCs w:val="29"/>
                <w:b w:val="1"/>
                <w:bCs w:val="1"/>
                <w:color w:val="auto"/>
                <w:vertAlign w:val="superscript"/>
              </w:rPr>
              <w:t>(3)</w:t>
            </w:r>
          </w:p>
        </w:tc>
        <w:tc>
          <w:tcPr>
            <w:tcW w:w="22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0"/>
              <w:spacing w:after="0" w:line="256" w:lineRule="exact"/>
              <w:rPr>
                <w:sz w:val="20"/>
                <w:szCs w:val="20"/>
                <w:color w:val="auto"/>
              </w:rPr>
            </w:pPr>
            <w:r>
              <w:rPr>
                <w:rFonts w:ascii="Times New Roman" w:cs="Times New Roman" w:eastAsia="Times New Roman" w:hAnsi="Times New Roman"/>
                <w:sz w:val="18"/>
                <w:szCs w:val="18"/>
                <w:b w:val="1"/>
                <w:bCs w:val="1"/>
                <w:color w:val="auto"/>
              </w:rPr>
              <w:t>Percent</w:t>
            </w:r>
            <w:r>
              <w:rPr>
                <w:rFonts w:ascii="Times New Roman" w:cs="Times New Roman" w:eastAsia="Times New Roman" w:hAnsi="Times New Roman"/>
                <w:sz w:val="29"/>
                <w:szCs w:val="29"/>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r>
      <w:tr>
        <w:trPr>
          <w:trHeight w:val="243"/>
        </w:trPr>
        <w:tc>
          <w:tcPr>
            <w:tcW w:w="46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White Lion Capital, LLC</w:t>
            </w:r>
            <w:r>
              <w:rPr>
                <w:rFonts w:ascii="Times New Roman" w:cs="Times New Roman" w:eastAsia="Times New Roman" w:hAnsi="Times New Roman"/>
                <w:sz w:val="28"/>
                <w:szCs w:val="28"/>
                <w:color w:val="auto"/>
                <w:vertAlign w:val="superscript"/>
              </w:rPr>
              <w:t>(4)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51,000,000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Lion Capital, LLC (“</w:t>
      </w:r>
      <w:r>
        <w:rPr>
          <w:rFonts w:ascii="Times New Roman" w:cs="Times New Roman" w:eastAsia="Times New Roman" w:hAnsi="Times New Roman"/>
          <w:sz w:val="18"/>
          <w:szCs w:val="18"/>
          <w:u w:val="single" w:color="auto"/>
          <w:color w:val="auto"/>
        </w:rPr>
        <w:t>WLC</w:t>
      </w:r>
      <w:r>
        <w:rPr>
          <w:rFonts w:ascii="Times New Roman" w:cs="Times New Roman" w:eastAsia="Times New Roman" w:hAnsi="Times New Roman"/>
          <w:sz w:val="18"/>
          <w:szCs w:val="18"/>
          <w:color w:val="auto"/>
        </w:rPr>
        <w:t>”), is 21031 Ventura Blvd #920 Woodland Hills, CA 91364. WLC’s principal business is that of a private investor. Yash Thukral, Sam Yaffa, and Nathan Yee are the managing principals of WLC. Therefore, each of Thukral, Yaffa, and Yee may be deemed to have sole voting control and investment discretion over securities beneficially owned directly by WLC and, indirectly, by WLC. The foregoing should not be construed in and of itself as an admission by Thukral, Yaffa, and Yee as to beneficial ownership of the securities beneficially owned directly by WLC and, indirectly, by WLC.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The full text of the Certificate of Incorporation, Bylaws and the Certificate of Designations are filed as exhibits to this registration statement. We urge you to read the Certificate of Incorporation, Bylaws and Certificate of Designations in their entirety for a complete description of the rights and preferences of the Company’s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Company to issue 300,000,000 shares, consisting of (A) 10,000,000 shares of Preferred Stock, par value $0.0001 per share (“Preferred Stock”) and (B) 290,000,000 shares of Common Stock, par value $0.0001 per share.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the Certificate of Incorporation, Bylaws and Certificate of Designations are summaries and are qualified by reference to the Certificate of Incorporation, Bylaws and Certificate of Designations, substantially in the form filed as exhibits to this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shares of Common Stock are entitled to receive such dividends, if any, as may be declared from time-to-time by the Board out of legally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Restrictions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and Lock-Up Agreement, the Holders (as defined therein) will be subject to a 180 day lock up period (subject to customary exceptions) in respect of their shares of Common Stock received in the Business Combination (subject to certain customary exceptions).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Warrant outstanding for the purchase of one share of Common Stock is exercisable for one share of Common Stock, with all other terms of such warrants remaining unchanged. The following is a description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Warrants became exercisable on July 18, 2025, provided the Company has an effective registration statement under the Securities Act.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Warrant entitles the registered holder to purchase one share of Common Stock at a price of $11.50 per share, subject to adjustment as discussed below, at any time commencing on July 18, 2025, provided the Company has an effective registration statement under the Securities Act covering the shares of Common Stock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The Warrants will expire at 5:00 p.m., New York City time, on June 18, 2030, or earlier upon redemption or liquidation.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Common Stock underlying the warrants is then effective and a prospectus relating thereto is current, subject to the Company satisfying their obligations described below with respect to registration. No Warrant will be exercisable and the Company will not be obligated to issue a share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Holders of our Warrants cannot pay cash to exercise their warrants unless we have an effective and current registration statement covering the issuance of the shares underlying such warrants and a current prospectus relating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an initial business combination, the Company will use commercially reasonable efforts to file with the SEC a registration statement for the registration, under the Securities Act, of the Common Stock issuable upon exercise of the Warrants. The Company will use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issuance of the shares issuable upon exercise of the Warrants is not effective within 60 business days from the Closing, warrant holders may, until such time as there is an effective registration statement and during any period when the Company will have failed to maintain an effective registration statement or a current prospectus, exercise Warrants on a cashless basis pursuant to an available exemption from registration under the Securities Act. Notwithstanding the above, if the shares of Common Stock are at the time of any exercise of Warrants not listed on a national securities exchange such that they satisfy the definition of a “covered security” under Section 18(b)(1) of the Securities Act, the Company may, at their option, require holders of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commercially reasonable efforts to register or qualify the shares under applicable blue sky laws to the extent an exemption is not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for Cash when the price per share of Common Stock equals or exceeds $18.00</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the Company sends the notice of redemption to the warrant holders.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issuance of the shares of Common Stock issuable upon exercise of the Public Warrants is effective and a current prospectus relating to those shares of Common Stock is available throughout the 30 day redemption period, except if the Public Warrants may be exercised on a cashless basis and such cashless exercise is exempt from registration under the Securities Act. If and when the Public Warrants become redeemable by the Company, the Company may exercise their redemption right even if the Company is unable to register or qualify the underlying securities for sale under all applicable state securities laws.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redemption criteria for the Public Warrants discussed above have been established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(for whole shares) Public Warrant exercise price after the redemption notice is issued.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the Company calls the Public Warrants for redemption as described above when the shares of Common Stock are trading at or above $18.00 per share, the Company’s management will have the option to require all holders that wish to exercise their warrants to do so on a “cashless basis.” In making such determination, the Company’s management will consider, among other factors, the Company’s cash position, the number of Public Warrants that are outstanding and the dilutive effect on our stockholders of issuing the maximum number of shares of Common Stock issuable upon the exercise of outstanding Warrants. In such event, all holders of Public Warrants would pay the exercise price by surrendering their warrants for that number of shares of Common Stock equal to the lesser of (i) the quotient obtained by dividing (x) the product of the number of shares of Common Stock underlying such Public Warrants, multiplied by the excess of the “fair market value” (as defined below) of shares of Common Stock over the exercise prices of the Public Warrants by (y) the fair market value.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the Company calls the Warrants for redemption and the Company’s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above.</w:t>
      </w:r>
    </w:p>
    <w:p>
      <w:pPr>
        <w:spacing w:after="0" w:line="19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“fair market value” of the shares of Common Stock means the average last reported sale price of the shares of Common Stock for the 10 trading days ending on the third trading day prior to the date on which the notice of redemption is sent to the holders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 Election to Limit Exercise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“historical fair market value” (as defined below) will be deemed a share capitalization of a number of shares of Common Stock equal to the product of (a) the number of shares of Common Stock actually sold in such rights offering (or issuable under any other equity securities sold in such rights offering that are convertible into or exercisable for shares of Common Stock) multiplied by (b) one minus the quotient of (i) the price per share of Common Stock paid in such rights offering divided by (ii) the historical fair market value. For these purposes (x) if the rights offering is for securities convertible into or exercisable for shares of Common Stock, in determining the price payable for Common Stock, there will be taken into account any consideration received for such rights, as well as any additional amount payable upon exercise or conversion and (y) “historical fair market value” means the volume-weighted average price of shares of Common Stock as reported during the ten-trading day period ending on the trading day prior to the first date on which the Common Stock trade on the applicable exchange or in the applicable market, regular way, without the right to receive such rights.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if the Company, at any time while the warrants are outstanding and unexpired, pays a dividend or makes a distribution in cash, securities or other assets to holders of Common Stock on account of such Common Stock (or other securities into which the warrants are convertible), other than (a) as described above, or (b)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Common Stock issuable on exercise of each warrant), do not exceed $0.50,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share sub-division or reclassification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at an issue price or effective issue price of less than $9.20 per share of Common Stock (with such issue price or effective issue price to be determined in good faith by the Company Board) (the “Newly Issued Price”), and (y) the volume-weighted average trading price of shares of our Common Stock during the 20-trading day period starting on the trading day prior to the day on which the Company consummate our initial business combination (such price, the “Market Value”) of shares of Common Stock is below $9.20 per share, then the exercise price of the warrants will be adjusted (to the nearest cent) to be equal to 115% of the higher of the Market Value and the Newly Issued Price, and the $18.00 per share redemption trigger price described under “- Redemption” will be adjusted (to the nearest cent) to be equal to 180% of the higher of the Market Value and the Newly Issued Price.</w:t>
      </w:r>
    </w:p>
    <w:p>
      <w:pPr>
        <w:spacing w:after="0" w:line="18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Stock (other than those described above or that solely affects the par value of such Common Stock), or in the case of any merger or consolidation of the Company with or into another corporation (other than a consolidation or merger in which the Company are the continuing corporation and that does not result in any reclassification or reorganization of the issued and outstanding Common Stock), or in the case of any sale or conveyance to another corporation or entity of the assets or other property of the Company as an entirety or substantially as an entirety in connection with which the Company are dissolved, the holders of the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as provided for in its amended and restated certificate of incorporation or as a result of the redemption of Common Stock by the Company if a proposed initial business combination is presented to the Company’s stockholders for approval) under circumstances in which, upon completion of such tender or exchange offer, the maker thereof, together with members of any group (within the meaning of Rule 13d-5(b)</w:t>
      </w:r>
    </w:p>
    <w:p>
      <w:pPr>
        <w:spacing w:after="0" w:line="11" w:lineRule="exact"/>
        <w:rPr>
          <w:sz w:val="20"/>
          <w:szCs w:val="20"/>
          <w:color w:val="auto"/>
        </w:rPr>
      </w:pPr>
    </w:p>
    <w:p>
      <w:pPr>
        <w:jc w:val="both"/>
        <w:ind w:firstLine="8"/>
        <w:spacing w:after="0" w:line="251" w:lineRule="auto"/>
        <w:tabs>
          <w:tab w:leader="none" w:pos="2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thereof. You should review a copy of the warrant agreement, which will be filed as an exhibit to the registration statement of which this prospectus is a part, for a complete description of the terms and conditions applicable to the warrants.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Common Stock upon exercise of the warrants, each holder will be entitled to one vote for each share held of record on all matters to be voted on by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Except as described below, the Private Warrants have terms and provisions that are identical to those of the Public Warrants. The Private Warrants (including the Common Stock issuable upon exercise of such Private Warrants) will not be transferable, assignable or salable until July 18, 2025 (except, among other limited exceptions to certain officers and directors and other persons or entities affiliated with the holder of such Private Warrants) and they will not be redeemable by the Company so long as they are held by the Sponsor, members of the Sponsor, or their permitted transferees. The Sponsor, members of the Sponsor, or their permitted transferees have the option to exercise the Private Warrants on a cashless basis. If the Private Warrants are held by holders other than the Sponsor, members of the Sponsor, the Wentworth Members or their permitted transferees, the Private Warrants will be redeemable by the Company in all redemption scenarios and exercisable by the holders on the same basis as the Public Warrants.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holders of the Private Warrants elect to exercise its Private Warrants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“exercise fair market value” (defined below) over the exercise price of the warrants by (y) the exercise fair market value. The “exercise fair market value” will mean the average reported closing price of the Common Stock for the 10 trading days ending on the third trading day prior to the date on which the notice of warrant exercise is sent to the warrant agent. The Private Warrants will be exercisable on a cashless basis so long as they are held by the Sponsor, members of the Sponsor, the Wentworth Members or their permitted transferees because they may be affiliated with the Company following the Business Combination. If they remain affiliated with the Company, their ability to sell the Company’s securities in the open market will be significantly limited. the Company has policies in place that prohibit insiders from selling the Company’s securities except during specific periods of time. Even during such periods of time when insiders will be permitted to sell the Company’s securities, an insider cannot trade in the Company’s securities if they are in possession of material non-public information.</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the Company believes that allowing the holders to exercise such Private Warrants on a cashless basis is appropriate.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Warrant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Common Stock Purchase Agreement, we issued to White Lion a common stock purchase warrant (the “Commitment Warrant”) entitling White Lion to purchase from the Company up to $10,000,000 worth of Common Stock. The exercise price per share is equal to 99% of the closing sales price of the Common Stock on the trading day immediately preceding the date of exercise, subject to customary adjustments for stock splits, stock dividends, combinations, recapitalizations, reclassifications, and similar events. The Commitment Warrant is exercisable at any time from the Initial Exercise Date through and including the fifth anniversary thereof (the “Termination Date”). The Commitment Warrant may be exercised for cash or, if at the time of exercise there is no effective registration statement covering the Warrant Shares, on a cashless basis. The Commitment Warrant contains a beneficial ownership limitation of 4.99% (adjustable to 9.99% upon 61 days’ prior written notice). In the event of a Fundamental Transaction (as defined in the Commitment Warrant), the holder shall have the right to receive, upon exercise, the same consideration that would have been payable had the holder exercised immediately prior to such event. The Commitment Warrant also contains anti-dilution protections, including a full ratchet anti-dilution provision pursuant to which the exercise price will be reduced to the effective price per share of any new issuance of Common Stock or Common Stock equivalents below the then-current exercise price (subject to exceptions for certain exempt issuances).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the Board. The time and amount of dividends will be dependent upon, among other things, the Company’s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may regard as relevant. Dividends may be payable in cash, stock or property of the Holdings.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Holdings currently intends to retain all available funds and any future earnings to fund the development and growth of the business, and therefore does not anticipate declaring or paying any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Charter provides that the Board will consist of three classes of directors, Class I, Class II and Class II, with the members of the board of directors of the Company being elected to serve as Class I, Class II and Class III directors to serve staggered terms until the first, second and third annual meeting of stockholders of the Company, respectively, or until their respective successors are duly elected and qualified, or until their earlier resignation, removal, or death. At each succeeding annual meeting of stockholders, directors will be elected for a full term of three years to succeed the directors of the class whose terms expire at such annual meeting. Any director may be removed from office by the stockholders of the Company as provided in Section 141(k) of the DGCL only for cause.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the stockholders. However, they also give the Board the power to discourage acquisitions that some stockholders may favor. Additionally, the creation of a classified board of directors may prevent attempts by our stockholders to replace or remove our current management.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Holdings Common Stock and preferred stock could make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Stockholders’ Meetings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Charter provides that stockholders may not take action by written consent to remove a director. As a result, a holder controlling a majority of the Company’s capital stock would not be able to amend the bylaws or remove directors without holding a meeting of stockholders called for that purpose in accordance with the Company’s bylaws. Further, the Company Charter provides that only the chairperson of the Board, the Chief Executive Officer, or a majority of the Board, by resolution, may call a special Stockholders’ Meeting of the stockholders, thus prohibiting a stockholder from calling a special Stockholders’ Meeting. These provisions might delay the ability of the stockholders to force consideration of a proposal or for the stockholders controlling a majority of the Company’s capital stock to take any action, including the removal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addition, the Bylaws establish an advance notice procedure for stockholder proposals to be brought before an annual meeting of stockholders. Generally, in order for any matter to be “properly brought” before an annual meeting, the matter must be (i) specified in a notice of meeting given by or at the direction of the Board, (ii) if not specified in a notice of meeting, otherwise brought before the meeting by or at the direction of the Board, or</w:t>
      </w:r>
    </w:p>
    <w:p>
      <w:pPr>
        <w:spacing w:after="0" w:line="1" w:lineRule="exact"/>
        <w:rPr>
          <w:sz w:val="20"/>
          <w:szCs w:val="20"/>
          <w:color w:val="auto"/>
        </w:rPr>
      </w:pPr>
    </w:p>
    <w:p>
      <w:pPr>
        <w:jc w:val="both"/>
        <w:ind w:firstLine="8"/>
        <w:spacing w:after="0" w:line="250" w:lineRule="auto"/>
        <w:tabs>
          <w:tab w:leader="none" w:pos="32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meeting by a stockholder present in person who (A) was a stockholder both at the time of giving the notice and on the record date for the determination of stockholders entitled to vote at such annual meeting, (B) is entitled to vote at the meeting, and (C) has complied with the advance notice procedures specified in the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provide Timely Notice (as defined herein) thereof in writing and in proper form to the secretary of the Company. To be timely, a stockholder’s notice must be received at, the Company’s principal executive offices not less than 90 days nor more than 120 days prior to the one-year anniversary of the preceding year’s annual meeting; provided, however, that if the date of the annual meeting is more than 30 days before or more than 30 days after such anniversary date, notice by the stockholder to be timely must be received, not earlier than the close of business 120 days before the meeting and not later than the later of (x) the close of business 90 days before the meeting or (y) the close of business</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annual meeting was first made by the Company (such notice within such time periods, “</w:t>
      </w:r>
      <w:r>
        <w:rPr>
          <w:rFonts w:ascii="Times New Roman" w:cs="Times New Roman" w:eastAsia="Times New Roman" w:hAnsi="Times New Roman"/>
          <w:sz w:val="18"/>
          <w:szCs w:val="18"/>
          <w:b w:val="1"/>
          <w:bCs w:val="1"/>
          <w:i w:val="1"/>
          <w:iCs w:val="1"/>
          <w:color w:val="auto"/>
        </w:rPr>
        <w:t>Timely Notice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Stockholders at an annual meeting or Stockholders’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written Timely Notice in proper form to the Company’s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or Bylaws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Bylaws provide that the bylaws may be amended or repealed by a majority vote of the Board or by the holders of at least a majority of the voting power of all of the then-outstanding shares entitled to vote generally in the election of directors, voting as a single class. The Charter can be amended in accordance with the DGCL which requires approval by the Board and stockholders of the Holdings.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Charter and Bylaws will provide indemnification and advancement of expenses for the Company’s directors and officers to the fullest extent permitted by the DGCL, subject to certain limited exceptions. The Company has entered into, or will enter into, indemnification agreements with each of its directors and officers. Under the terms of such indemnification agreements, the Company will be required to indemnify each of the Company’s directors and officers, if the basis of the indemnitee’s involvement was by reason of the fact that the indemnitee is or was a director of officer of the Company or any of its subsidiaries or was serving at the request of the Company in an official capacity of another entity. In some cases, the provisions of those indemnification agreements may be broader than the specific indemnification provisions contained under Delaware law. In addition, as permitted by Delaware law, the Charter and the Bylaws will include provisions that eliminate the personal liability of directors for monetary damages resulting from breaches of certain fiduciary duties as a director.</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 of this provision is to restrict the Company’s rights and the rights of the Company’s stockholders in derivative suits to recover monetary damages against a director for breach of fiduciary duties as a director.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DGCL, any stockholder may bring an action in the Company’s name to procure a judgment in its favor, also known as a derivative action, provided that the stockholder bringing the action is a holder of the Holdings’ shares at the time of the transaction to which the action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Bylaws provide that unless the Company consents in writing to the selection of an alternative forum, the Court of Chancery of the State of Delaware will, to the fullest extent permitted by applicable law, be the sole and exclusive forum for: (i) any derivative action brought by a stockholder on behalf of the Company, (ii) any claim of breach of a fiduciary duty owed by any of the Company’s directors, officers, stockholders, employees or agents to the Company or the Company’s stockholders, (iii) any claim against the Company, its directors, officers or employees arising under its charter, bylaws or the DGCL, or (iv) any claim against the Company, its directors, officers or employees governed by the internal affairs doctrine. The Proposed Charter designates the federal district courts of the United States of America as the exclusive forum for the resolution of any complaint asserting a cause of action arising under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Common Stock and Warrants are listed on the Nasdaq under the symbols “DAIC” and “DAICW,”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the Company’s securities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Stockholder of the securities and any of its pledgees, assignees and successors-in-interest may, from time to time, sell any or all of its securities covered hereby on the principal trading market or any other stock exchange, market or trading facility on which the securities are traded or in private transactions. These sales may be at fixed or negotiated prices. Such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method permitted pursuant to applicable law.</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White Lion is deemed to be an “underwriter” within the meaning of Section 2(a)(11) of the Securities Act, and any profits on the sales of the shares of Common Stock by White Lion and any discounts, commissions, or concessions received by White Lion are deemed to be underwriting discounts and commissions under the Securities Act.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White Lion has informed us that it intends to use one or more registered broker-dealers to effectuate all sales, if any, of our Common Stock that it may acquire from us pursuant to the Common Stock Purchase Agreement, the Commitment Warrant, or the Convertible Notes. Such sales will be made at prices and at terms then prevailing or at prices related to the then current market price. Each such registered broker-dealer will be an underwriter within the meaning of Section 2(a)(11) of the Securities Act. White Lion has informed us that each such broker-dealer may receive commissions from White Lion and, if so, such commissions will not exceed customary brokerage commissions.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Securityholder through this prospectus. The compensation paid to any such particular broker-dealer by any such purchasers of shares of our Common Stock sold by the Selling Securityholder may be less than or in excess of customary commissions. Neither we nor the Selling Securityholder can presently estimate the amount of compensation that any agent will receive from any purchasers of shares of our Common Stock sold by the Selling Securityholder.</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the Selling Securityholder may be deemed to be an “underwriter” within the meaning of the Securities Act, it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We know of no existing arrangements between the Selling Securityholder or any other stockholder, broker, dealer, underwriter or agent relating to the sale or distribution of the shares of our Common Stock offered by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Securityholder, including the names of any brokers, dealers, underwriters or agents participating in the distribution of such shares by the Selling Securityholder, any compensation paid by the Selling Securityholder to any such brokers, dealers, underwriters or agents, and any other required information.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have agreed to indemnify White Lion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White Lion has agreed to indemnify us against liabilities under the Securities Act that may arise from certain written information furnished to us by White Lion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$75,000.</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White Lion has represented to us that at no time prior to the date of the Common Stock Purchase Agreement has White Lion, any of its affiliates or any entity managed or controlled by White Lion engaged in or effected, directly or indirectly, for its own principal account, any short sale (as such term is defined in Rule 200 of Regulation SHO of the Exchange Act) of our Common Stock that establishes a net short position with respect to our Common Stock. White Lion has agreed that during the term of the Common Stock Purchase Agreement, none of White Lion, any of its affiliates nor any entity managed or controlled by White Lion will enter into or effect, directly or indirectly, any of the foregoing transactions for its own principal account or for the principal account of any other such entity.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 that it is required to comply with Regulation M promulgated under the Exchange Act. With certain exceptions, Regulation M precludes the Selling Securityholder,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the Selling Securityholder may be deemed to be an “underwriter” within the meaning of the Securities Act, it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offering will terminate on the earlier of (i) the end of the Commitment Period, (ii) the date that, pursuant to or within the meaning of any bankruptcy law, the Company commences a voluntary case or any person commences a proceeding against the Company, or (iii) the date that all shares of our Common Stock offered by this prospectus have been sold by the Selling Securityholder.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“DAIC”.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Common Stock and Warrants, which we refer to collectively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7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securities through the exercise or cancellation of employee stock options or otherwise as compensation for their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U.S.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shares of our Common Stock or Warrants who or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U.S. Treasury regulations to be treated as a U.S. person.</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we pay distributions in cash or other property (other than certain distributions of our stock or rights to acquire our stock)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Holders-Gain or Loss on Sale, Taxable Exchange or Other Taxable Disposition of Common Stock and Warrants</w:t>
      </w:r>
      <w:r>
        <w:rPr>
          <w:rFonts w:ascii="Times New Roman" w:cs="Times New Roman" w:eastAsia="Times New Roman" w:hAnsi="Times New Roman"/>
          <w:sz w:val="18"/>
          <w:szCs w:val="18"/>
          <w:color w:val="auto"/>
        </w:rPr>
        <w:t>” below.</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Gain or Loss on Sale, Taxable Exchange or Other Taxable Disposition of Common Stock and Warrants. </w:t>
      </w:r>
      <w:r>
        <w:rPr>
          <w:rFonts w:ascii="Times New Roman" w:cs="Times New Roman" w:eastAsia="Times New Roman" w:hAnsi="Times New Roman"/>
          <w:sz w:val="18"/>
          <w:szCs w:val="18"/>
          <w:color w:val="auto"/>
        </w:rPr>
        <w:t>A U.S. holder will generally recognize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on the sale, taxable exchange or other taxable disposition of our Common Stock or Warrants which, in general, would include a redemption of Warrants that is treated as a sale as described below. Any such gain or loss will be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Long-term capital gains recognized by non-corporate U.S. holders may be eligible to be taxed at reduced rates. If the holding period requirements are not satisfied, any gain on a sale or taxable disposition of the shares or warrants would be subject to short-term capital gain treatment and would be taxed at regular ordinary income tax rates. The deductibility of capital losses is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less, in the case of a share of Common Stock, any prior distributions treated as a return of capital.</w:t>
      </w:r>
    </w:p>
    <w:p>
      <w:pPr>
        <w:spacing w:after="0" w:line="1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Lapse or Redemption of a Warrant. </w:t>
      </w:r>
      <w:r>
        <w:rPr>
          <w:rFonts w:ascii="Times New Roman" w:cs="Times New Roman" w:eastAsia="Times New Roman" w:hAnsi="Times New Roman"/>
          <w:sz w:val="18"/>
          <w:szCs w:val="18"/>
          <w:color w:val="auto"/>
        </w:rPr>
        <w:t>Except as discussed below with respect to the cashless exercise of a warrant, a U.S. holder generally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recognize taxable gain or loss on the acquisition of our Common Stock upon exercise of a Warrant for cash. The U.S. holder’s tax basis in the share of our Common Stock received upon exercise of the Warrants generally will be an amount equal to the sum of the U.S. holder’s initial investment in the Warrants and the exercise price.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 If the cashless exercise were treated as not being a gain realization event, a U.S. holder’s holding period in the Common Stock would either include the period during which the U.S. holder held the Warrant or be treated as commencing on the date following the date of exercise (or possibly the date of exercise) of the Warrant. If the cashless exercise were treated as a recapitalization, the holding period of the Common Stock would include the holding period of the Warrant.</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in an amount equal to the difference between the fair market value of the surrendered warrants and the U.S. holder’s tax basis in such Warrants. In this case, a U.S. holder’s tax basis in the Common Stock received would equal the sum of the U.S. holder’s initial tax basis in the Warrants exercised (except for any such tax basis allocable to the surrendered warrants) and the exercise price of the exercised Warrants. A U.S. holder’s holding period for the Common Stock would commence on the date following the date of exercise (or possibly the date of exercise) of the Warrant.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Common Stock received, there can be no assurance which of the alternative tax consequences and holding periods described above would be adopted by the IRS or a court of law. Accordingly, U.S. holders should consult their tax advisors regarding the tax consequences of a cashless exercise.</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If we redeem Warrants for cash pursuant to the redemption provisions described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such redemption or purchase generally will be treated as a taxable disposition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 taxed as described above under “-</w:t>
      </w:r>
      <w:r>
        <w:rPr>
          <w:rFonts w:ascii="Times New Roman" w:cs="Times New Roman" w:eastAsia="Times New Roman" w:hAnsi="Times New Roman"/>
          <w:sz w:val="18"/>
          <w:szCs w:val="18"/>
          <w:i w:val="1"/>
          <w:iCs w:val="1"/>
          <w:color w:val="auto"/>
        </w:rPr>
        <w:t>Gain or Loss on Sale, Taxable Exchange or Other Taxable Disposition of Common Stock and Warrants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Common Stock for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may be exercised or to the exercise price of the Warrant in certain events, as discussed in the section of this prospectus entitled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Securities-Warrants</w:t>
      </w:r>
      <w:r>
        <w:rPr>
          <w:rFonts w:ascii="Times New Roman" w:cs="Times New Roman" w:eastAsia="Times New Roman" w:hAnsi="Times New Roman"/>
          <w:sz w:val="18"/>
          <w:szCs w:val="18"/>
          <w:color w:val="auto"/>
        </w:rPr>
        <w:t>.” An adjustment which has the effect of preventing dilution generally is not taxable. The U.S. holders of the Warrants would,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treated 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the same manner as if the U.S. holders of the Warrants received a cash distribution from us equal to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increased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 general, information reporting requirements may apply to dividends paid to a U.S. holder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proceeds of the sale or other disposition of shares of our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Common Stock or Warrants who or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In general, any distributions we make to a Non-U.S. holder of shares of our Common Stock, to the extent paid out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 Common Stock and Warrants</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(or if a tax treaty applies, are attributable to a U.S. permanent establishment or fixed base maintained by the Non-U.S. holder). Instead, the effectively connected dividends will be subject to regular U.S. income tax as if the Non-U.S. holder were a U.S. holder, subject to an applicable income tax treaty providing otherwise. A non-U.S.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Lapse or Redemption of a Warrant. </w:t>
      </w:r>
      <w:r>
        <w:rPr>
          <w:rFonts w:ascii="Times New Roman" w:cs="Times New Roman" w:eastAsia="Times New Roman" w:hAnsi="Times New Roman"/>
          <w:sz w:val="18"/>
          <w:szCs w:val="18"/>
          <w:color w:val="auto"/>
        </w:rPr>
        <w:t>The U.S. federal income tax treatment of a Non-U.S. holder’s exercise of a warrant, or the lapse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 above, although to the extent a cashless exercise results in a taxable exchange, the consequences would be similar to those described below in “</w:t>
      </w:r>
      <w:r>
        <w:rPr>
          <w:rFonts w:ascii="Times New Roman" w:cs="Times New Roman" w:eastAsia="Times New Roman" w:hAnsi="Times New Roman"/>
          <w:sz w:val="18"/>
          <w:szCs w:val="18"/>
          <w:i w:val="1"/>
          <w:iCs w:val="1"/>
          <w:color w:val="auto"/>
        </w:rPr>
        <w:t>Non-U.S. Holders-Gain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Stock and Warrants</w:t>
      </w:r>
      <w:r>
        <w:rPr>
          <w:rFonts w:ascii="Times New Roman" w:cs="Times New Roman" w:eastAsia="Times New Roman" w:hAnsi="Times New Roman"/>
          <w:sz w:val="18"/>
          <w:szCs w:val="18"/>
          <w:color w:val="auto"/>
        </w:rPr>
        <w:t>.” The U.S. federal income tax treatment for a Non-U.S. holder of a redemption of Warrants for cash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would be similar to that described below in “</w:t>
      </w:r>
      <w:r>
        <w:rPr>
          <w:rFonts w:ascii="Times New Roman" w:cs="Times New Roman" w:eastAsia="Times New Roman" w:hAnsi="Times New Roman"/>
          <w:sz w:val="18"/>
          <w:szCs w:val="18"/>
          <w:i w:val="1"/>
          <w:iCs w:val="1"/>
          <w:color w:val="auto"/>
        </w:rPr>
        <w:t>Non-U.S. Holders-Gain on Sale, Taxable Exchange or Other Taxable Disposition of Common Stock and Warrants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9" w:name="page110"/>
    <w:bookmarkEnd w:id="109"/>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Taxable Exchange or Other Taxable Disposition of Common Stock and Warrants. </w:t>
      </w:r>
      <w:r>
        <w:rPr>
          <w:rFonts w:ascii="Times New Roman" w:cs="Times New Roman" w:eastAsia="Times New Roman" w:hAnsi="Times New Roman"/>
          <w:sz w:val="18"/>
          <w:szCs w:val="18"/>
          <w:color w:val="auto"/>
        </w:rPr>
        <w:t>A Non-U.S. holder generally will not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federal income or withholding tax in respect of gain recognized on a sale, taxable exchange or other taxable disposition of our Common Stock or Warrants (including a redemption of our Warrants), unless:</w:t>
      </w:r>
    </w:p>
    <w:p>
      <w:pPr>
        <w:spacing w:after="0" w:line="202" w:lineRule="exact"/>
        <w:rPr>
          <w:sz w:val="20"/>
          <w:szCs w:val="20"/>
          <w:color w:val="auto"/>
        </w:rPr>
      </w:pPr>
    </w:p>
    <w:p>
      <w:pPr>
        <w:ind w:left="740" w:right="40" w:hanging="354"/>
        <w:spacing w:after="0" w:line="282" w:lineRule="auto"/>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215" w:lineRule="exact"/>
        <w:rPr>
          <w:rFonts w:ascii="Times New Roman" w:cs="Times New Roman" w:eastAsia="Times New Roman" w:hAnsi="Times New Roman"/>
          <w:sz w:val="18"/>
          <w:szCs w:val="18"/>
          <w:color w:val="auto"/>
        </w:rPr>
      </w:pPr>
    </w:p>
    <w:p>
      <w:pPr>
        <w:jc w:val="both"/>
        <w:ind w:left="740" w:right="20" w:hanging="354"/>
        <w:spacing w:after="0" w:line="256" w:lineRule="auto"/>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21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not, and do not anticipate becoming, a U.S. real property holding corporation; however, there can be no assurance that we will not become a U.S. real property holding corporation in the future.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holder.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distribution.</w:t>
      </w:r>
    </w:p>
    <w:p>
      <w:pPr>
        <w:spacing w:after="0" w:line="17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Common Stock for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may be exercised or to the exercise price of the Warrant in certain events, as discussed in the section of this prospectus entitled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Securities-Warrants</w:t>
      </w:r>
      <w:r>
        <w:rPr>
          <w:rFonts w:ascii="Times New Roman" w:cs="Times New Roman" w:eastAsia="Times New Roman" w:hAnsi="Times New Roman"/>
          <w:sz w:val="18"/>
          <w:szCs w:val="18"/>
          <w:color w:val="auto"/>
        </w:rPr>
        <w:t>.” An adjustment which has the effect of preventing dilution is generally not taxable. The Non-U.S. holders of Warrants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be 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a stock dividend to the holders of our Common Stock, in each case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Information returns will be filed with the IRS in connection with payments of dividends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a sale or other disposition of shares of our Common Stock and Warrants. A Non-U.S. holder may have to comply with certification procedures to establish that it is not a United States person (by providing certification of its foreign status, under penalties of perjury, on a duly executed applicable IRS Form W-8 or by otherwise establishing an exemption)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FATCA Withholding Taxes. </w:t>
      </w:r>
      <w:r>
        <w:rPr>
          <w:rFonts w:ascii="Times New Roman" w:cs="Times New Roman" w:eastAsia="Times New Roman" w:hAnsi="Times New Roman"/>
          <w:sz w:val="18"/>
          <w:szCs w:val="18"/>
          <w:color w:val="auto"/>
        </w:rPr>
        <w:t>Provisions commonly referred to as “FATCA” impose withholding of 30% on payments of dividends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constructive dividends) and, subject to the discussion of certain proposed U.S. Treasury regulations below, on the gross proceeds from a sale or other disposition of our Common Stock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 The IRS released proposed U.S. Treasury regulations that, if finalized in their present form, would eliminate the U.S. federal withholding tax of 30% applicable to the gross proceeds of a sale or other disposition of our Common Stock. In its preamble to such proposed U.S. Treasury regulations, the IRS stated that taxpayers may generally rely on the proposed U.S. Treasury regulations until final U.S. Treasury regulations are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CID HoldCo, Inc. as of and for the year ended December 31, 2025, included in this prospectus of CID HoldCo, Inc., which is referred to and made a part of this Prospectus and Registration Statement, have been audited by Carr, Riggs &amp; Ingram L.L.C., an independent registered public accounting firm, as set forth in their report appearing elsewhere herein, and are included in reliance upon such report given on the authority of such firm as experts in accounting and auditing.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SEE ID as of and for the year ended December 31, 2024, included in this prospectus of CID HoldCo, Inc., which is referred to and made a part of this Prospectus and Registration Statement, have been audited by Berkowitz Pollack Brant Advisors + CPAs, an independent registered public accounting firm, as set forth in their report appearing elsewhere herein, and are included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DLA Piper LLP (US) will pass upon the validity of the shares of Common Stock covered by this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website, free of charge, at www.atipt.com. The information found on, or that can be accessed from or that is hyperlinked to, our website is not part of this prospectus. You may inspect a copy of the registration statement through the SEC’s website, as provided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INDEPENDENT REGISTERED PUBLIC ACCOUNTING FIRM</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notified that Carr, Riggs &amp; Ingram, L.L.C. (“CRI”) acquired, effective as of January 1, 2026, certain assets related to the capital markets practice of Berkowitz Pollack Brant Advisors + CPAs, LLP (“BPB”). On January 13, 2026, the Audit Committee of the Board approved the dismissal of BPB as the Company’s independent registered public accounting firm and the appointment of CRI as the Company’s new independent registered public accounting firm, effective immediately. BPB previously served as the independent registered public accounting firm of SEE ID prior to the Business Combination.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8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3040" w:type="dxa"/>
            <w:vAlign w:val="bottom"/>
          </w:tcPr>
          <w:p>
            <w:pPr>
              <w:spacing w:after="0"/>
              <w:rPr>
                <w:sz w:val="20"/>
                <w:szCs w:val="20"/>
                <w:color w:val="auto"/>
              </w:rPr>
            </w:pPr>
          </w:p>
        </w:tc>
      </w:tr>
      <w:tr>
        <w:trPr>
          <w:trHeight w:val="216"/>
        </w:trPr>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196"/>
        </w:trPr>
        <w:tc>
          <w:tcPr>
            <w:tcW w:w="55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213)</w:t>
            </w:r>
          </w:p>
        </w:tc>
        <w:tc>
          <w:tcPr>
            <w:tcW w:w="266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ind w:left="246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6"/>
        </w:trPr>
        <w:tc>
          <w:tcPr>
            <w:tcW w:w="82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52)</w:t>
            </w:r>
          </w:p>
        </w:tc>
        <w:tc>
          <w:tcPr>
            <w:tcW w:w="3040" w:type="dxa"/>
            <w:vAlign w:val="bottom"/>
          </w:tcPr>
          <w:p>
            <w:pPr>
              <w:ind w:left="246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20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6160" w:type="dxa"/>
            <w:vAlign w:val="bottom"/>
            <w:tcBorders>
              <w:bottom w:val="single" w:sz="8" w:color="CCEEFF"/>
            </w:tcBorders>
            <w:gridSpan w:val="6"/>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ind w:left="246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82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3040" w:type="dxa"/>
            <w:vAlign w:val="bottom"/>
          </w:tcPr>
          <w:p>
            <w:pPr>
              <w:ind w:left="246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stockholders’ deficit</w:t>
            </w:r>
          </w:p>
        </w:tc>
        <w:tc>
          <w:tcPr>
            <w:tcW w:w="4720" w:type="dxa"/>
            <w:vAlign w:val="bottom"/>
            <w:tcBorders>
              <w:bottom w:val="single" w:sz="8" w:color="CCEEFF"/>
            </w:tcBorders>
            <w:gridSpan w:val="3"/>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ind w:left="246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82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040" w:type="dxa"/>
            <w:vAlign w:val="bottom"/>
          </w:tcPr>
          <w:p>
            <w:pPr>
              <w:ind w:left="246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82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040" w:type="dxa"/>
            <w:vAlign w:val="bottom"/>
            <w:shd w:val="clear" w:color="auto" w:fill="CCEEFF"/>
          </w:tcPr>
          <w:p>
            <w:pPr>
              <w:ind w:left="246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439"/>
        </w:trPr>
        <w:tc>
          <w:tcPr>
            <w:tcW w:w="2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2760" w:type="dxa"/>
            <w:vAlign w:val="bottom"/>
            <w:tcBorders>
              <w:top w:val="single" w:sz="8" w:color="CCEEFF"/>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F-1</w:t>
            </w:r>
          </w:p>
        </w:tc>
        <w:tc>
          <w:tcPr>
            <w:tcW w:w="3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2" w:name="page113"/>
    <w:bookmarkEnd w:id="11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CID Holdco,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CID Holdco, Inc. (the “Company”) as of December 31, 2025,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also audited the adjustments to the consolidated financial statements as of and for the year ended December 31, 2024 to retrospectively apply such adjustments to the consolidated financial statements to reflect the effects of the reverse recapitalization, as described in Notes 2, 3 and 11. In addition, we have audited the adjustments to the consolidated financial statements for the year ended December 31, 2024, as described in Notes 2 and 4. In our opinion, such adjustments in Notes 2, 3, 4 and 11 are appropriate and have been properly applied. We were not engaged to audit, review or apply any procedures to the consolidated financial statements as of or for the year ended December 31, 2024, of the Company other than with respect to the adjustments described above, and, accordingly, we do not express an opinion on any other form of assurance on the December 31, 2024 consolidated financial statements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has a working capital deficiency, and an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Carr, Riggs &amp; Ingram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Palm Beach Gardens, Florida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SEE ID, Inc. dba Dot 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Berkowitz Pollack Brant Advisors + CPAs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865,624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721,032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3,624,547</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50,264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1,430,881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65,248</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480,903</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167,551</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6,401,955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1,004,095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645,240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(ROU)</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701,878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307,892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2,920,718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1,761,396</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27,893</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12,103</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2,092,677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10,697,684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3,096,772</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4,124,924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770,276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1,826,189</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177,222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246,720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franchise taxes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78,635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1,540,651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236,038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1,142,643</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139,963</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36,225</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2,220,083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23,334,626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1,748,512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1,570,572</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577,656</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2,326,168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25,170,611</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10,458,218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27,390,694</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17)</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29,273,321 and 12,210,718 shares issued and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2,927</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61,687,873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438,120</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(61,451,334)</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(24,733,263)</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(24,293,922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10,697,684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3,096,772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5,804,369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3,133,139</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43,634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2,671,230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6,764,453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1,563,328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1,446,203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850,261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3,671,865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2,721,981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8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1,154,857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2,038,130</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36,463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13,073,841</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7,173,700</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(10,402,611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Change in fair value of derivative liabilities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Business combination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issuance of shares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(404,624)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(17,368,415)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(14,492,176)</w:t>
            </w:r>
          </w:p>
        </w:tc>
      </w:tr>
      <w:tr>
        <w:trPr>
          <w:trHeight w:val="216"/>
        </w:trPr>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158,241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(2,726,183)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(5,728,295)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5"/>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(246,184)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(26,315,460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(14,492,176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1"/>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(36,718,071)</w:t>
            </w: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(21,536,849)</w:t>
            </w:r>
          </w:p>
        </w:tc>
        <w:tc>
          <w:tcPr>
            <w:tcW w:w="40" w:type="dxa"/>
            <w:vAlign w:val="bottom"/>
          </w:tcPr>
          <w:p>
            <w:pPr>
              <w:spacing w:after="0"/>
              <w:rPr>
                <w:sz w:val="20"/>
                <w:szCs w:val="20"/>
                <w:color w:val="auto"/>
              </w:rPr>
            </w:pPr>
          </w:p>
        </w:tc>
      </w:tr>
    </w:tbl>
    <w:p>
      <w:pPr>
        <w:jc w:val="right"/>
        <w:ind w:right="40" w:firstLine="1069"/>
        <w:spacing w:after="0" w:line="292" w:lineRule="auto"/>
        <w:tabs>
          <w:tab w:leader="none" w:pos="21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581 $  (36,718,071)  $  (21,537,430)</w:t>
      </w:r>
    </w:p>
    <w:p>
      <w:pPr>
        <w:spacing w:after="0" w:line="1" w:lineRule="exact"/>
        <w:rPr>
          <w:sz w:val="20"/>
          <w:szCs w:val="20"/>
          <w:color w:val="auto"/>
        </w:rPr>
      </w:pPr>
    </w:p>
    <w:p>
      <w:pPr>
        <w:sectPr>
          <w:pgSz w:w="11900" w:h="16838" w:orient="portrait"/>
          <w:cols w:equalWidth="0" w:num="2">
            <w:col w:w="7960" w:space="720"/>
            <w:col w:w="256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86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20,579,971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12,124,303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Legacy Common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4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Prior to retroactive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4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application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45"/>
        </w:trPr>
        <w:tc>
          <w:tcPr>
            <w:tcW w:w="3040" w:type="dxa"/>
            <w:vAlign w:val="bottom"/>
          </w:tcPr>
          <w:p>
            <w:pPr>
              <w:spacing w:after="0"/>
              <w:rPr>
                <w:sz w:val="21"/>
                <w:szCs w:val="21"/>
                <w:color w:val="auto"/>
              </w:rPr>
            </w:pPr>
          </w:p>
        </w:tc>
        <w:tc>
          <w:tcPr>
            <w:tcW w:w="240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recapitalization</w:t>
            </w: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1"/>
                <w:szCs w:val="21"/>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(108,975)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12,208,851</w:t>
            </w:r>
          </w:p>
        </w:tc>
        <w:tc>
          <w:tcPr>
            <w:tcW w:w="12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107,754</w:t>
            </w:r>
          </w:p>
        </w:tc>
        <w:tc>
          <w:tcPr>
            <w:tcW w:w="120" w:type="dxa"/>
            <w:vAlign w:val="bottom"/>
          </w:tcPr>
          <w:p>
            <w:pPr>
              <w:spacing w:after="0"/>
              <w:rPr>
                <w:sz w:val="22"/>
                <w:szCs w:val="22"/>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0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Balances as of December 31, 2023,</w:t>
            </w:r>
          </w:p>
        </w:tc>
        <w:tc>
          <w:tcPr>
            <w:tcW w:w="10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12,208,851</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241,114</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(3,195,833)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197,006</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197,006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(21,537,430)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3040" w:type="dxa"/>
            <w:vAlign w:val="bottom"/>
            <w:vMerge w:val="continue"/>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12,210,718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438,120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140" w:type="dxa"/>
            <w:vAlign w:val="bottom"/>
            <w:vMerge w:val="continue"/>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(24,293,922</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Reverse recapitalization transactions,</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15,426,221</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56,155,649</w:t>
            </w:r>
          </w:p>
        </w:tc>
        <w:tc>
          <w:tcPr>
            <w:tcW w:w="12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56,157,192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purchase commitment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106,382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349,990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issuance for cash</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1,530,000</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801,047</w:t>
            </w:r>
          </w:p>
        </w:tc>
        <w:tc>
          <w:tcPr>
            <w:tcW w:w="1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801,200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Excise tax forgiveness</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3,905,240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3,905,240</w:t>
            </w:r>
          </w:p>
        </w:tc>
        <w:tc>
          <w:tcPr>
            <w:tcW w:w="0" w:type="dxa"/>
            <w:vAlign w:val="bottom"/>
          </w:tcPr>
          <w:p>
            <w:pPr>
              <w:spacing w:after="0"/>
              <w:rPr>
                <w:sz w:val="1"/>
                <w:szCs w:val="1"/>
                <w:color w:val="auto"/>
              </w:rPr>
            </w:pPr>
          </w:p>
        </w:tc>
      </w:tr>
      <w:tr>
        <w:trPr>
          <w:trHeight w:val="22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(36,718,071)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(36,718,071)</w:t>
            </w:r>
          </w:p>
        </w:tc>
        <w:tc>
          <w:tcPr>
            <w:tcW w:w="0" w:type="dxa"/>
            <w:vAlign w:val="bottom"/>
          </w:tcPr>
          <w:p>
            <w:pPr>
              <w:spacing w:after="0"/>
              <w:rPr>
                <w:sz w:val="1"/>
                <w:szCs w:val="1"/>
                <w:color w:val="auto"/>
              </w:rPr>
            </w:pPr>
          </w:p>
        </w:tc>
      </w:tr>
      <w:tr>
        <w:trPr>
          <w:trHeight w:val="27"/>
        </w:trPr>
        <w:tc>
          <w:tcPr>
            <w:tcW w:w="3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2025</w:t>
            </w: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29,273,321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61,687,873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(61,451,334</w:t>
            </w:r>
          </w:p>
        </w:tc>
        <w:tc>
          <w:tcPr>
            <w:tcW w:w="140" w:type="dxa"/>
            <w:vAlign w:val="bottom"/>
            <w:vMerge w:val="continue"/>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239,466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(36,718,071)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36,463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origination fees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15,833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17,368,415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14,492,176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(158,241)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156,869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37,827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197,006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98,850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37,689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5,728,295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share issuance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246,184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566,071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shares issued as commitment fee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(3,574,283)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(311,543)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(1,365,633)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3,354,648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768,542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1,801,970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(69,498)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227,852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franchise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(94,452)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(43,943)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(728,665)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2,713,215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(13,250,533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(3,290,008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(670,417)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(1,159,322)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(834,220)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(1,829,739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(834,220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SAFE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23,752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4,239,500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short term loan, net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new shares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555,016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 origination fees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(1,380,545)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short term loan</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(48,306)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PIPE investments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10,837,643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5,577,304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15,224,864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4,239,500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during the year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721,032</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605,760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year</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865,624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721,032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obtained in exchange for lease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482,227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324,426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Conversion of SAFE notes to equity</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40,726,793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8,597,750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DISCLOSURE OF CASH ACTIVITIES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Legacy Company incorporated Dot Works, Inc.,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18, 2024, ShoulderUp Technology Acquisition Corp., a Delaware corporation (“</w:t>
      </w:r>
      <w:r>
        <w:rPr>
          <w:rFonts w:ascii="Times New Roman" w:cs="Times New Roman" w:eastAsia="Times New Roman" w:hAnsi="Times New Roman"/>
          <w:sz w:val="18"/>
          <w:szCs w:val="18"/>
          <w:b w:val="1"/>
          <w:bCs w:val="1"/>
          <w:i w:val="1"/>
          <w:iCs w:val="1"/>
          <w:color w:val="auto"/>
        </w:rPr>
        <w:t>ShoulderUp</w:t>
      </w:r>
      <w:r>
        <w:rPr>
          <w:rFonts w:ascii="Times New Roman" w:cs="Times New Roman" w:eastAsia="Times New Roman" w:hAnsi="Times New Roman"/>
          <w:sz w:val="18"/>
          <w:szCs w:val="18"/>
          <w:color w:val="auto"/>
        </w:rPr>
        <w:t>”), entered into a Business Combination Agreement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CID Holdco, Inc., a Delaware corporation and a direct, wholly-owned subsidiary of ShoulderUp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ShoulderUp Merger Sub, Inc., a Delaware corporation and wholly-owned subsidiary of Holdings (“</w:t>
      </w:r>
      <w:r>
        <w:rPr>
          <w:rFonts w:ascii="Times New Roman" w:cs="Times New Roman" w:eastAsia="Times New Roman" w:hAnsi="Times New Roman"/>
          <w:sz w:val="18"/>
          <w:szCs w:val="18"/>
          <w:b w:val="1"/>
          <w:bCs w:val="1"/>
          <w:i w:val="1"/>
          <w:iCs w:val="1"/>
          <w:color w:val="auto"/>
        </w:rPr>
        <w:t>ShoulderUp Merger Sub</w:t>
      </w:r>
      <w:r>
        <w:rPr>
          <w:rFonts w:ascii="Times New Roman" w:cs="Times New Roman" w:eastAsia="Times New Roman" w:hAnsi="Times New Roman"/>
          <w:sz w:val="18"/>
          <w:szCs w:val="18"/>
          <w:color w:val="auto"/>
        </w:rPr>
        <w:t>”), SEI Merger Sub, Inc., a Delaware corporation and a direct, wholly owned subsidiary of Holdings (“</w:t>
      </w:r>
      <w:r>
        <w:rPr>
          <w:rFonts w:ascii="Times New Roman" w:cs="Times New Roman" w:eastAsia="Times New Roman" w:hAnsi="Times New Roman"/>
          <w:sz w:val="18"/>
          <w:szCs w:val="18"/>
          <w:b w:val="1"/>
          <w:bCs w:val="1"/>
          <w:i w:val="1"/>
          <w:iCs w:val="1"/>
          <w:color w:val="auto"/>
        </w:rPr>
        <w:t>SEI Merger Sub</w:t>
      </w:r>
      <w:r>
        <w:rPr>
          <w:rFonts w:ascii="Times New Roman" w:cs="Times New Roman" w:eastAsia="Times New Roman" w:hAnsi="Times New Roman"/>
          <w:sz w:val="18"/>
          <w:szCs w:val="18"/>
          <w:color w:val="auto"/>
        </w:rPr>
        <w:t>” and together with ShoulderUp Merger Sub, the “</w:t>
      </w:r>
      <w:r>
        <w:rPr>
          <w:rFonts w:ascii="Times New Roman" w:cs="Times New Roman" w:eastAsia="Times New Roman" w:hAnsi="Times New Roman"/>
          <w:sz w:val="18"/>
          <w:szCs w:val="18"/>
          <w:b w:val="1"/>
          <w:bCs w:val="1"/>
          <w:i w:val="1"/>
          <w:iCs w:val="1"/>
          <w:color w:val="auto"/>
        </w:rPr>
        <w:t>Merger Subs</w:t>
      </w:r>
      <w:r>
        <w:rPr>
          <w:rFonts w:ascii="Times New Roman" w:cs="Times New Roman" w:eastAsia="Times New Roman" w:hAnsi="Times New Roman"/>
          <w:sz w:val="18"/>
          <w:szCs w:val="18"/>
          <w:color w:val="auto"/>
        </w:rPr>
        <w:t>”), and SEE ID, Inc., a Nevada corporation (collectively with any predecessor entities,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jc w:val="both"/>
        <w:spacing w:after="0" w:line="254"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SUA Class A Common Stock received one warrant to purchase the Company’s Common Stock at an exercise price of $11.50 per share.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Going Concern</w:t>
      </w:r>
      <w:r>
        <w:rPr>
          <w:rFonts w:ascii="Times New Roman" w:cs="Times New Roman" w:eastAsia="Times New Roman" w:hAnsi="Times New Roman"/>
          <w:sz w:val="18"/>
          <w:szCs w:val="18"/>
          <w:color w:val="auto"/>
        </w:rPr>
        <w:t>, which requires that management evaluate whether there are relevant conditions and events that in aggregate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the entity’s ability to continue as a going concern and to meet its obligations as they become due within one year after the date that the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limited operating history, has incurred significant operating losses since its inception, and the revenue and income potential of the Company’s business and market are unproven. The preparation of these consolidated financial statements does not include any adjustments that may result from the outcome of this uncertainty. The Company’s consolidated financial statements are prepared using the generally accepted accounting principles applicable to a going concern, which contemplates the realization of assets and liquidation of liabilities in the normal course of business. As of December 31, 2025, the Company had $865,624 in cash, a working capital deficit of $1,730,095 and accumulated deficit of $61,451,334. To date, the Company has funded its operations primarily with the net proceeds from the issuance of convertible promissory notes and the issuance and sale of equity securities. Following June 18, 2025, the Company has also funded its operations with proceeds from the Business Combination, short-term borrowings, and proceeds from the issuance of shares under its share subscription line of credit. The Company expects to incur substantial operating losses for the next several years and has obtained additional near-term financing to continue its research and development activities.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line of credit agreement under which the Company can access up to $50,000,000 in aggregate proceeds (see Note 9) to fund its R&amp;D activities and its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annual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audited financial statements include the accounts of CID Holdco, and its wholly-owned subsidiaries, Dot Ai and Dot Works, which are collectively referred to as the “Company” in these consolidated financial statements. All intercompany balances and transactions have been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CID Holdco, Inc. and its subsidiaries, with all intercompany transactions and balances eliminated in consolidation. The Company has prepared the Consolidated Financial Statements in accordance with accounting principles generally accepted in the United States of America (“U.S. GAAP”), as established by the Financial Accounting Standards Board (“FASB”) through the Accounting Standards Codification (“ASC”), and in conformity with the rules and regulations of the United States Securities and Exchange Commission (the “SEC”). In the opinion of management, the Consolidated Financial Statements reflect all adjustments, consisting only of normal recurring adjustments, necessary for the fair presentation of the Company’s financial position, results of operations, and cash flows for the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consolidated financial statements or related disclosures.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2024-04, </w:t>
      </w:r>
      <w:r>
        <w:rPr>
          <w:rFonts w:ascii="Times New Roman" w:cs="Times New Roman" w:eastAsia="Times New Roman" w:hAnsi="Times New Roman"/>
          <w:sz w:val="18"/>
          <w:szCs w:val="18"/>
          <w:i w:val="1"/>
          <w:iCs w:val="1"/>
          <w:color w:val="auto"/>
        </w:rPr>
        <w:t>Debt—Debt with Conversion and Other Options (Subtopic 470-20): Clarifications to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Certain Convertible Debt Instruments</w:t>
      </w:r>
      <w:r>
        <w:rPr>
          <w:rFonts w:ascii="Times New Roman" w:cs="Times New Roman" w:eastAsia="Times New Roman" w:hAnsi="Times New Roman"/>
          <w:sz w:val="18"/>
          <w:szCs w:val="18"/>
          <w:color w:val="auto"/>
        </w:rPr>
        <w:t>, which amends ASC 470-202 to clarify the requirements related to accounting for the settlement of a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as an induced conversion. The ASU is intended to improve the relevance and consistency in application of the induced conversion guidance in ASC 470-20 for (a) convertible debt instruments with cash conversion features and (b) debt instruments that are not currently convertible. The ASU removes references limiting induced conversion guidance to settlements in equity, thereby clarifying that the guidance may apply to conversions settled in equity, cash (or other assets), or a combination thereof. It also clarifies that, to qualify for induced conversion accounting, (i) the inducement offer must preserve the form and amount of consideration issuable under the original conversion privileges, (ii) the instrument must contain a substantive conversion feature at issuance and on the date the inducement offer is accepted, and (iii) the conversion must result from changed conversion privileges exercisable only for a limited period. The ASU further provides implementation guidance and examples, and clarifies that inducement expense is measured as the excess of the fair value of the consideration transferred over the fair value of the consideration issuable under the original conversion terms. The amendments in ASU No. 2024-04 are effective for fiscal years beginning after December 15, 2025, including interim periods within those fiscal years. Early adoption is permitted. The Company has not early adopted this guidance and is currently evaluating the impact that adoption may have on its consolidated financial statements and related disclosures, including the accounting for its senior secured convertible loan arrangements and any related settlement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18,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in these notes to the consolidated financial statements for further detail.</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prescribes standardized categories and enhanced disaggregation of information in the rate reconciliation, requires disclosure of disaggregated income taxes paid, and modifies certain other income tax-related disclosure requirements. The standard is effective for fiscal years beginning after December 15, 2024, and was adopted by the Company in its fiscal year 2025 annual reporting period. The Company evaluated the impact of adopting this guidance and, because it continues to operate in a loss position and does not pay income taxes, the adoption did not have a material impact on its consolidated financial statements or related disclosures.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the accounting standards described above, the Company did not adopt any new accounting standards during the year ended December 31, 2025 that had a material impact on its consolidated financial statements. The Company has reviewed all recently issued accounting pronouncements and determined that no other standards adopted during the period materially affected its consolidated financial position, results of operations, cash flows, or related disclosures.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useful lives of capitalized software development costs, the fair value of the SAFE agreements, warrant liabilities, embedded derivatives, share-based compensation, obsolete inventory, the put option under the equity line of credit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its cash deposits with major financial institutions, that at times, are greater than the FDIC limit.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spacing w:after="0" w:line="18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 that the entity can access.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advance payments made to suppliers for inventory that the company has not yet received. The Company periodically reviews the carrying value of prepaid expenses and other current assets to determine if any amounts are no longer recoverable, and records an expense in the period such determination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are derived from customers located primarily in North America. The Company generally does not require collateral to support customer receivables.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December 31, 2025 and 2024, there was no accounts receivable allowance for credit losses. There were no credit losses for the years ended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consists of raw materials, work in progress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NRV. Management also periodically performs a valuation on allowance for excess and obsolete inventory. No valuation allowance was necessary as of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Routine maintenance and repair costs are expensed as incurred, while expenditures that materially extend the useful life or improve the functionality of an asset are capitalized. Upon sale, retirement, or other disposition, the cost and related accumulated depreciation are removed from the accounts, and any resulting gain or loss is recognized in operations. Depreciation on equipment is calculated using the straight-line method for assets with a cost exceeding $5,000 over their estimated useful lives, generally three to five years, except for a laser machine, which is depreciated over an estimated useful life of ten years. Leasehold improvements are depreciated over the shorter of the lease term or their estimated useful lives.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350-40,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18"/>
          <w:szCs w:val="18"/>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December 31, 2025 and 2024, and for the years then ended, no projects have been substantially completed and ready for their intended use, and no amortization was recorded in the accompanying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December 31, 2025 and 2024, and for the years then ended, no such indicators of impairment were identified, and accordingly, no impairment losses were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core principle of this standard is that a lessee should recognize the assets and liabilities that arise from leases, by recognizing in the consolidated balance sheets a liability to make lease payments (the lease liability) and a right-of-use asset representing its right to use the underlying asset for the lease term.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has two operating leases for the facilities located in Bethesda, Maryland and Barceloneta, Puerto Rico.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payments are included in the future lease payments when those variable payments depend on an index or a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convertible debt instruments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other applicable authoritative guidance. Management evaluates the terms of each instrument to 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Embedded Derivatives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and therefore require separation from the host contract. The embedded call option permits the Company, upon a change in control, to call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Company’s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issued in connection with the short-term loan are accounted for as a separate derivative liability. The warrants are measured at fair value at each reporting date, and changes in fair value are recognized in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transaction was accounted for as a reverse recapitalization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Although ShoulderUp was the legal acquirer in the transaction, the Company was determined to be the accounting acquirer based on the evaluation of the relevant accounting guidance. Accordingly, the transaction was treated 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consists of payments received in advance of satisfaction of a performance obligation and is recognized as the performance obligations are satisfied.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as a single reportable segment and generates revenue from an integrated offering of hardware products and related software and subscription services. Revenue is disaggregated into product and service categories. Product revenue primarily consists of sales of hardware devices that serve as the initial step in customer adoption of the Company’s cloud-based SaaS platform. Service revenue primarily consists of subscription services providing access to the Company’s software platform, along with related training, support, professional services such as onboarding and consulting, feasibility studies, and certain reseller exclusivity arrangements. The Company’s integrated hardware and software model is designed to expand customer adoption of its platform and strengthen reseller partnerships. All revenue for the periods presented was generated from customers located in the United States. (see Note 18,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exclusivity agreement, the Company received a $2,000,000 payment from the reseller.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pays sales commissions to its sales personnel in connection with customer contracts. As the Company’s revenue is recognized at a point in time and the commission amounts are not significant relative to the related contract period, the Company applies the practical expedient under ASC 340-40 </w:t>
      </w:r>
      <w:r>
        <w:rPr>
          <w:rFonts w:ascii="Times New Roman" w:cs="Times New Roman" w:eastAsia="Times New Roman" w:hAnsi="Times New Roman"/>
          <w:sz w:val="18"/>
          <w:szCs w:val="18"/>
          <w:i w:val="1"/>
          <w:iCs w:val="1"/>
          <w:color w:val="auto"/>
        </w:rPr>
        <w:t>Other Assets and Deferred Costs—Contracts with Customers</w:t>
      </w:r>
      <w:r>
        <w:rPr>
          <w:rFonts w:ascii="Times New Roman" w:cs="Times New Roman" w:eastAsia="Times New Roman" w:hAnsi="Times New Roman"/>
          <w:sz w:val="18"/>
          <w:szCs w:val="18"/>
          <w:color w:val="auto"/>
        </w:rPr>
        <w:t>, to expense incremental costs of obtaining a contract when incurred. Accordingly,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expenses are recognized in the period the related customer contract is executed and are not capitalized.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when recording share-based compensation. The fair value of each stock option award is estimated on the date of grant using the Black-Scholes option valuation model. The assumptions used in the Black-Scholes valuation model are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Grant Price - </w:t>
      </w:r>
      <w:r>
        <w:rPr>
          <w:rFonts w:ascii="Times New Roman" w:cs="Times New Roman" w:eastAsia="Times New Roman" w:hAnsi="Times New Roman"/>
          <w:sz w:val="18"/>
          <w:szCs w:val="18"/>
          <w:color w:val="auto"/>
        </w:rPr>
        <w:t>The grant price of the issuances is determined based on the estimated fair value of the shares at the date of grant.</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interest rate for periods within the contractual life of the option is based on the U.S. Treasury yield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Lives - </w:t>
      </w:r>
      <w:r>
        <w:rPr>
          <w:rFonts w:ascii="Times New Roman" w:cs="Times New Roman" w:eastAsia="Times New Roman" w:hAnsi="Times New Roman"/>
          <w:sz w:val="18"/>
          <w:szCs w:val="18"/>
          <w:color w:val="auto"/>
        </w:rPr>
        <w:t>Due to the Company’s insufficient history of option activity, management utilizes the simplified approach to estimate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which represents the period of time that options granted are expected to be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Determined based on management’s estimate or historical volatilities of comparable companies.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 </w:t>
      </w:r>
      <w:r>
        <w:rPr>
          <w:rFonts w:ascii="Times New Roman" w:cs="Times New Roman" w:eastAsia="Times New Roman" w:hAnsi="Times New Roman"/>
          <w:sz w:val="18"/>
          <w:szCs w:val="18"/>
          <w:color w:val="auto"/>
        </w:rPr>
        <w:t>Based on current yield at the grant date or the average dividend yield over the historical period. The Company has never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paid dividends and has no plans to do so in the foreseeable future.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share-based compensation (see Note 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As of December 31, 2025 and 2024, the Company has not identified any uncertain tax positions and, accordingly, has not recorded any liability for unrecognized tax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Closing, the Company inherited 15,675,000 public and private warrants from ShoulderUp, each exercisable at $11.50 per share. These warrants were considered antidilutive and excluded from the diluted net loss per share calculation for the years ended December 31, 2025 and 2024. During the years ended December 31, 2025, 20,017 of these warrants were forfeited, resulting in a net total of 15,654,983 warrants outstanding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 and integration costs of $1,154,857 for the year ended December 31, 2025, primarily related to professional fees, legal and accounting services, severance, and other costs associated with recent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transaction costs incurred in connection with de-SPAC transactions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 and Reclassifications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connection with these reclassifications, certain amounts previously reported within cost of goods sold have been reclassified to operating expense categories, including general and administrative expenses, research and development expenses, sales and marketing expenses, and acquisition and integration expenses, based on the nature of the underlying costs. These reclassifications had no impact on total revenue, loss from operations, net loss, or shareholders’ equity (deficit) for the period presented.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prior period amounts in the consolidated statements of cash flows have also been revised to conform to the current period presentation. Specifically, amounts previously presented as short-term debt, net have been revised to proceeds from issuance of bridge loans within financing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2025 period presented.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 and Reverse Recapitalization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18, 2024, the Company entered into a Business Combination Agreement with ShoulderUp, ShoulderUp Merger Sub, Inc., SEI Merger Sub,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Legacy Company.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18, 2025, the Company consummated its Business Combination pursuant to the terms of the Business Combination Agreement. The Business Combination was structured as follows: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ordinary share of ShoulderUp that was not redeemed or converted was exchanged for one share of CID Holdco Inc. Common Stock. Each issued and outstanding unit of ShoulderUp (“Unit”) was automatically separated into (i) one ordinary share and (ii) one-half of one warrant. Each whole warrant is exercisable to purchase one ordinary share at an exercise price of $11.50 per share.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1,345,001 shares of Common Stock were issued to certain original public shareholders who had previously agreed not to redeem their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2,909,057 shares of Common Stock were issued to the SEE ID SAFE note 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11,205 shares of Common Stock were issued in exchange for financial advisory services at Closing.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3,323,536 shares of Common Stock were issued to three major PIPE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assumed 15,654,983 public and private warrants of ShoulderUp, net of 20,017 forfeitures.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Upon 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issued in connection with the Business Combination and subsequent equity conversion was as follows: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outstanding prior to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Redemption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Ordinary shares held by ShoulderUp’s officers and directors, the Sponsor and each transferee of founder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held by non-redemption share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Ordinary shares held by ShoulderUp bridge loan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held by DLA Piper,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Common Stock issued to holders of SEE ID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issued to SEE ID SAFE note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Common Stock issued to StartUpNV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issued to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Upon the Business Combination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508,589</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6,698,333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1,345,001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482,500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12,210,718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2,909,057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11,205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3,323,536</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27,636,939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43180</wp:posOffset>
            </wp:positionV>
            <wp:extent cx="7454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45490" cy="1714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40" w:space="720"/>
            <w:col w:w="1280"/>
          </w:cols>
          <w:pgMar w:left="320" w:top="333" w:right="339" w:bottom="1440" w:gutter="0" w:footer="0" w:header="0"/>
          <w:type w:val="continuous"/>
        </w:sectPr>
      </w:pP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6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$1,003,500 in assumed expenses from ShoulderUp for financial advisory services provided by Cohen Capital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$156,870 for financial advisory services provided by a financial advisor;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$295,000 in registration fees paid to Nasdaq Corporate Solutions, LLC;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$271,079 paid to Continental Stock Transfer &amp; Trust Co.;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$126,812 paid to Edgar Agents, LLC;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$872,922 in bonus expenses related to the successful closing of the Business Combination.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reconcile elements of the Business Combination to the Company’s consolidated financial statements, and should be read in conjunction with the footnotes referenced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Recapitalization</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proceeds</w:t>
            </w:r>
          </w:p>
        </w:tc>
        <w:tc>
          <w:tcPr>
            <w:tcW w:w="4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4840" w:type="dxa"/>
            <w:vAlign w:val="bottom"/>
            <w:gridSpan w:val="2"/>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5,577,304</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investors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10,837,643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legacy ShoulderUp bank accounts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74,501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disbursements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Payment to purchase founder shares</w:t>
            </w:r>
          </w:p>
        </w:tc>
        <w:tc>
          <w:tcPr>
            <w:tcW w:w="4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proceeds from the Business Combination</w:t>
            </w:r>
          </w:p>
        </w:tc>
        <w:tc>
          <w:tcPr>
            <w:tcW w:w="45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11,489,448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activities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40,726,793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8,597,749</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156,870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Accrued taxes assumed from ShoulderUp</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(3,913,668)</w:t>
            </w:r>
          </w:p>
        </w:tc>
        <w:tc>
          <w:tcPr>
            <w:tcW w:w="0" w:type="dxa"/>
            <w:vAlign w:val="bottom"/>
          </w:tcPr>
          <w:p>
            <w:pPr>
              <w:spacing w:after="0"/>
              <w:rPr>
                <w:sz w:val="1"/>
                <w:szCs w:val="1"/>
                <w:color w:val="auto"/>
              </w:rPr>
            </w:pPr>
          </w:p>
        </w:tc>
      </w:tr>
      <w:tr>
        <w:trPr>
          <w:trHeight w:val="23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Short-term debt assumed from ShoulderUp</w:t>
            </w: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 impact of the Business Combination</w:t>
            </w:r>
          </w:p>
        </w:tc>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Par value of common stock issued</w:t>
            </w:r>
          </w:p>
        </w:tc>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320" w:type="dxa"/>
            <w:vAlign w:val="bottom"/>
            <w:vMerge w:val="continue"/>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Impact of Business Combination on additional paid-in capital</w:t>
            </w:r>
          </w:p>
        </w:tc>
        <w:tc>
          <w:tcPr>
            <w:tcW w:w="45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56,155,649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F-19</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at Closing.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the transaction:</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 at</w:t>
            </w:r>
          </w:p>
        </w:tc>
        <w:tc>
          <w:tcPr>
            <w:tcW w:w="100" w:type="dxa"/>
            <w:vAlign w:val="bottom"/>
          </w:tcPr>
          <w:p>
            <w:pPr>
              <w:spacing w:after="0"/>
              <w:rPr>
                <w:sz w:val="18"/>
                <w:szCs w:val="18"/>
                <w:color w:val="auto"/>
              </w:rPr>
            </w:pP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Bridge Loans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00" w:type="dxa"/>
            <w:vAlign w:val="bottom"/>
          </w:tcPr>
          <w:p>
            <w:pPr>
              <w:spacing w:after="0"/>
              <w:rPr>
                <w:sz w:val="21"/>
                <w:szCs w:val="21"/>
                <w:color w:val="auto"/>
              </w:rPr>
            </w:pPr>
          </w:p>
        </w:tc>
        <w:tc>
          <w:tcPr>
            <w:tcW w:w="12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$4/share</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(673,500</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2,456,500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614,125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6/17/2025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7,023,143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1,755,786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PIPE</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10,837,643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2,709,411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Treasury issued final regulations under Section 58.4501-2(e) clarifying the application of the 1% stock repurchase excise tax imposed by the Inflation Reduction Act. The regulations provide that redemptions of stock issued prior to August 16, 2022 are exempt from the excise tax if the shares were subject to mandatory redemption or stockholder put rights from issuance through redemption. The Company’s SPAC redemptions qualified for this exemption because the shares were issued before August 16, 2022 and were continuously subject to contractual redemption rights, including mandatory redemption and stockholder put options, which were redeemed in connection with extension votes. As a result, the previously recorded excise tax liability of $3,905,240 was written off as of December 31, 2025, with a corresponding adjustment to additional paid-in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Note 4 - Reclassifications and Revisions of Prior Period Financial Statements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an analysis of FASB ASC, ASC 250-</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Staff Accounting Bulletin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and Staff Accounting Bulletin 108, </w:t>
      </w:r>
      <w:r>
        <w:rPr>
          <w:rFonts w:ascii="Times New Roman" w:cs="Times New Roman" w:eastAsia="Times New Roman" w:hAnsi="Times New Roman"/>
          <w:sz w:val="18"/>
          <w:szCs w:val="18"/>
          <w:i w:val="1"/>
          <w:iCs w:val="1"/>
          <w:color w:val="auto"/>
        </w:rPr>
        <w:t>Considering the Effects of Prior Year Misstatements when Quantifying Misstatements in Current Year Financial Statements</w:t>
      </w:r>
      <w:r>
        <w:rPr>
          <w:rFonts w:ascii="Times New Roman" w:cs="Times New Roman" w:eastAsia="Times New Roman" w:hAnsi="Times New Roman"/>
          <w:sz w:val="18"/>
          <w:szCs w:val="18"/>
          <w:color w:val="auto"/>
        </w:rPr>
        <w:t>, the Company determined these revisions were not material to the previously issued financial statements and as such reclassifications and revisions were necessary.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reclassifications had no effect on total revenue, loss from operations, net loss, or shareholders’ equity (deficit) for any period presented. The impact of these reclassifications on the Company’s consolidated statements of operations for the year ended December 31, 2024, is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39"/>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59"/>
              <w:spacing w:after="0"/>
              <w:rPr>
                <w:sz w:val="20"/>
                <w:szCs w:val="20"/>
                <w:color w:val="auto"/>
              </w:rPr>
            </w:pPr>
            <w:r>
              <w:rPr>
                <w:rFonts w:ascii="Times New Roman" w:cs="Times New Roman" w:eastAsia="Times New Roman" w:hAnsi="Times New Roman"/>
                <w:sz w:val="18"/>
                <w:szCs w:val="18"/>
                <w:b w:val="1"/>
                <w:bCs w:val="1"/>
                <w:color w:val="auto"/>
                <w:w w:val="97"/>
              </w:rPr>
              <w:t>previously</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59"/>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00" w:type="dxa"/>
            <w:vAlign w:val="bottom"/>
          </w:tcPr>
          <w:p>
            <w:pPr>
              <w:spacing w:after="0"/>
              <w:rPr>
                <w:sz w:val="21"/>
                <w:szCs w:val="21"/>
                <w:color w:val="auto"/>
              </w:rPr>
            </w:pP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0" w:type="dxa"/>
            <w:vAlign w:val="bottom"/>
          </w:tcPr>
          <w:p>
            <w:pPr>
              <w:spacing w:after="0"/>
              <w:rPr>
                <w:sz w:val="1"/>
                <w:szCs w:val="1"/>
                <w:color w:val="auto"/>
              </w:rPr>
            </w:pP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343,889</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(300,255)</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43,634</w:t>
            </w:r>
          </w:p>
        </w:tc>
        <w:tc>
          <w:tcPr>
            <w:tcW w:w="0" w:type="dxa"/>
            <w:vAlign w:val="bottom"/>
          </w:tcPr>
          <w:p>
            <w:pPr>
              <w:spacing w:after="0"/>
              <w:rPr>
                <w:sz w:val="1"/>
                <w:szCs w:val="1"/>
                <w:color w:val="auto"/>
              </w:rPr>
            </w:pPr>
          </w:p>
        </w:tc>
      </w:tr>
      <w:tr>
        <w:trPr>
          <w:trHeight w:val="27"/>
        </w:trPr>
        <w:tc>
          <w:tcPr>
            <w:tcW w:w="7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22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300,255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129,027</w:t>
            </w:r>
          </w:p>
        </w:tc>
        <w:tc>
          <w:tcPr>
            <w:tcW w:w="0" w:type="dxa"/>
            <w:vAlign w:val="bottom"/>
          </w:tcPr>
          <w:p>
            <w:pPr>
              <w:spacing w:after="0"/>
              <w:rPr>
                <w:sz w:val="1"/>
                <w:szCs w:val="1"/>
                <w:color w:val="auto"/>
              </w:rPr>
            </w:pPr>
          </w:p>
        </w:tc>
      </w:tr>
      <w:tr>
        <w:trPr>
          <w:trHeight w:val="21"/>
        </w:trPr>
        <w:tc>
          <w:tcPr>
            <w:tcW w:w="7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3,588,548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(2,025,220)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1,563,328</w:t>
            </w:r>
          </w:p>
        </w:tc>
        <w:tc>
          <w:tcPr>
            <w:tcW w:w="0" w:type="dxa"/>
            <w:vAlign w:val="bottom"/>
          </w:tcPr>
          <w:p>
            <w:pPr>
              <w:spacing w:after="0"/>
              <w:rPr>
                <w:sz w:val="1"/>
                <w:szCs w:val="1"/>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8"/>
                <w:szCs w:val="18"/>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759,967</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90,294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850,261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2,524,930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2,721,981</w:t>
            </w:r>
          </w:p>
        </w:tc>
        <w:tc>
          <w:tcPr>
            <w:tcW w:w="0" w:type="dxa"/>
            <w:vAlign w:val="bottom"/>
          </w:tcPr>
          <w:p>
            <w:pPr>
              <w:spacing w:after="0"/>
              <w:rPr>
                <w:sz w:val="1"/>
                <w:szCs w:val="1"/>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20" w:type="dxa"/>
            <w:vAlign w:val="bottom"/>
          </w:tcPr>
          <w:p>
            <w:pPr>
              <w:spacing w:after="0"/>
              <w:rPr>
                <w:sz w:val="18"/>
                <w:szCs w:val="18"/>
                <w:color w:val="auto"/>
              </w:rPr>
            </w:pP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2,038,130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2,038,130</w:t>
            </w:r>
          </w:p>
        </w:tc>
        <w:tc>
          <w:tcPr>
            <w:tcW w:w="0" w:type="dxa"/>
            <w:vAlign w:val="bottom"/>
          </w:tcPr>
          <w:p>
            <w:pPr>
              <w:spacing w:after="0"/>
              <w:rPr>
                <w:sz w:val="1"/>
                <w:szCs w:val="1"/>
                <w:color w:val="auto"/>
              </w:rPr>
            </w:pPr>
          </w:p>
        </w:tc>
      </w:tr>
      <w:tr>
        <w:trPr>
          <w:trHeight w:val="249"/>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6,873,445</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300,255</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7,173,700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(7,044,673</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Change in fair value of SAFE notes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(14,492,176</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(14,492,176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(21,536,849</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(21,536,849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2025 and the nine months ended September 30, 2025, the Company revised the presentation of certain amounts in the consolidated statements of cash flows to conform to the current period presentation. Specifically, amounts previously presented as short-term debt, net have been revised to proceeds from issuance of bridge loans within financing activities. In addition, the reverse recapitalization transaction adjustment was revised to reflect the appropriate presentation within operating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period presented. The impact of these revisions on the Company’s condensed consolidated statements of cash flows for the six and nine month periods ended June 30, 2025 and September 30, 2025, respectively, are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80" w:type="dxa"/>
            <w:vAlign w:val="bottom"/>
            <w:gridSpan w:val="8"/>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42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previously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Revision</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r>
      <w:tr>
        <w:trPr>
          <w:trHeight w:val="216"/>
        </w:trPr>
        <w:tc>
          <w:tcPr>
            <w:tcW w:w="42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3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(4,739,169)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(3,762,742)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(6,392,742)</w:t>
            </w: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2,850,000</w:t>
            </w: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(1,660,545)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(1,380,545)</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10,278,154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12,908,154</w:t>
            </w:r>
          </w:p>
        </w:tc>
      </w:tr>
      <w:tr>
        <w:trPr>
          <w:trHeight w:val="655"/>
        </w:trPr>
        <w:tc>
          <w:tcPr>
            <w:tcW w:w="4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right"/>
              <w:ind w:right="1570"/>
              <w:spacing w:after="0"/>
              <w:rPr>
                <w:sz w:val="20"/>
                <w:szCs w:val="20"/>
                <w:color w:val="auto"/>
              </w:rPr>
            </w:pPr>
            <w:r>
              <w:rPr>
                <w:rFonts w:ascii="Times New Roman" w:cs="Times New Roman" w:eastAsia="Times New Roman" w:hAnsi="Times New Roman"/>
                <w:sz w:val="18"/>
                <w:szCs w:val="18"/>
                <w:color w:val="auto"/>
              </w:rPr>
              <w:t>F-21</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Revision</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(4,739,169)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280,000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(8,197,830)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(10,827,830)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6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(1,660,545)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(1,380,545)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10,278,154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12,908,154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cash balance with a U.S. financial institution, in which the balance exceeds the FDIC insured limit of $250,000. As of December 31, 2025 and 2024, the Company’s cash balance held at the financial institution exceeded the FDIC limit.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customer is defined as one that accounts for at least 10% of the Company’s revenue. For the year ended December 31, 2025, the Company generated 100% of its total revenue from three customers. One customer accounted for approximately 85% of total revenue, a second customer accounted for approximately 14%, and the remaining customer accounted for less than 1% of total revenue. For the year ended December 31, 2024, the Company generated 100% of its total revenue from five customers with the top three customers accounting for approximately 57%, 21% and 11%,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accounts receivable balance was concentrated among three customers. One customer accounted for approximately 97% of total accounts receivable. As of December 31, 2024, the Company’s accounts receivable balance was concentrated among three customers. One customer accounted for approximately 60% of total accounts receivable, and another customer represented approximately 38%.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credit losses, as all receivables are considered highly collectible.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December 31, 2025 and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760" w:type="dxa"/>
            <w:vAlign w:val="bottom"/>
          </w:tcPr>
          <w:p>
            <w:pPr>
              <w:spacing w:after="0"/>
              <w:rPr>
                <w:sz w:val="21"/>
                <w:szCs w:val="21"/>
                <w:color w:val="auto"/>
              </w:rPr>
            </w:pP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1"/>
              </w:rPr>
              <w:t>life</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10 years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665,303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Lesser of lease term or estimated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useful life</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16,400</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(36,463)</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vMerge w:val="continue"/>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645,240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00" w:type="dxa"/>
            <w:vAlign w:val="bottom"/>
            <w:tcBorders>
              <w:bottom w:val="single" w:sz="8" w:color="CCEEFF"/>
            </w:tcBorders>
          </w:tcPr>
          <w:p>
            <w:pPr>
              <w:spacing w:after="0"/>
              <w:rPr>
                <w:sz w:val="21"/>
                <w:szCs w:val="21"/>
                <w:color w:val="auto"/>
              </w:rPr>
            </w:pPr>
          </w:p>
        </w:tc>
        <w:tc>
          <w:tcPr>
            <w:tcW w:w="51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655"/>
        </w:trPr>
        <w:tc>
          <w:tcPr>
            <w:tcW w:w="3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F-22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Note 7 - Capitalized Software Development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xml:space="preserve">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capitalized software development costs of $2,920,718 and $1,761,396 as of December 31, 2025 and 2024,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there was no amortization expense recorded on capitalized software development costs as the software was not ready for its intended 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Loans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notes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spacing w:after="0" w:line="174" w:lineRule="exact"/>
        <w:rPr>
          <w:sz w:val="20"/>
          <w:szCs w:val="20"/>
          <w:color w:val="auto"/>
        </w:rPr>
      </w:pPr>
    </w:p>
    <w:p>
      <w:pPr>
        <w:ind w:firstLine="332"/>
        <w:spacing w:after="0" w:line="284" w:lineRule="auto"/>
        <w:tabs>
          <w:tab w:leader="none" w:pos="5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Financing </w:t>
      </w:r>
      <w:r>
        <w:rPr>
          <w:rFonts w:ascii="Times New Roman" w:cs="Times New Roman" w:eastAsia="Times New Roman" w:hAnsi="Times New Roman"/>
          <w:sz w:val="18"/>
          <w:szCs w:val="18"/>
          <w:color w:val="auto"/>
        </w:rPr>
        <w:t>- the SAFE agreements will automatically convert into the number of shares of Safe Preferred Stock equal to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divided by the Discount Price with certain SAFE agreements subject to a post-money valuation cap of $30,000,000.</w:t>
      </w:r>
    </w:p>
    <w:p>
      <w:pPr>
        <w:spacing w:after="0" w:line="158" w:lineRule="exact"/>
        <w:rPr>
          <w:rFonts w:ascii="Times New Roman" w:cs="Times New Roman" w:eastAsia="Times New Roman" w:hAnsi="Times New Roman"/>
          <w:sz w:val="18"/>
          <w:szCs w:val="18"/>
          <w:color w:val="auto"/>
        </w:rPr>
      </w:pPr>
    </w:p>
    <w:p>
      <w:pPr>
        <w:jc w:val="both"/>
        <w:ind w:firstLine="332"/>
        <w:spacing w:after="0" w:line="267" w:lineRule="auto"/>
        <w:tabs>
          <w:tab w:leader="none" w:pos="5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Event </w:t>
      </w:r>
      <w:r>
        <w:rPr>
          <w:rFonts w:ascii="Times New Roman" w:cs="Times New Roman" w:eastAsia="Times New Roman" w:hAnsi="Times New Roman"/>
          <w:sz w:val="18"/>
          <w:szCs w:val="18"/>
          <w:color w:val="auto"/>
        </w:rPr>
        <w:t>- the SAFE agreements will automatically be entitled to receive a portion of Proceeds, due and payable to the Investor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or concurrent with, the consumption of such Liquidity Event, equal to the greater of (i) the Purchase Amount (the “Cash-Out Amount”) or (ii) the amount payable on the number of shares of Common Stock equal to the Purchase Amount divided by the Liquidity Price.</w:t>
      </w:r>
    </w:p>
    <w:p>
      <w:pPr>
        <w:spacing w:after="0" w:line="173" w:lineRule="exact"/>
        <w:rPr>
          <w:rFonts w:ascii="Times New Roman" w:cs="Times New Roman" w:eastAsia="Times New Roman" w:hAnsi="Times New Roman"/>
          <w:sz w:val="18"/>
          <w:szCs w:val="18"/>
          <w:color w:val="auto"/>
        </w:rPr>
      </w:pPr>
    </w:p>
    <w:p>
      <w:pPr>
        <w:ind w:right="20" w:firstLine="332"/>
        <w:spacing w:after="0" w:line="284" w:lineRule="auto"/>
        <w:tabs>
          <w:tab w:leader="none" w:pos="5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Event </w:t>
      </w:r>
      <w:r>
        <w:rPr>
          <w:rFonts w:ascii="Times New Roman" w:cs="Times New Roman" w:eastAsia="Times New Roman" w:hAnsi="Times New Roman"/>
          <w:sz w:val="18"/>
          <w:szCs w:val="18"/>
          <w:color w:val="auto"/>
        </w:rPr>
        <w:t>- the Investor will automatically be entitled to receive a portion of Proceeds equal to the Cash-Out Amount, due and payable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Investor immediately prior to the consummation of the Dissolution Event.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xml:space="preserve"> the Company determined that the SAFE agreements represented freestanding financial instruments and, accordingly, classified them as derivative liabilities in the accompanying consolidated balance sheets. The SAFE agreements were carried at estimated fair value, which was determined by the Company via a probability-weighted expected return method.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loans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5, 2025, the Company entered into a loan agreement with J.J. Astor &amp; Co. for up to $5.0 million in senior secured convertible loans, consisting of an initial $2.0 million tranche and up to three additional $1.0 million tranches. The initial tranche was issued as a $2.0 million convertible note, of which $1.81 million was funded net of fees. The note matures on November 30, 2026 and is repayable in twelve monthly installments, consisting of an initial payment of $0.1 million followed by eleven monthly payments of approximately $0.2 million, totaling $2.6 million. Each additional tranche, if funded at the lender’s discretion and subject to specified conditions (including equity line of credit (“ELOC”) availability, Nasdaq listing, minimum stock price, and trading volume requirements), will be issued as a $1.0 million convertible note with $0.96 million funded net of fees and accompanied by a warrant. The Company is required to use proceeds from its ELOC to make monthly payments, with 80% of ELOC proceeds remitted directly to the lender. Certain extraordinary receipts must also be applied toward repayment. In connection with the initial funding, the Company issued a warrant to purchase 230,770 shares at an exercise price of $1.69 per share, subject to customary adjustments and a 4.99% beneficial ownership limitation (which may be increased to 9.99% upon agreement). Conversions and warrant exercises are subject to Nasdaq rules.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entered into a registration rights agreement requiring the filing of a resale shelf registration statement covering shares issuable upon conversion of the J.J. Astor loans following an event of default. Upon default and effectiveness of such registration statement, the loans become convertible at a price equal to 80% of the average of the four lowest VWAPs during the 20 trading days prior to the conversion notice, subject to the 4.99% ownership cap. Remedies upon default include acceleration, default interest at 19% on 110% of outstanding principal, and enforcement against collateral.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the accounting treatment of the J.J. Astor loans, the Company concluded that the warrant, the conversion feature, and the embedded call option require bifurcation from the host debt instrument. Management determined that these features meet the definition of derivatives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The embedded call option provides that, upon a change in control, the note may be called, which represents an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derivative feature. In assessing the conversion feature, management determined that because the number of shares issuable upon conversion depends on stockholder approval of the removal of the 4.99% beneficial ownership cap, and that contingency is not an input into the pricing of a fixed-for-fixed equity instrument, the conversion feature is not indexed to the Company’s common stock under ASC 815-40-15-7 and does not qualify for equity classification. Accordingly, the embedded call option and conversion feature were combined and accounted for as a single embedded derivative liability.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the loan issuance, the fair value of the warrant liability was $210,776 and the fair value of the combined embedded derivative liability (inclusive of the call option and conversion feature) was $26,100 and recorded under the caption of derivative liabilities in the consolidated balance sheet. These amounts were bifurcated from the original loan proceeds, resulting in a net initial carrying amount of the debt of $1,763,124. Based on the contractual repayment terms, the effective interest rate is approximately 6.81% per month, or 81.71% per annum. The warrant liability and conversion derivative liability are remeasured at each reporting date, with changes in fair value recognized in the consolidated statement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fair value of the warrant liability decreased to $52,535 and was recorded under the caption of derivative liabilities in the consolidated balance sheet, and the resulting change in fair value of $158,241 was recorded in the consolidated statement of operations under the caption of change in fair value of derivative liabilities. As of December 31, 2025, the fair value of the embedded conversion and call option derivative liability remained unchanged at $26,100.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December 2025, the Company paid $108,334 to J.J. Astor, of which $48,306 was applied to principal. The Company also capitalized $190,000 of loan origination fees, which are being amortized over a 12-month term. Monthly amortization of $15,833 is recorded as a reduction of the deferred financing costs. As a result, the outstanding debt principal balance was $1,540,651 as of December 31, 2025, compared to $0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Derivative instruments that are not traded on an exchange are valued using conventional valuation models that incorporate both observable and unobservable inputs. Although the Company is publicly traded, the valuation of these derivative instruments requires significant unobservable inputs, including assumptions related to expected volatility, term, probability-weighted scenarios, and other model-based estimates. Accordingly, these derivative instruments are classified within Level 3 of the fair value hierarchy.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completion of the Business Combination, all outstanding SAFE notes were converted into shares of the Company’s Common Stock, resulting in a significant reduction of the related derivative liabilities during the year ended December 31, 2025. In addition, during 2025, the Company entered into a new loan agreement with J.J. Astor that includes detachable warrants and embedded derivative features. These features are accounted for as derivative liabilities and are measured at fair value on a recurring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jc w:val="both"/>
        <w:spacing w:after="0" w:line="254" w:lineRule="auto"/>
        <w:rPr>
          <w:sz w:val="20"/>
          <w:szCs w:val="20"/>
          <w:color w:val="auto"/>
        </w:rPr>
      </w:pPr>
      <w:r>
        <w:rPr>
          <w:rFonts w:ascii="Times New Roman" w:cs="Times New Roman" w:eastAsia="Times New Roman" w:hAnsi="Times New Roman"/>
          <w:sz w:val="18"/>
          <w:szCs w:val="18"/>
          <w:color w:val="auto"/>
        </w:rPr>
        <w:t>As reflected in the tables below, derivative liabilities are presented at fair value at the beginning and end of each reporting period. As of December 31, 2025, the Company’s derivative liabilities consist of (i) a warrant liability of $52,535 and (ii) an embedded conversion and call option derivative liability of $26,100. The fair value of the embedded conversion and call option derivative liability is estimated using the Probability-Weighted Expected Return Method (“PWERM”) model, which incorporates significant unobservable inputs, including expected monthly installment payments, the repayment percentage, the applicable discount factor, and scenario probability assumptions. The warrant liability is measured using the Black-Scholes option pricing model, with key inputs including Company asset volatility, Company equity volatility, Company size-adjusted asset volatility, Company size-adjusted equity volatility, the risk-free interest rate, and the liquidity horizon. Changes in the fair value of these derivative instruments during the period are recognized in the consolidated statement of operations in the period in which they occur.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SAFE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23,334,626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beginning of period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260,628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4,239,500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17,368,415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14,492,176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(158,241)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notes converted into shares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(40,726,793)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Fair Value - end of period</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gridSpan w:val="2"/>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78,635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23,334,626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Equity Line of Credit (“ELOC”)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it must be bifurcated and accounted for separately as a derivative asset or liability, depending on changes in the underlying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relative to the pegged discounted VWAP. The derivative is measured at fair value, with changes in fair value recognized in statement of operations. The fair value of the purchased put option was determined to be de minimis as of December 31, 2025, and therefore was not recorded on the Company’s balance sheet as of that date.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13, December 30, and December 31, 2025, the Company delivered purchase notices for 30,000, 500,000, and 1,000,000 shares at settlement prices of $2.62, $0.32, and $0.32 per share, respectively, resulting in gross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fair value on the date cash was received and recognized the difference between (i) the fair value of the shares issued and (ii) the proceeds calculated pursuant to the discounted VWAP pricing terms. The difference, totaling $246,184, was recorded as a loss on issuance of shares in the statement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Note 10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described in Note 3, </w:t>
      </w:r>
      <w:r>
        <w:rPr>
          <w:rFonts w:ascii="Times New Roman" w:cs="Times New Roman" w:eastAsia="Times New Roman" w:hAnsi="Times New Roman"/>
          <w:sz w:val="18"/>
          <w:szCs w:val="18"/>
          <w:i w:val="1"/>
          <w:iCs w:val="1"/>
          <w:color w:val="auto"/>
        </w:rPr>
        <w:t>Business Combination and Reverse Recapitalization</w:t>
      </w:r>
      <w:r>
        <w:rPr>
          <w:rFonts w:ascii="Times New Roman" w:cs="Times New Roman" w:eastAsia="Times New Roman" w:hAnsi="Times New Roman"/>
          <w:sz w:val="18"/>
          <w:szCs w:val="18"/>
          <w:color w:val="auto"/>
        </w:rPr>
        <w:t>, all historical equity data, including stock option data, in these consolidated financial statements has been retrospectively adjusted by the Exchange Ratio to reflect the reverse recapitalization that occurred on June 18,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authorized 300,000,000 shares of Common Stock, par value $0.0001 per share. As of December 31, 2025, 29,273,321 shares of Common Stock were issued and outstanding, and 270,726,679 shares of Common Stock were reserved for future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Equity Incentive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2021, the Legacy Company adopted the 2021 Equity Incentive Plan (the “2021 Incentive Plan”), which provided for grants of awards in the form of incentive stock options, non-qualified stock options, and restricted stock awards to selected employees, directors, and independent contractors of the Company and its affiliates, as defined in the Incentive Plan. The Company assumed the 2021 Plan and all outstanding awards thereunder in connection with the Business Combination. Initially, the aggregate number of shares of Common Stock that may be issued by the Legacy Company under the 2021 Incentive Plan was not to exceed 4,672,506. Following the Business Combination, no additional awards may be granted under the 2021 Incentive Plan, and no additional shares remain available for issuance under the 2021 Incentive Plan other than the 2,032,521 shares that were subject to the outstanding awards that were assumed by the Company in connection with the Business Combination. The purpose of the 2021 Incentive Plan was to encourage and enable selected participants to acquire or to increase their holdings of the Company’s Common Stock and other equity-based interests in the Company in order to promote a closer identification of their interests with those of the Company and its stockholders. The 2021 Incentive Plan is administered by the Company’s Board of Directors. As of December 31, 2025, the Company has granted awards under the 2021 Equity Incentive Plan as described in the stock options and restricted stock awards subsections below under this note.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as of June 18, 2025, in connection with the closing of the transactions contemplated by the Business Combination Agreement, the Company adopted the 2024 Equity Incentive Plan (the “2024 Incentive Plan”). The purpose of the 2024 Incentive Plan is to advance the interests of the Company and its stockholders by attracting, retaining and rewarding employees, consultants and directors and by motivating such persons to contribute to the growth and profitability of the Company. The 2024 Incentive Plan provides for the grant of awards in the form of stock options, stock appreciation rights, restricted stock awards, restricted stock units, performance shares, performance units, cash-based awards and other stock-based awards. Subject to adjustment, the maximum aggregate number of shares of the Company’s common stock that may be issued under the 2024 Incentive Plan is 2,032,521 shares, plus an annual increase beginning with the first fiscal year following stockholder approval and continuing for up to ten years, equal to the lesser of 10% of the outstanding shares as of the end of the immediately preceding fiscal year or such lesser amount as determined by the Board. The 2024 Incentive Plan is administered by the Board of Directors or a duly authorized committee thereof, which has the authority to determine the participants to whom awards will be granted, the type and number of awards, and the terms and conditions of each award, including vesting, subject to the provisions of the plan. The 2024 Incentive Plan will remain in effect until terminated by the Compensation Committee, provided that no awards may be granted later than ten years from the earlier of the date of Board or stockholder approval. As of December 31, 2025, no awards were granted under the 2024 Incentive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pursuant to the 2021 Incentive Plan for the year ended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45"/>
        </w:trPr>
        <w:tc>
          <w:tcPr>
            <w:tcW w:w="43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6"/>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29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0.1151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4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4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cancelled</w:t>
            </w:r>
          </w:p>
        </w:tc>
        <w:tc>
          <w:tcPr>
            <w:tcW w:w="4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(170,715)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0.1759</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r>
      <w:tr>
        <w:trPr>
          <w:trHeight w:val="236"/>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2025</w:t>
            </w:r>
          </w:p>
        </w:tc>
        <w:tc>
          <w:tcPr>
            <w:tcW w:w="29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1,861,806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vested as of December 31, 2025</w:t>
            </w:r>
          </w:p>
        </w:tc>
        <w:tc>
          <w:tcPr>
            <w:tcW w:w="4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1,816,184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r>
      <w:tr>
        <w:trPr>
          <w:trHeight w:val="20"/>
        </w:trPr>
        <w:tc>
          <w:tcPr>
            <w:tcW w:w="4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F-26</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7" w:name="page138"/>
    <w:bookmarkEnd w:id="137"/>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recognized share-based compensation expense relating to stock options totaling $37,827 and $90,377, respectively. Share-based compensation expense relating to stock options is included in “General and administrative”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has been no stock option activity pursuant to the 2024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did not grant any restricted stock awards. As of December 31, 2025 and 2024, there were no unvested restricted stock awards. For the year ended December 31, 2025, the Company did not recognize any share-based compensation relating to restricted stock awards.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share-based compensation relating to restricted stock awards totaling $106,629. Share-based compensation relating to restricted stock awards is included in “General and administrative”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no unrecognized share-based compensation costs relating to restricted stock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shares of Common Stock underlying stock options totaling 1,861,806 and 2,032,521, respectively, and no unvested restricted stock awards, were excluded from the calculation of diluted net loss per share because they were antidilutive. In addition, 15,654,983 warrants outstanding as of December 31, 2025 were out of the money and also excluded from the calculation of diluted net loss per share for being antidilutive. Convertible debt outstanding during the period was also excluded from the calculation of diluted net loss per share, as the effect of applying the if-converted method would have been antidilutive.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years ended December 31, 2025 and 2024:</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bottom w:val="single" w:sz="8" w:color="CCEEFF"/>
            </w:tcBorders>
          </w:tcPr>
          <w:p>
            <w:pPr>
              <w:spacing w:after="0"/>
              <w:rPr>
                <w:sz w:val="21"/>
                <w:szCs w:val="21"/>
                <w:color w:val="auto"/>
              </w:rPr>
            </w:pPr>
          </w:p>
        </w:tc>
        <w:tc>
          <w:tcPr>
            <w:tcW w:w="49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155,617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lease cost</w:t>
            </w:r>
          </w:p>
        </w:tc>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117,134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35,006</w:t>
            </w:r>
          </w:p>
        </w:tc>
        <w:tc>
          <w:tcPr>
            <w:tcW w:w="0" w:type="dxa"/>
            <w:vAlign w:val="bottom"/>
          </w:tcPr>
          <w:p>
            <w:pPr>
              <w:spacing w:after="0"/>
              <w:rPr>
                <w:sz w:val="1"/>
                <w:szCs w:val="1"/>
                <w:color w:val="auto"/>
              </w:rPr>
            </w:pPr>
          </w:p>
        </w:tc>
      </w:tr>
      <w:tr>
        <w:trPr>
          <w:trHeight w:val="27"/>
        </w:trPr>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vMerge w:val="continue"/>
            <w:shd w:val="clear" w:color="auto" w:fill="CCEEFF"/>
          </w:tcPr>
          <w:p>
            <w:pPr>
              <w:spacing w:after="0"/>
              <w:rPr>
                <w:sz w:val="21"/>
                <w:szCs w:val="21"/>
                <w:color w:val="auto"/>
              </w:rPr>
            </w:pPr>
          </w:p>
        </w:tc>
        <w:tc>
          <w:tcPr>
            <w:tcW w:w="52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272,751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78,112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F-27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as of December 31, 2025 and 2024:</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gross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331,478</w:t>
            </w:r>
          </w:p>
        </w:tc>
        <w:tc>
          <w:tcPr>
            <w:tcW w:w="160" w:type="dxa"/>
            <w:vAlign w:val="bottom"/>
            <w:shd w:val="clear" w:color="auto" w:fill="CCEEFF"/>
          </w:tcPr>
          <w:p>
            <w:pPr>
              <w:spacing w:after="0"/>
              <w:rPr>
                <w:sz w:val="18"/>
                <w:szCs w:val="18"/>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(122,436)</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(23,586)</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701,878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307,892</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operating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future minimum lease commitments as of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139,963</w:t>
            </w:r>
          </w:p>
        </w:tc>
        <w:tc>
          <w:tcPr>
            <w:tcW w:w="2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36,225</w:t>
            </w:r>
          </w:p>
        </w:tc>
      </w:tr>
      <w:tr>
        <w:trPr>
          <w:trHeight w:val="241"/>
        </w:trPr>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577,656</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265,413</w:t>
            </w:r>
          </w:p>
        </w:tc>
        <w:tc>
          <w:tcPr>
            <w:tcW w:w="120" w:type="dxa"/>
            <w:vAlign w:val="bottom"/>
          </w:tcPr>
          <w:p>
            <w:pPr>
              <w:spacing w:after="0"/>
              <w:rPr>
                <w:sz w:val="20"/>
                <w:szCs w:val="20"/>
                <w:color w:val="auto"/>
              </w:rPr>
            </w:pPr>
          </w:p>
        </w:tc>
      </w:tr>
      <w:tr>
        <w:trPr>
          <w:trHeight w:val="223"/>
        </w:trPr>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717,619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301,638</w:t>
            </w:r>
          </w:p>
        </w:tc>
        <w:tc>
          <w:tcPr>
            <w:tcW w:w="120" w:type="dxa"/>
            <w:vAlign w:val="bottom"/>
          </w:tcPr>
          <w:p>
            <w:pPr>
              <w:spacing w:after="0"/>
              <w:rPr>
                <w:sz w:val="19"/>
                <w:szCs w:val="19"/>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4"/>
        </w:trPr>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4.16 years</w:t>
            </w:r>
          </w:p>
        </w:tc>
        <w:tc>
          <w:tcPr>
            <w:tcW w:w="22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4.75 years</w:t>
            </w:r>
          </w:p>
        </w:tc>
      </w:tr>
      <w:tr>
        <w:trPr>
          <w:trHeight w:val="234"/>
        </w:trPr>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11.83%</w:t>
            </w:r>
          </w:p>
        </w:tc>
      </w:tr>
    </w:tbl>
    <w:p>
      <w:pPr>
        <w:spacing w:after="0" w:line="604" w:lineRule="exact"/>
        <w:rPr>
          <w:sz w:val="20"/>
          <w:szCs w:val="20"/>
          <w:color w:val="auto"/>
        </w:rPr>
      </w:pPr>
    </w:p>
    <w:p>
      <w:pPr>
        <w:sectPr>
          <w:pgSz w:w="11900" w:h="16838" w:orient="portrait"/>
          <w:cols w:equalWidth="0" w:num="2">
            <w:col w:w="7880" w:space="720"/>
            <w:col w:w="2640"/>
          </w:cols>
          <w:pgMar w:left="320" w:top="337"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1"/>
                <w:szCs w:val="21"/>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207,783</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215,950</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197,905</w:t>
            </w:r>
          </w:p>
        </w:tc>
        <w:tc>
          <w:tcPr>
            <w:tcW w:w="80" w:type="dxa"/>
            <w:vAlign w:val="bottom"/>
          </w:tcPr>
          <w:p>
            <w:pPr>
              <w:spacing w:after="0"/>
              <w:rPr>
                <w:sz w:val="18"/>
                <w:szCs w:val="18"/>
                <w:color w:val="auto"/>
              </w:rPr>
            </w:pPr>
          </w:p>
        </w:tc>
      </w:tr>
      <w:tr>
        <w:trPr>
          <w:trHeight w:val="25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42,436</w:t>
            </w:r>
          </w:p>
        </w:tc>
      </w:tr>
      <w:tr>
        <w:trPr>
          <w:trHeight w:val="203"/>
        </w:trPr>
        <w:tc>
          <w:tcPr>
            <w:tcW w:w="100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864,536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(146,917)</w:t>
            </w:r>
          </w:p>
        </w:tc>
      </w:tr>
      <w:tr>
        <w:trPr>
          <w:trHeight w:val="237"/>
        </w:trPr>
        <w:tc>
          <w:tcPr>
            <w:tcW w:w="10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717,619</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Related parties include entities that are under common ownership or control with the Company, as well as entities owned in whole or in part by members of the Company’s management, board of directors, or significant stockholders.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revenue from the deferred revenue balance. Pope Technologies LLC is owned by a director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$15,145 for the years ended December 31, 2025 and 2024, respectively. As of December 31, 2025 and 2024, amounts outstanding under this agreement were $2,928 and $1,164 respectively, and are included in “Accounts receivable” on the accompanying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 ended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9" w:name="page140"/>
    <w:bookmarkEnd w:id="139"/>
    <w:p>
      <w:pPr>
        <w:jc w:val="both"/>
        <w:spacing w:after="0" w:line="258"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 Beginning October 1, 2025, the Company entered into a month-to-month lease for the same location at a monthly rent of $5,813.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as of December 31, 2025 and 2024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accrued for Cohen Capital Market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1,826,189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16 - Inventory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 as of December 31, 2025 and 2024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Shipping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in transit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186,245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116,106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1,430,881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22, 2025, the Company terminated the employment of one of its founders, who also served as the Customer Experience Officer. The former employee did not execute the termination agreement prior to its expiration during the third quarter and has subsequently filed a lawsuit against the Company on September 8, 2025. 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former employee originally held 5,000,260 shares of the Company’s Common Stock. On December 23, 2025, pursuant to bona fide gifts for which no consideration was received, the former employee transferred an aggregate of 2,497,331 shares of Common Stock to individuals not affiliated with the former employee for purposes of beneficial ownership reporting under applicable federal securities laws. In addition, in connection with the expiration of the termination agreement during the third quarter, 170,715 stock options that were exercisable at $0.176 per share (after applying the 8.1% stock option conversion ratio to the original exercise price of $0.0143 per share) were forfeited. The outcome of this legal matter is not known or probable at this time; accordingly, no amounts have been accrued for a potential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 single reportable segment, which generates revenue primarily from the sale of hardware and related software solutions. Hardware sales represent the initial step in a customer’s adoption of the Company’s SaaS subscription platform and have been a primary driver of revenue growth. This segment also includes ongoing software and subscription services, as well as exclusivity arrangements with resellers that provide protection from competitive sales. The Company’s focus on this integrated hardware and software model reflects its strategy to expand customer adoption of its SaaS platform, strengthen reseller partnerships, and drive sustainable growth.</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by major product and service category for the years ended December 31, 2025 and 2024 is presented in the table below. Product revenue consists primarily of sales of hardware devices, such as bridges, labels, and gateways, which represent the initial step in a customer’s adoption of the Company’s SaaS subscription platform and have contributed significantly to overall revenue growth. Service revenue consists primarily of software subscription services providing access to the Company’s cloud-based platform, as well as related training, support, exclusivity arrangement services, professional services such as onboarding and consulting, and feasibility study reports provided to customers. For the year ended December 31, 2025, product revenue represented the majority of total revenue, reflecting increased hardware sales as the Company expanded customer adoption of its integrated hardware and software solution. For the year ended December 31, 2024, revenue was generated solely from services. All of the Company’s revenue for the periods presented was generated from customers located in the United States.</w:t>
      </w:r>
    </w:p>
    <w:p>
      <w:pPr>
        <w:spacing w:after="0" w:line="18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5,456,554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5,804,369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172,661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total deferred revenue of $1,984,550 and $2,713,215, respectively. Of these amounts, $236,038 and $1,142,643, respectively, were expected to be recognized as revenue within one year.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consolidated statements of operations. The measure of segment assets is reported on the consolidated balance sheets as total assets.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tc>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 consists of:</w:t>
            </w: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45"/>
        </w:trPr>
        <w:tc>
          <w:tcPr>
            <w:tcW w:w="44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spacing w:after="0"/>
              <w:rPr>
                <w:sz w:val="20"/>
                <w:szCs w:val="20"/>
                <w:color w:val="auto"/>
              </w:rPr>
            </w:pPr>
          </w:p>
        </w:tc>
        <w:tc>
          <w:tcPr>
            <w:tcW w:w="42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(37,841,287)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1,123,216</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(258,610)</w:t>
            </w:r>
          </w:p>
        </w:tc>
        <w:tc>
          <w:tcPr>
            <w:tcW w:w="0" w:type="dxa"/>
            <w:vAlign w:val="bottom"/>
          </w:tcPr>
          <w:p>
            <w:pPr>
              <w:spacing w:after="0"/>
              <w:rPr>
                <w:sz w:val="1"/>
                <w:szCs w:val="1"/>
                <w:color w:val="auto"/>
              </w:rPr>
            </w:pPr>
          </w:p>
        </w:tc>
      </w:tr>
      <w:tr>
        <w:trPr>
          <w:trHeight w:val="27"/>
        </w:trPr>
        <w:tc>
          <w:tcPr>
            <w:tcW w:w="4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4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4400" w:type="dxa"/>
            <w:vAlign w:val="bottom"/>
            <w:vMerge w:val="continue"/>
            <w:shd w:val="clear" w:color="auto" w:fill="CCEEFF"/>
          </w:tcPr>
          <w:p>
            <w:pPr>
              <w:spacing w:after="0"/>
              <w:rPr>
                <w:sz w:val="21"/>
                <w:szCs w:val="21"/>
                <w:color w:val="auto"/>
              </w:rPr>
            </w:pPr>
          </w:p>
        </w:tc>
        <w:tc>
          <w:tcPr>
            <w:tcW w:w="44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(36,718,071</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(21,536,849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jc w:val="right"/>
              <w:ind w:right="2976"/>
              <w:spacing w:after="0"/>
              <w:rPr>
                <w:sz w:val="20"/>
                <w:szCs w:val="20"/>
                <w:color w:val="auto"/>
              </w:rPr>
            </w:pPr>
            <w:r>
              <w:rPr>
                <w:rFonts w:ascii="Times New Roman" w:cs="Times New Roman" w:eastAsia="Times New Roman" w:hAnsi="Times New Roman"/>
                <w:sz w:val="18"/>
                <w:szCs w:val="18"/>
                <w:color w:val="auto"/>
              </w:rPr>
              <w:t>F-30</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The components of income tax provision expense (benefit) for the years ended December 31, 2025 and 2024 were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provision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Current provision for income taxes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provision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124,223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(4,045,818)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(275,872)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141,311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provision for income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ASU No. 2023-09 “Income Taxes (Topic 740): Improvements to Income Tax Disclosures,” on a prospective basis beginning with the year ended December 31, 2025. The following table presents required disclosure pursuant to ASU No. 2023-09 and reconciles the U.S. federal statutory tax amount and rate to our actual global effective amount and rate for the year ended December 31, 2025:</w:t>
      </w:r>
    </w:p>
    <w:p>
      <w:pPr>
        <w:spacing w:after="0" w:line="172"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(7,710,795)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(282,645)</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Puerto Rico</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Statutory tax rate difference between Puerto Rico and United States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(247,107)</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(10,338)</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Global intangible low-tax income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22,250</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151,649</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3,647,367</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548,015</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1,202,942</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true-ups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2,551,581</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127,081</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86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 for the year ended December 31, 2025:</w:t>
      </w:r>
    </w:p>
    <w:p>
      <w:pPr>
        <w:spacing w:after="0" w:line="22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5715</wp:posOffset>
            </wp:positionV>
            <wp:extent cx="70294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Research and development tax credits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operating losses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asset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515" w:hanging="515"/>
        <w:spacing w:after="0"/>
        <w:tabs>
          <w:tab w:leader="none" w:pos="5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262,178</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65,554</w:t>
      </w:r>
    </w:p>
    <w:p>
      <w:pPr>
        <w:spacing w:after="0" w:line="9" w:lineRule="exact"/>
        <w:rPr>
          <w:sz w:val="20"/>
          <w:szCs w:val="20"/>
          <w:color w:val="auto"/>
        </w:rPr>
      </w:pPr>
    </w:p>
    <w:p>
      <w:pPr>
        <w:ind w:left="395"/>
        <w:spacing w:after="0"/>
        <w:rPr>
          <w:sz w:val="20"/>
          <w:szCs w:val="20"/>
          <w:color w:val="auto"/>
        </w:rPr>
      </w:pPr>
      <w:r>
        <w:rPr>
          <w:rFonts w:ascii="Times New Roman" w:cs="Times New Roman" w:eastAsia="Times New Roman" w:hAnsi="Times New Roman"/>
          <w:sz w:val="18"/>
          <w:szCs w:val="18"/>
          <w:color w:val="auto"/>
        </w:rPr>
        <w:t>3,310,890</w:t>
      </w:r>
    </w:p>
    <w:p>
      <w:pPr>
        <w:spacing w:after="0" w:line="9" w:lineRule="exact"/>
        <w:rPr>
          <w:sz w:val="20"/>
          <w:szCs w:val="20"/>
          <w:color w:val="auto"/>
        </w:rPr>
      </w:pPr>
    </w:p>
    <w:p>
      <w:pPr>
        <w:ind w:left="395"/>
        <w:spacing w:after="0"/>
        <w:rPr>
          <w:sz w:val="20"/>
          <w:szCs w:val="20"/>
          <w:color w:val="auto"/>
        </w:rPr>
      </w:pPr>
      <w:r>
        <w:rPr>
          <w:rFonts w:ascii="Times New Roman" w:cs="Times New Roman" w:eastAsia="Times New Roman" w:hAnsi="Times New Roman"/>
          <w:sz w:val="18"/>
          <w:szCs w:val="18"/>
          <w:color w:val="auto"/>
        </w:rPr>
        <w:t>1,367,374</w:t>
      </w:r>
    </w:p>
    <w:p>
      <w:pPr>
        <w:spacing w:after="0" w:line="58" w:lineRule="exact"/>
        <w:rPr>
          <w:sz w:val="20"/>
          <w:szCs w:val="20"/>
          <w:color w:val="auto"/>
        </w:rPr>
      </w:pPr>
    </w:p>
    <w:p>
      <w:pPr>
        <w:ind w:left="395" w:hanging="395"/>
        <w:spacing w:after="0"/>
        <w:tabs>
          <w:tab w:leader="none" w:pos="395" w:val="left"/>
        </w:tabs>
        <w:numPr>
          <w:ilvl w:val="0"/>
          <w:numId w:val="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5,005,996</w:t>
      </w:r>
    </w:p>
    <w:p>
      <w:pPr>
        <w:spacing w:after="0" w:line="200" w:lineRule="exact"/>
        <w:rPr>
          <w:rFonts w:ascii="Times New Roman" w:cs="Times New Roman" w:eastAsia="Times New Roman" w:hAnsi="Times New Roman"/>
          <w:sz w:val="18"/>
          <w:szCs w:val="18"/>
          <w:u w:val="single" w:color="auto"/>
          <w:color w:val="auto"/>
        </w:rPr>
      </w:pPr>
    </w:p>
    <w:p>
      <w:pPr>
        <w:spacing w:after="0" w:line="308" w:lineRule="exact"/>
        <w:rPr>
          <w:rFonts w:ascii="Times New Roman" w:cs="Times New Roman" w:eastAsia="Times New Roman" w:hAnsi="Times New Roman"/>
          <w:sz w:val="18"/>
          <w:szCs w:val="18"/>
          <w:u w:val="single" w:color="auto"/>
          <w:color w:val="auto"/>
        </w:rPr>
      </w:pPr>
    </w:p>
    <w:p>
      <w:pPr>
        <w:ind w:left="555"/>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(60,330)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029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9305" w:space="720"/>
            <w:col w:w="1215"/>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38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Valuation allowance</w:t>
            </w:r>
          </w:p>
        </w:tc>
        <w:tc>
          <w:tcPr>
            <w:tcW w:w="6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(4,945,666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6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
        </w:trPr>
        <w:tc>
          <w:tcPr>
            <w:tcW w:w="3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2"/>
          </w:tcPr>
          <w:p>
            <w:pPr>
              <w:jc w:val="right"/>
              <w:ind w:right="4350"/>
              <w:spacing w:after="0"/>
              <w:rPr>
                <w:sz w:val="20"/>
                <w:szCs w:val="20"/>
                <w:color w:val="auto"/>
              </w:rPr>
            </w:pPr>
            <w:r>
              <w:rPr>
                <w:rFonts w:ascii="Times New Roman" w:cs="Times New Roman" w:eastAsia="Times New Roman" w:hAnsi="Times New Roman"/>
                <w:sz w:val="18"/>
                <w:szCs w:val="18"/>
                <w:color w:val="auto"/>
              </w:rPr>
              <w:t>F-31</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type w:val="continuous"/>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 for the year ended December 31, 2024:</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(liability):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to cash adjustment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729,287</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Charitable contributions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3,106,508</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expenditures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359,433</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tax credit carryovers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239,142</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(65,999)</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56,893</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55,481</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304,628</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10,338</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7,028</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(4,804,357)</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a net operating loss carryforward for federal income tax purposes of $14.8 million and $1.5 million, respectively, which have indefinite carryforward periods. As of December 31, 2025 and 2024, the Company had a net operating loss carryforward for state income tax purposes of $8.5 million and $2.0 million, respectively, which have various carryforward periods and will begin to expire in 2038. As of December 31, 2025 and 2024, the Company had federal research and development tax credit carryforwards of approximately $262 thousand and $239 thousand, respectively, which begin to expire in 2042.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established a 100% valuation allowance against the deferred tax assets as management does not believe it is more likely than not that these assets will be realized. The Company’s valuation allowance increased by approximately $141 thousand from 2024 to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complies with the provisions of ASC 740-10 in accounting for its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the taxing authorities, based on the technical merits of the position. The Company has determined that the Company has no significant uncertain tax positions requiring recognition under ASC 740-10 and therefore has not included a tabular roll forward of unrecognized tax benefits. As there are no uncertain tax positions recognized, interest and penalties have not been accrued.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 in the United States, as well as various states and Puerto Rico. The Company has not been audited by any state tax authorities in connection with income taxes. The Company has not been audited by Puerto Rican tax authorities or any states in connection with income taxes.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tax years December 31, 2021 through December 31, 2025 generally remain open to adjustment for all federal, state and foreign tax matters until its net operating loss and tax credit carryforwards are utilized or expire prior to utilization, and the applicable statutes of limitation have expired in the utilization year. The federal and state tax authorities can generally reduce a net operating loss (but not create taxable income) for a period outside the statute of limitations in order to determine the correct amount of net operating loss which may be allowed as a deduction against income for a period within the statute of limitations.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accrued related to unrecognized tax benefits and penalties, if incurred, as a component of income tax expense. The Company made no state or foreign tax payments for the year ended December 31, 2025; therefore, no table is needed as a result of the adoption.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resulted in the extension of many provisions of the current tax law as well as other rule changes that could impact the Company’s tax provision in 2025 or 2026. Examples of the new tax law include the following:</w:t>
      </w:r>
    </w:p>
    <w:p>
      <w:pPr>
        <w:spacing w:after="0" w:line="176"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expensing of U.S. research and development costs under Section 174A.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 expensing of unamortized U.S. research and development costs capitalized between 2022 and 2024; either all in 2025, or over two years in 2025 and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the Section 163(j) taxable income base excluding the deductions for depreciation and amortization in 2025 (change from “Tax EBIT” to “Tax EBITDA”).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Section 250 deduction for Net CFC Tested Income (formerly GILTI) to 40% (from 50%) in 2026, instead of the scheduled decrease to 37.5% prior to the OBBBA.</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Section 250 deduction for foreign-derived income to 33.34% (from 37.5%) in 2026, instead of the scheduled decrease to 21.875% prior to the OBBBA.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foreign tax credit rate on Net CFC Tested Income (formerly GILTI) to 90% (from 80%), and a 10% disallowance on repatriation, in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the allocation of interest expense and research and development expense to Net CFC Tested Income (formerly GILTI) in calculating the foreign tax credit limitation, effective in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determined the legislation will not have a material impact on the Company’s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October 1, 2026 with a final payment by December 31, 2026. All of the Company’s obligations and payments under the Executive Notes are subordinated to the Company’s obligations under the loan agreement with J.J. Astor &amp; Co.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and Issuance and Distribution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fees and expenses payable by the registrant in connection with the offering and sale of our Common Stock and other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left="380" w:hanging="345"/>
        <w:spacing w:after="0"/>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including with regard to compliance with state securities or “blue sky” laws. The Selling Securityholder, however, will bear all underwriting commissions and discounts, if any, attributable to the sale of their securities. All amounts are estimates except the SEC registration fee and the FINRA filing fee.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generally,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Section 102(b)(7) of the DGCL, our Second Amended and Restated Certificate of Incorporation provides that a director will not be personally liable to us or our stockholders for monetary damages for breach of fiduciary duty as a director, except for liability (i) for any breach of the director’s duty of loyalty to us or our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became effective. Accordingly, these provisions will have no effect on the availability of equitable remedies such as an injunction or rescission based on a director’s breach of his or her duty of care.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we will indemnify its present and former directors and officers to the maximum extent permitted by the DGCL and that such indemnification will not be exclusive of any other rights to which those seeking indemnification may be entitled under any bylaw provision, agreement, vote of stockholders or disinterested directors or otherwise.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Founder Shares, the Private Placement Warrants and the shares of Series A Convertible Preferred Stock issued pursuant to the Subscription Agreement in connection with the PIPE Financing, were not registered under the Securities Act, in reliance upon the exemption provided in Section 4(a)(2) thereof.</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issued the foregoing securities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028"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exhibits listed below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Business Combination Agreement by and among ShoulderUp Technology Acquisition Corp., CID Holdco, Inc., ShoulderUp Merger Sub,</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Inc., SEI Merger Sub, Inc., and SEE ID, Inc., dated as of March 18, 2024 (incorporated by reference to Exhibit 2.1 of CID Holdco, Inc.’s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Registration Statement on Form S-4, filed with the SEC on January 15, 2025).</w:t>
              </w:r>
            </w:hyperlink>
          </w:p>
        </w:tc>
        <w:tc>
          <w:tcPr>
            <w:tcW w:w="438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Amended and Restated Certificate of Incorporation of CID Holdco, Inc. (incorporated by reference to Exhibit 3.1 of CID Holdco, Inc.’s</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Current Report on Form 8-K, filed with the SEC on June 26,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Bylaws of CID Holdco, Inc. (incorporated by reference to Exhibit 3.2 of CID Holdco, Inc.’s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SEC on June 26, 2025).</w:t>
              </w:r>
            </w:hyperlink>
          </w:p>
        </w:tc>
        <w:tc>
          <w:tcPr>
            <w:tcW w:w="8300" w:type="dxa"/>
            <w:vAlign w:val="bottom"/>
            <w:tcBorders>
              <w:bottom w:val="single" w:sz="8" w:color="CCEEFF"/>
              <w:right w:val="single" w:sz="8" w:color="CCEEFF"/>
            </w:tcBorders>
            <w:gridSpan w:val="16"/>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Specimen Common Stock Certificate (incorporated by reference to Exhibit 4.5 of CID Holdco, Inc.’s Registration Statement on Form 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4, filed with the SEC on January 15,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Specimen Warrant Certificate (incorporated by reference to Exhibit 4.6 of CID Holdco, Inc.’s Registration Statement on Form S-4, filed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with the SEC on January 15, 2025).</w:t>
              </w:r>
            </w:hyperlink>
          </w:p>
        </w:tc>
        <w:tc>
          <w:tcPr>
            <w:tcW w:w="7520" w:type="dxa"/>
            <w:vAlign w:val="bottom"/>
            <w:tcBorders>
              <w:bottom w:val="single" w:sz="8" w:color="CCEEFF"/>
              <w:right w:val="single" w:sz="8" w:color="CCEEFF"/>
            </w:tcBorders>
            <w:gridSpan w:val="1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Existing Warrant Agreement, dated November 16, 2021, by and between ShoulderUp Technology Acquisition Corp and Continental Stock</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Transfer &amp; Trust Company, as warrant agent (incorporated by reference to Exhibit 4.4 of CID Holdco, Inc.’s Registration Statement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S-4, filed with the SEC on January 15,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Warrant Assumption and Assignment Agreement, dated as of June 18, 2025 (incorporated by reference to Exhibit 4.4 of CID Holdco, Inc.’s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96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Current Report on Form 8-K, filed with the SEC on June 26, 2025).</w:t>
              </w:r>
            </w:hyperlink>
          </w:p>
        </w:tc>
        <w:tc>
          <w:tcPr>
            <w:tcW w:w="514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Common Stock Purchase Warrant, issued April 17, 2026, by CID Holdco, Inc. to White Lion Capital, LLC (incorporated by reference to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Exhibit 4.1 to the Company’s Current Report on Form 8-K (File No. 001-42711) filed with the SEC on April 20, 2026).</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Opinion of DLA Piper LLP (US).</w:t>
            </w:r>
          </w:p>
        </w:tc>
        <w:tc>
          <w:tcPr>
            <w:tcW w:w="7660" w:type="dxa"/>
            <w:vAlign w:val="bottom"/>
            <w:tcBorders>
              <w:bottom w:val="single" w:sz="8" w:color="CCEEFF"/>
              <w:right w:val="single" w:sz="8" w:color="CCEEFF"/>
            </w:tcBorders>
            <w:gridSpan w:val="13"/>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of PIPE Subscription Agreement (incorporated by reference to Exhibit 10.8 of CID Holdco, Inc.’s Current Report on Form 8-K, filed</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with the SEC on June 26,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Registration Rights and Lock-up Agreement by and among CID Holdco, Inc, and certain parties listed therein, dated as of June 18, 2025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(incorporated by reference to Exhibit 10.10 of CID Holdco, Inc.’s Current Report on Form 8-K, filed with the SEC on June 26,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Share Purchase Agreement, dated June 18, 2025 by and among New Circle Principal Investments LLC, a Delaware limited liability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company, and CID Holdco, Inc. (incorporated by reference to Exhibit 10.11 of CID Holdco, Inc.’s Current Report on Form 8-K, filed with</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the SEC on June 26, 2025).</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Registration Rights Agreement, dated June 18, 2025 by and among New Circle Principal Investments LLC, a Delaware limited liability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company, and CID Holdco, Inc. (incorporated by reference to Exhibit 10.12 of CID Holdco, Inc.’s Current Report on Form 8-K,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the SEC on June 26, 2025).</w:t>
              </w:r>
            </w:hyperlink>
          </w:p>
        </w:tc>
        <w:tc>
          <w:tcPr>
            <w:tcW w:w="8120" w:type="dxa"/>
            <w:vAlign w:val="bottom"/>
            <w:tcBorders>
              <w:bottom w:val="single" w:sz="8" w:color="CCEEFF"/>
              <w:right w:val="single" w:sz="8" w:color="CCEEFF"/>
            </w:tcBorders>
            <w:gridSpan w:val="1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Loan Agreement between J.J. Astor &amp; Co. and CID HoldCo, Inc., dated as of December 4, 2025 (incorporated by reference to Exhibit 10.1</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to CID HoldCo, Inc.’s Form 8-K/A filed March 6,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Senior Secured Convertible Promissory Note (Original Issue Date: December 4, 2025) (incorporated by reference to Exhibit 10.2 to CID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5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HoldCo, Inc.’s Form 8-K/A filed March 6, 2026.)</w:t>
              </w:r>
            </w:hyperlink>
          </w:p>
        </w:tc>
        <w:tc>
          <w:tcPr>
            <w:tcW w:w="6520" w:type="dxa"/>
            <w:vAlign w:val="bottom"/>
            <w:tcBorders>
              <w:bottom w:val="single" w:sz="8" w:color="CCEEFF"/>
              <w:right w:val="single" w:sz="8" w:color="CCEEFF"/>
            </w:tcBorders>
            <w:gridSpan w:val="10"/>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Amended and Restated Registration Rights Agreement between CID Holdco, Inc. and J.J. Astor &amp; Co., dated as of December 4, 2025</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(incorporated by reference to Exhibit 10.3 to CID HoldCo, Inc.’s Form 8-K/Form 8-K filed December 11,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CID Holdco, Inc. 2024 Equity Incentive Plan (incorporated by reference to Exhibit 99.1 of CID Holdco, Inc.’s Form S-8 filed September 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2025).</w:t>
              </w:r>
            </w:hyperlink>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10.9</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SEE ID, Inc. 2021 Equity Incentive Plan (incorporated by reference to Exhibit 99.1 of the CID Holdco, Inc.’s Registration Statement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Form S-8, filed with the SEC on December 2, 2025).</w:t>
              </w:r>
            </w:hyperlink>
          </w:p>
        </w:tc>
        <w:tc>
          <w:tcPr>
            <w:tcW w:w="62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10.10</w:t>
            </w:r>
          </w:p>
        </w:tc>
        <w:tc>
          <w:tcPr>
            <w:tcW w:w="10100" w:type="dxa"/>
            <w:vAlign w:val="bottom"/>
            <w:tcBorders>
              <w:bottom w:val="single" w:sz="8" w:color="0000EE"/>
              <w:right w:val="single" w:sz="8" w:color="CCEEFF"/>
            </w:tcBorders>
            <w:gridSpan w:val="10"/>
            <w:shd w:val="clear" w:color="auto" w:fill="CCEEFF"/>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Common Stock Purchase Agreement, dated as of April 17, 2026, by and between CID Holdco, Inc. and White Lion Capital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(incorporated by reference to Exhibit 10.1 to the Company’s Current Report on Form 8-K (File No. 001-42711) filed with the SEC on April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7"/>
              </w:rPr>
            </w:pPr>
            <w:hyperlink r:id="rId199">
              <w:r>
                <w:rPr>
                  <w:rFonts w:ascii="Times New Roman" w:cs="Times New Roman" w:eastAsia="Times New Roman" w:hAnsi="Times New Roman"/>
                  <w:sz w:val="18"/>
                  <w:szCs w:val="18"/>
                  <w:color w:val="0000EE"/>
                  <w:w w:val="97"/>
                </w:rPr>
                <w:t>20, 2026).</w:t>
              </w:r>
            </w:hyperlink>
          </w:p>
        </w:tc>
        <w:tc>
          <w:tcPr>
            <w:tcW w:w="1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10.11</w:t>
            </w: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Registration Rights Agreement, dated as of April 17, 2026, by and between CID Holdco, Inc. and White Lion Capital LLC (incorporated by</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reference to Exhibit 10.2 to the Company’s Current Report on Form 8-K (File No. 001-42711) filed with the SEC on April 20, 2026).</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10.12</w:t>
            </w: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Note Purchase Agreement, dated as of April 17, 2026, between CID Holdco, Inc. and White Lion Capital, LLC (incorporated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to Exhibit 10.3 to the Company’s Current Report on Form 8-K (File No. 001-42711) filed with the SEC on April 20,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10.13</w:t>
            </w:r>
          </w:p>
        </w:tc>
        <w:tc>
          <w:tcPr>
            <w:tcW w:w="10100" w:type="dxa"/>
            <w:vAlign w:val="bottom"/>
            <w:gridSpan w:val="10"/>
          </w:tcPr>
          <w:p>
            <w:pPr>
              <w:spacing w:after="0" w:line="17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Senior Secured Convertible Promissory Note, issued April 17, 2026, by CID Holdco, Inc. to White Lion Capital LLC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reference to Exhibit 10.4 to the Company’s Current Report on Form 8-K (File No. 001-42711) filed with the SEC on April 20,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16.1</w:t>
            </w:r>
          </w:p>
        </w:tc>
        <w:tc>
          <w:tcPr>
            <w:tcW w:w="1010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Letter from Berkowitz Pollack Brant Advisors + CPAs, LLP, dated as of January 20, 2026, addressed to the Securities and Exchange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Commission (incorporated by reference to Exhibit 16.1 to CID HoldCo, Inc.’s Annual Report on Form 10-K, filed with the SEC on March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w w:val="97"/>
              </w:rPr>
            </w:pPr>
            <w:hyperlink r:id="rId203">
              <w:r>
                <w:rPr>
                  <w:rFonts w:ascii="Times New Roman" w:cs="Times New Roman" w:eastAsia="Times New Roman" w:hAnsi="Times New Roman"/>
                  <w:sz w:val="18"/>
                  <w:szCs w:val="18"/>
                  <w:color w:val="0000EE"/>
                  <w:w w:val="97"/>
                </w:rPr>
                <w:t>11, 2026).</w:t>
              </w:r>
            </w:hyperlink>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21.1</w:t>
            </w: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Subsidiaries of the Registrant (incorporated by reference to Exhibit 21.1 of CID Holdco, Inc.’s Annual Report on Form 10-K, filed with the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SEC on March 11, 2026).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23.1*</w:t>
            </w:r>
          </w:p>
        </w:tc>
        <w:tc>
          <w:tcPr>
            <w:tcW w:w="10100" w:type="dxa"/>
            <w:vAlign w:val="bottom"/>
            <w:tcBorders>
              <w:right w:val="single" w:sz="8" w:color="CCEEFF"/>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Berkowitz Pollack Brant Advisors + CPAs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23.2*</w:t>
            </w:r>
          </w:p>
        </w:tc>
        <w:tc>
          <w:tcPr>
            <w:tcW w:w="39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Consent of Carr, Riggs &amp; Ingram, L.L.C.</w:t>
            </w:r>
          </w:p>
        </w:tc>
        <w:tc>
          <w:tcPr>
            <w:tcW w:w="6200" w:type="dxa"/>
            <w:vAlign w:val="bottom"/>
            <w:tcBorders>
              <w:top w:val="single" w:sz="8" w:color="CCEE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23.3*</w:t>
            </w:r>
          </w:p>
        </w:tc>
        <w:tc>
          <w:tcPr>
            <w:tcW w:w="42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DLA Piper LLP (US) (included in Exhibit 5.1)</w:t>
            </w:r>
          </w:p>
        </w:tc>
        <w:tc>
          <w:tcPr>
            <w:tcW w:w="5900" w:type="dxa"/>
            <w:vAlign w:val="bottom"/>
            <w:tcBorders>
              <w:bottom w:val="single" w:sz="8" w:color="CCEEFF"/>
              <w:right w:val="single" w:sz="8" w:color="CCEEFF"/>
            </w:tcBorders>
            <w:gridSpan w:val="4"/>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24.1</w:t>
            </w: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(reference is made to the signature page hereto)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1010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101.PRE*</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34" w:lineRule="exact"/>
        <w:rPr>
          <w:sz w:val="20"/>
          <w:szCs w:val="20"/>
          <w:color w:val="auto"/>
        </w:rPr>
      </w:pPr>
    </w:p>
    <w:p>
      <w:pPr>
        <w:ind w:left="380" w:hanging="345"/>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9"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As previously filed.</w:t>
      </w:r>
    </w:p>
    <w:p>
      <w:pPr>
        <w:spacing w:after="0" w:line="279" w:lineRule="exact"/>
        <w:rPr>
          <w:sz w:val="20"/>
          <w:szCs w:val="20"/>
          <w:color w:val="auto"/>
        </w:rPr>
      </w:pPr>
    </w:p>
    <w:p>
      <w:pPr>
        <w:ind w:left="380" w:right="40" w:hanging="345"/>
        <w:spacing w:after="0" w:line="282"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omitted pursuant to Item 601(a)(5) of Regulation S-K. The Company agrees to furnish supplementally to the SEC a copy of any omitted schedule or exhibit upon the request of the SEC in accordance with Item 601(b)(2) of Regulation S-K.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0" w:lineRule="exact"/>
        <w:rPr>
          <w:sz w:val="20"/>
          <w:szCs w:val="20"/>
          <w:color w:val="auto"/>
        </w:rPr>
      </w:pPr>
    </w:p>
    <w:p>
      <w:pPr>
        <w:ind w:left="980" w:hanging="324"/>
        <w:spacing w:after="0" w:line="282" w:lineRule="auto"/>
        <w:tabs>
          <w:tab w:leader="none" w:pos="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April 23,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of the undersigned constitutes and appoints Edmund Nabrotzky and Charles Maddox, and each of them, his true and lawful attorney-in-fact and agent, with full power of substitution and revocation, for him or her and in his or her name, place and stead, in any and all capacities, to execute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Edmund Nabrotzky</w:t>
            </w:r>
          </w:p>
        </w:tc>
        <w:tc>
          <w:tcPr>
            <w:tcW w:w="120" w:type="dxa"/>
            <w:vAlign w:val="bottom"/>
          </w:tcPr>
          <w:p>
            <w:pPr>
              <w:spacing w:after="0"/>
              <w:rPr>
                <w:sz w:val="24"/>
                <w:szCs w:val="24"/>
                <w:color w:val="auto"/>
              </w:rPr>
            </w:pPr>
          </w:p>
        </w:tc>
        <w:tc>
          <w:tcPr>
            <w:tcW w:w="6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23,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Edmund Nabrotzky</w:t>
            </w:r>
          </w:p>
        </w:tc>
        <w:tc>
          <w:tcPr>
            <w:tcW w:w="120" w:type="dxa"/>
            <w:vAlign w:val="bottom"/>
          </w:tcPr>
          <w:p>
            <w:pPr>
              <w:spacing w:after="0"/>
              <w:rPr>
                <w:sz w:val="20"/>
                <w:szCs w:val="20"/>
                <w:color w:val="auto"/>
              </w:rPr>
            </w:pPr>
          </w:p>
        </w:tc>
        <w:tc>
          <w:tcPr>
            <w:tcW w:w="6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8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Charles Maddox</w:t>
            </w:r>
          </w:p>
        </w:tc>
        <w:tc>
          <w:tcPr>
            <w:tcW w:w="120" w:type="dxa"/>
            <w:vAlign w:val="bottom"/>
          </w:tcPr>
          <w:p>
            <w:pPr>
              <w:spacing w:after="0"/>
              <w:rPr>
                <w:sz w:val="24"/>
                <w:szCs w:val="24"/>
                <w:color w:val="auto"/>
              </w:rPr>
            </w:pPr>
          </w:p>
        </w:tc>
        <w:tc>
          <w:tcPr>
            <w:tcW w:w="6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23,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Maddox</w:t>
            </w:r>
          </w:p>
        </w:tc>
        <w:tc>
          <w:tcPr>
            <w:tcW w:w="120" w:type="dxa"/>
            <w:vAlign w:val="bottom"/>
          </w:tcPr>
          <w:p>
            <w:pPr>
              <w:spacing w:after="0"/>
              <w:rPr>
                <w:sz w:val="20"/>
                <w:szCs w:val="20"/>
                <w:color w:val="auto"/>
              </w:rPr>
            </w:pPr>
          </w:p>
        </w:tc>
        <w:tc>
          <w:tcPr>
            <w:tcW w:w="6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8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 Saling</w:t>
            </w:r>
          </w:p>
        </w:tc>
        <w:tc>
          <w:tcPr>
            <w:tcW w:w="120" w:type="dxa"/>
            <w:vAlign w:val="bottom"/>
          </w:tcPr>
          <w:p>
            <w:pPr>
              <w:spacing w:after="0"/>
              <w:rPr>
                <w:sz w:val="24"/>
                <w:szCs w:val="24"/>
                <w:color w:val="auto"/>
              </w:rPr>
            </w:pPr>
          </w:p>
        </w:tc>
        <w:tc>
          <w:tcPr>
            <w:tcW w:w="6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Chairman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23,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Jeff Saling</w:t>
            </w: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Phyllis Newhouse</w:t>
            </w:r>
          </w:p>
        </w:tc>
        <w:tc>
          <w:tcPr>
            <w:tcW w:w="120" w:type="dxa"/>
            <w:vAlign w:val="bottom"/>
          </w:tcPr>
          <w:p>
            <w:pPr>
              <w:spacing w:after="0"/>
              <w:rPr>
                <w:sz w:val="24"/>
                <w:szCs w:val="24"/>
                <w:color w:val="auto"/>
              </w:rPr>
            </w:pPr>
          </w:p>
        </w:tc>
        <w:tc>
          <w:tcPr>
            <w:tcW w:w="6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23,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Phyllis Newhouse</w:t>
            </w: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Janice Bryant Howroyd</w:t>
            </w:r>
          </w:p>
        </w:tc>
        <w:tc>
          <w:tcPr>
            <w:tcW w:w="120" w:type="dxa"/>
            <w:vAlign w:val="bottom"/>
          </w:tcPr>
          <w:p>
            <w:pPr>
              <w:spacing w:after="0"/>
              <w:rPr>
                <w:sz w:val="24"/>
                <w:szCs w:val="24"/>
                <w:color w:val="auto"/>
              </w:rPr>
            </w:pPr>
          </w:p>
        </w:tc>
        <w:tc>
          <w:tcPr>
            <w:tcW w:w="6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23,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Janice Bryant Howroyd</w:t>
            </w: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Walter Skowronski</w:t>
            </w:r>
          </w:p>
        </w:tc>
        <w:tc>
          <w:tcPr>
            <w:tcW w:w="120" w:type="dxa"/>
            <w:vAlign w:val="bottom"/>
          </w:tcPr>
          <w:p>
            <w:pPr>
              <w:spacing w:after="0"/>
              <w:rPr>
                <w:sz w:val="24"/>
                <w:szCs w:val="24"/>
                <w:color w:val="auto"/>
              </w:rPr>
            </w:pPr>
          </w:p>
        </w:tc>
        <w:tc>
          <w:tcPr>
            <w:tcW w:w="6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23,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Walter Skowronski</w:t>
            </w: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David Carlson</w:t>
            </w:r>
          </w:p>
        </w:tc>
        <w:tc>
          <w:tcPr>
            <w:tcW w:w="120" w:type="dxa"/>
            <w:vAlign w:val="bottom"/>
          </w:tcPr>
          <w:p>
            <w:pPr>
              <w:spacing w:after="0"/>
              <w:rPr>
                <w:sz w:val="24"/>
                <w:szCs w:val="24"/>
                <w:color w:val="auto"/>
              </w:rPr>
            </w:pPr>
          </w:p>
        </w:tc>
        <w:tc>
          <w:tcPr>
            <w:tcW w:w="6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23, 2026</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David Carlson</w:t>
            </w:r>
          </w:p>
        </w:tc>
        <w:tc>
          <w:tcPr>
            <w:tcW w:w="1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637"/>
        </w:trPr>
        <w:tc>
          <w:tcPr>
            <w:tcW w:w="2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gridSpan w:val="2"/>
          </w:tcPr>
          <w:p>
            <w:pPr>
              <w:ind w:left="2420"/>
              <w:spacing w:after="0"/>
              <w:rPr>
                <w:sz w:val="20"/>
                <w:szCs w:val="20"/>
                <w:color w:val="auto"/>
              </w:rPr>
            </w:pPr>
            <w:r>
              <w:rPr>
                <w:rFonts w:ascii="Times New Roman" w:cs="Times New Roman" w:eastAsia="Times New Roman" w:hAnsi="Times New Roman"/>
                <w:sz w:val="18"/>
                <w:szCs w:val="18"/>
                <w:color w:val="auto"/>
              </w:rPr>
              <w:t>II-5</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1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94130" cy="8229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1294130" cy="822960"/>
                    </a:xfrm>
                    <a:prstGeom prst="rect">
                      <a:avLst/>
                    </a:prstGeom>
                    <a:noFill/>
                  </pic:spPr>
                </pic:pic>
              </a:graphicData>
            </a:graphic>
          </wp:anchor>
        </w:drawing>
      </w:r>
    </w:p>
    <w:p>
      <w:pPr>
        <w:spacing w:after="0" w:line="1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650 S Exeter Street</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Suite 1100</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CID HoldCo,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5661 S Cameron St,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acting as special counsel to CID Holdco,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and filing by the Company with the United States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S-1 filed by the Company with the Commission on April 23, 2026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offer and sale of up to 51,000,000 shares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selling securityholder identified in the prospectus included 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consisting of: (a) up to 15,000,000 shares of Common Stock (the “</w:t>
      </w:r>
      <w:r>
        <w:rPr>
          <w:rFonts w:ascii="Times New Roman" w:cs="Times New Roman" w:eastAsia="Times New Roman" w:hAnsi="Times New Roman"/>
          <w:sz w:val="18"/>
          <w:szCs w:val="18"/>
          <w:b w:val="1"/>
          <w:bCs w:val="1"/>
          <w:i w:val="1"/>
          <w:iCs w:val="1"/>
          <w:color w:val="auto"/>
        </w:rPr>
        <w:t>Purchase Shares</w:t>
      </w:r>
      <w:r>
        <w:rPr>
          <w:rFonts w:ascii="Times New Roman" w:cs="Times New Roman" w:eastAsia="Times New Roman" w:hAnsi="Times New Roman"/>
          <w:sz w:val="18"/>
          <w:szCs w:val="18"/>
          <w:color w:val="auto"/>
        </w:rPr>
        <w:t>”) that the Company may elect, in its sole discretion, to issue and sell to White Lion Capital, LLC (“</w:t>
      </w:r>
      <w:r>
        <w:rPr>
          <w:rFonts w:ascii="Times New Roman" w:cs="Times New Roman" w:eastAsia="Times New Roman" w:hAnsi="Times New Roman"/>
          <w:sz w:val="18"/>
          <w:szCs w:val="18"/>
          <w:b w:val="1"/>
          <w:bCs w:val="1"/>
          <w:i w:val="1"/>
          <w:iCs w:val="1"/>
          <w:color w:val="auto"/>
        </w:rPr>
        <w:t>White Lion</w:t>
      </w:r>
      <w:r>
        <w:rPr>
          <w:rFonts w:ascii="Times New Roman" w:cs="Times New Roman" w:eastAsia="Times New Roman" w:hAnsi="Times New Roman"/>
          <w:sz w:val="18"/>
          <w:szCs w:val="18"/>
          <w:color w:val="auto"/>
        </w:rPr>
        <w:t>”) from time to time during the commitment period under the Common Stock Purchase Agreement dated April 17, 2026 between the Company and White Lion (the “</w:t>
      </w:r>
      <w:r>
        <w:rPr>
          <w:rFonts w:ascii="Times New Roman" w:cs="Times New Roman" w:eastAsia="Times New Roman" w:hAnsi="Times New Roman"/>
          <w:sz w:val="18"/>
          <w:szCs w:val="18"/>
          <w:b w:val="1"/>
          <w:bCs w:val="1"/>
          <w:i w:val="1"/>
          <w:iCs w:val="1"/>
          <w:color w:val="auto"/>
        </w:rPr>
        <w:t>Common Stock Purchase Agreement</w:t>
      </w:r>
      <w:r>
        <w:rPr>
          <w:rFonts w:ascii="Times New Roman" w:cs="Times New Roman" w:eastAsia="Times New Roman" w:hAnsi="Times New Roman"/>
          <w:sz w:val="18"/>
          <w:szCs w:val="18"/>
          <w:color w:val="auto"/>
        </w:rPr>
        <w:t>”); (b) up to 1,000,000 shares of Common Stock (the “</w:t>
      </w:r>
      <w:r>
        <w:rPr>
          <w:rFonts w:ascii="Times New Roman" w:cs="Times New Roman" w:eastAsia="Times New Roman" w:hAnsi="Times New Roman"/>
          <w:sz w:val="18"/>
          <w:szCs w:val="18"/>
          <w:b w:val="1"/>
          <w:bCs w:val="1"/>
          <w:i w:val="1"/>
          <w:iCs w:val="1"/>
          <w:color w:val="auto"/>
        </w:rPr>
        <w:t>Commitment Shares</w:t>
      </w:r>
      <w:r>
        <w:rPr>
          <w:rFonts w:ascii="Times New Roman" w:cs="Times New Roman" w:eastAsia="Times New Roman" w:hAnsi="Times New Roman"/>
          <w:sz w:val="18"/>
          <w:szCs w:val="18"/>
          <w:color w:val="auto"/>
        </w:rPr>
        <w:t>”) issuable to White Lion as consideration for entering into the Common Stock Purchase Agreement; (c) up to 15,000,000 shares of Common Stock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issuable upon exercise of the common stock purchase warrant issued to White Lion (the “</w:t>
      </w:r>
      <w:r>
        <w:rPr>
          <w:rFonts w:ascii="Times New Roman" w:cs="Times New Roman" w:eastAsia="Times New Roman" w:hAnsi="Times New Roman"/>
          <w:sz w:val="18"/>
          <w:szCs w:val="18"/>
          <w:b w:val="1"/>
          <w:bCs w:val="1"/>
          <w:i w:val="1"/>
          <w:iCs w:val="1"/>
          <w:color w:val="auto"/>
        </w:rPr>
        <w:t>Commitment Warrant</w:t>
      </w:r>
      <w:r>
        <w:rPr>
          <w:rFonts w:ascii="Times New Roman" w:cs="Times New Roman" w:eastAsia="Times New Roman" w:hAnsi="Times New Roman"/>
          <w:sz w:val="18"/>
          <w:szCs w:val="18"/>
          <w:color w:val="auto"/>
        </w:rPr>
        <w:t>”); and (d) up to 20,000,000 shares of Common Stock (the “</w:t>
      </w:r>
      <w:r>
        <w:rPr>
          <w:rFonts w:ascii="Times New Roman" w:cs="Times New Roman" w:eastAsia="Times New Roman" w:hAnsi="Times New Roman"/>
          <w:sz w:val="18"/>
          <w:szCs w:val="18"/>
          <w:b w:val="1"/>
          <w:bCs w:val="1"/>
          <w:i w:val="1"/>
          <w:iCs w:val="1"/>
          <w:color w:val="auto"/>
        </w:rPr>
        <w:t>Conversion Shares</w:t>
      </w:r>
      <w:r>
        <w:rPr>
          <w:rFonts w:ascii="Times New Roman" w:cs="Times New Roman" w:eastAsia="Times New Roman" w:hAnsi="Times New Roman"/>
          <w:sz w:val="18"/>
          <w:szCs w:val="18"/>
          <w:color w:val="auto"/>
        </w:rPr>
        <w:t>”) issuable upon conversion of the senior secured convertible promissory notes issued pursuant to the Note Purchase Agreement dated April 17, 2026 between the Company and White Lion (the “</w:t>
      </w:r>
      <w:r>
        <w:rPr>
          <w:rFonts w:ascii="Times New Roman" w:cs="Times New Roman" w:eastAsia="Times New Roman" w:hAnsi="Times New Roman"/>
          <w:sz w:val="18"/>
          <w:szCs w:val="18"/>
          <w:b w:val="1"/>
          <w:bCs w:val="1"/>
          <w:i w:val="1"/>
          <w:iCs w:val="1"/>
          <w:color w:val="auto"/>
        </w:rPr>
        <w:t>Note Purchase Agreement</w:t>
      </w:r>
      <w:r>
        <w:rPr>
          <w:rFonts w:ascii="Times New Roman" w:cs="Times New Roman" w:eastAsia="Times New Roman" w:hAnsi="Times New Roman"/>
          <w:sz w:val="18"/>
          <w:szCs w:val="18"/>
          <w:color w:val="auto"/>
        </w:rPr>
        <w:t>” and such notes, the “</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The Purchase Shares, the Commitment Shares, the Warrant Shares, and the Conversion Shares are collectively referred to herein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This opinion letter is being furnished in accordance with the requirements of Item 601(b)(5) of Regulation S-K under the Securities Act, and no opinion is expressed herein as to any matter pertaining to the contents of the Registration Statement or the Prospectus.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 special counsel for the Company, we have made such legal and factual examinations and inquiries as we have deemed necessary or advisable for the purpose of rendering the opinions and statements set forth below. In rendering the opinions and statements expressed below, we have examined the Registration Statement, the Prospectus, and originals or copies, certified or otherwise identified to our satisfaction, of: (i) the Amended and Restated Certificate of Incorporation of the Company, filed as Exhibit 3.1 to the Registration Statement; (ii) the Bylaws of the Company, filed as Exhibit 3.2 to the Registration Statement; (iii) the Common Stock Purchase Agreement, dated as of April 17, 2026, by and between the Company and White Lion, filed as Exhibit 10.10 to the Registration Statement; (iv) the Registration Rights Agreement, dated as of April 17, 2026, by and between the Company and White Lion, filed as Exhibit 10.11 to the Registration Statement; (v) the Note Purchase Agreement, dated as of April 17, 2026, between the Company and White Lion, filed as Exhibit 10.12 to the Registration Statement; (vi) the Senior Secured Convertible Promissory Note, issued April 17, 2026, by the Company to White Lion, filed as Exhibit 10.13 to the Registration Statement; (vii) the Common Stock Purchase Warrant, issued April 17, 2026, by the Company to White Lion, filed as Exhibit 4.5 to the Registration Statement; (viii) resolutions, or actions by written consent, of the board of directors of the Company (or a committee thereof) relating to the Shares; and (ix) and such documents, corporate records, certificates of public officials and other instruments as we have deemed necessary for the purposes of rendering this opinion. In our examination, we have assumed the genuineness and validity of all signatures (including, without limitation, signatures via DocuSign, eSignature or similar technology); the authenticity and completeness of all documents submitted to us as originals and the conformity with the originals of all documents submitted to us as certified or photostatic copies or telecopies or portable document file (.pdf) copies (and the authenticity and completeness of the originals of such copies) or which we obtained from the Commission’s Electronic Data Gathering Analysis and Retrieval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system; that each individual executing any document, whether on behalf of such individual or an entity, is legally competent to do so; the due authority of the parties signing any document on behalf of a party (other than the Company); the completeness and conformity to the originals of all documents submitted to us as copies; that all public records reviewed or relied upon by us are authentic, accurate and complete; that all factual statements and information contained in any documents are true and complete; and that there has been no oral or written modification or amendments to any documents by action or omission of the parties or otherwise. We have also assumed that the issuance of the Shares will comply in all respects with the terms, conditions and restrictions set forth in the Registration Statement, the Common Stock Purchase Agreement, the Commitment Warrant, and the Convertible Notes, as applicable. As to questions of fact material to this opinion letter, we have, to the extent deemed appropriate, relied upon certain certificates and representations of officers and employees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0" w:name="page151"/>
    <w:bookmarkEnd w:id="150"/>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opinion letter is limited to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we express no opinion herein as to any other laws, statutes, ordinances, rules, or regulations. With respect to our opinion based on the DGCL, our examination has been limited to a review of such laws as reported in standard, unofficial compilations.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 This opinion letter is given, and all statements herein are made, in the context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qualifications, and limitations set forth herein, we are of the opinion that:</w:t>
      </w:r>
    </w:p>
    <w:p>
      <w:pPr>
        <w:spacing w:after="0" w:line="225" w:lineRule="exact"/>
        <w:rPr>
          <w:sz w:val="20"/>
          <w:szCs w:val="20"/>
          <w:color w:val="auto"/>
        </w:rPr>
      </w:pPr>
    </w:p>
    <w:p>
      <w:pPr>
        <w:ind w:left="1140" w:hanging="48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Shares and the Commitment Shares are duly authorized, and when issued and sold in accordance with the terms of the Common Stock Purchase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are duly authorized, and when issued and delivered upon exercise of the Commitment Warrant in accordance with the terms thereof,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Shares are duly authorized, and when issued and delivered upon conversion of the Convertible Notes in accordance with the terms thereof, will be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in this letter are limited to the matters set forth in this letter, and no other opinion should be inferred beyond the matters expressly stated. This letter is rendered as of the date hereof and we disclaim any undertaking to advise you hereafter of any facts, circumstances, events or developments hereafter occurring or coming to our attention which may alter, affect or modify the opinions expressed 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to the use of our name as your counsel, and to all references made to us in the Registration Statement and the Prospectus. In giving such consent, we do not hereby admit that we are acting within the category of persons whose consent is required under Section 7 of the Securities Act or the rules or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151130</wp:posOffset>
            </wp:positionV>
            <wp:extent cx="6429375" cy="11144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642937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of CID Holdco, Inc. of our report dated June 25, 2025, which included an explanatory paragraph as to the entity’s ability to continue as a going concern, with respect to the consolidated balance sheet of SEE ID, Inc. dba Dot Ai as of December 31, 2024, the related consolidated statements of operations, stockholders’ deficit, and cash flows for the year ended December 31, 2024, and the related notes, before the effects of the retrospective adjustments and revisions described in Notes 2, 3, 4 and 11, all of which have been subjected to audit procedures by the successor auditor whose report appears in the year ended December 31, 2025 annual report on Form 10-K of CID Holdco, Inc., which is also a part of this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the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Berkowitz Pollack Brant Advisors + CPAs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160020</wp:posOffset>
            </wp:positionV>
            <wp:extent cx="5983605" cy="3683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5983605" cy="3683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S-1 of CID Holdco, Inc. (the “Company”) of our report dated March 11, 2026, which included an explanatory paragraph as to the Company’s ability to continue as a going concern, with respect to our audit of the consolidated financial statements of CID Holdco, Inc. appearing in the Company’s Annual Report on Form 10-K as of December 31, 2025 and for the year then ended, which appears in the Prospectus, which is a part of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Carr, Riggs &amp; Ingram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Palm Beach Gardens,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2026</w:t>
      </w:r>
    </w:p>
    <w:p>
      <w:pPr>
        <w:sectPr>
          <w:pgSz w:w="11900" w:h="16838" w:orient="portrait"/>
          <w:cols w:equalWidth="0" w:num="1">
            <w:col w:w="11240"/>
          </w:cols>
          <w:pgMar w:left="320" w:top="108"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gridSpan w:val="7"/>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51,000,000</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$ 0.2302</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$ 11,740,200.00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0.0001381</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$ 1,621.32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$0.0001 par value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1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$ 11,740,200.00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1,621.32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$ 1,621.32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right="20" w:hanging="292"/>
        <w:spacing w:after="0" w:line="282" w:lineRule="auto"/>
        <w:tabs>
          <w:tab w:leader="none" w:pos="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“Securities Act”), there are also being registered an indeterminable number of additional securities as may be issued to prevent dilution resulting from stock splits, stock dividends or similar transactions.</w:t>
      </w:r>
    </w:p>
    <w:p>
      <w:pPr>
        <w:spacing w:after="0" w:line="161"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registered consists of shares of the Registrant's common stock that may be offered and sold by the selling securityholder.</w:t>
      </w:r>
    </w:p>
    <w:p>
      <w:pPr>
        <w:spacing w:after="0" w:line="225"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based on the average of the high and low prices of the shares of common stock on The Nasdaq Stock Market LLC on April 22, 2026, in accordance with Rule 457(c) of the Securities Act.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1)"/>
      <w:numFmt w:val="upperLetter"/>
      <w:start w:val="2"/>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lowerRoman"/>
      <w:start w:val="3"/>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lowerRoman"/>
      <w:start w:val="3"/>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104"/>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upperLetter"/>
      <w:start w:val="1"/>
    </w:lvl>
    <w:lvl w:ilvl="1">
      <w:lvlJc w:val="left"/>
      <w:lvlText w:val="(%2)"/>
      <w:numFmt w:val="lowerRoman"/>
      <w:start w:val="1"/>
    </w:lvl>
  </w:abstractNum>
  <w:abstractNum w:abstractNumId="62">
    <w:nsid w:val="5FF87E05"/>
    <w:multiLevelType w:val="hybridMultilevel"/>
    <w:lvl w:ilvl="0">
      <w:lvlJc w:val="left"/>
      <w:lvlText w:val="%1"/>
      <w:numFmt w:val="upperLetter"/>
      <w:start w:val="1"/>
    </w:lvl>
    <w:lvl w:ilvl="1">
      <w:lvlJc w:val="left"/>
      <w:lvlText w:val="(%2)"/>
      <w:numFmt w:val="lowerRoman"/>
      <w:start w:val="3"/>
    </w:lvl>
  </w:abstractNum>
  <w:abstractNum w:abstractNumId="63">
    <w:nsid w:val="2F305DEF"/>
    <w:multiLevelType w:val="hybridMultilevel"/>
    <w:lvl w:ilvl="0">
      <w:lvlJc w:val="left"/>
      <w:lvlText w:val="%1."/>
      <w:numFmt w:val="upperLetter"/>
      <w:start w:val="2"/>
    </w:lvl>
    <w:lvl w:ilvl="1">
      <w:lvlJc w:val="left"/>
      <w:lvlText w:val="(%2)"/>
      <w:numFmt w:val="lowerRoman"/>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98"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jpe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jpeg"/><Relationship Id="rId213" Type="http://schemas.openxmlformats.org/officeDocument/2006/relationships/image" Target="media/image183.jpeg"/><Relationship Id="rId214" Type="http://schemas.openxmlformats.org/officeDocument/2006/relationships/image" Target="media/image184.png"/><Relationship Id="rId215" Type="http://schemas.openxmlformats.org/officeDocument/2006/relationships/image" Target="media/image185.png"/><Relationship Id="rId181" Type="http://schemas.openxmlformats.org/officeDocument/2006/relationships/hyperlink" Target="http://www.sec.gov/Archives/edgar/data/2033770/000121390025003518/ea0208059-15.htm#T201" TargetMode="External"/><Relationship Id="rId182" Type="http://schemas.openxmlformats.org/officeDocument/2006/relationships/hyperlink" Target="http://www.sec.gov/Archives/edgar/data/2033770/000121390025057972/ea024660701ex3-1_cidhold.htm" TargetMode="External"/><Relationship Id="rId183" Type="http://schemas.openxmlformats.org/officeDocument/2006/relationships/hyperlink" Target="https://www.sec.gov/Archives/edgar/data/2033770/000121390025057972/ea024660701ex3-2_cidhold.htm" TargetMode="External"/><Relationship Id="rId184" Type="http://schemas.openxmlformats.org/officeDocument/2006/relationships/hyperlink" Target="http://www.sec.gov/Archives/edgar/data/2033770/000121390024094562/ea020805905ex4-5_cidhold.htm" TargetMode="External"/><Relationship Id="rId185" Type="http://schemas.openxmlformats.org/officeDocument/2006/relationships/hyperlink" Target="http://www.sec.gov/Archives/edgar/data/2033770/000121390024094562/ea020805905ex4-6_cidhold.htm" TargetMode="External"/><Relationship Id="rId186" Type="http://schemas.openxmlformats.org/officeDocument/2006/relationships/hyperlink" Target="http://www.sec.gov/Archives/edgar/data/1885461/000121390021061326/ea151223ex4-1_shoulderup.htm" TargetMode="External"/><Relationship Id="rId187" Type="http://schemas.openxmlformats.org/officeDocument/2006/relationships/hyperlink" Target="http://www.sec.gov/Archives/edgar/data/2033770/000121390025057972/ea024660701ex4-4_cidhold.htm" TargetMode="External"/><Relationship Id="rId188" Type="http://schemas.openxmlformats.org/officeDocument/2006/relationships/hyperlink" Target="http://www.sec.gov/Archives/edgar/data/2033770/000121390026045664/ea028687601_ex4-1.htm" TargetMode="External"/><Relationship Id="rId189" Type="http://schemas.openxmlformats.org/officeDocument/2006/relationships/hyperlink" Target="http://www.sec.gov/Archives/edgar/data/2033770/000121390025057972/ea024660701ex10-8_cidhold.htm" TargetMode="External"/><Relationship Id="rId190" Type="http://schemas.openxmlformats.org/officeDocument/2006/relationships/hyperlink" Target="http://www.sec.gov/Archives/edgar/data/2033770/000121390025057972/ea024660701ex10-10_cidhold.htm" TargetMode="External"/><Relationship Id="rId191" Type="http://schemas.openxmlformats.org/officeDocument/2006/relationships/hyperlink" Target="http://www.sec.gov/Archives/edgar/data/2033770/000121390025057972/ea024660701ex10-11_cidhold.htm" TargetMode="External"/><Relationship Id="rId192" Type="http://schemas.openxmlformats.org/officeDocument/2006/relationships/hyperlink" Target="http://www.sec.gov/Archives/edgar/data/2033770/000121390025057972/ea024660701ex10-12_cidhold.htm" TargetMode="External"/><Relationship Id="rId193" Type="http://schemas.openxmlformats.org/officeDocument/2006/relationships/hyperlink" Target="https://www.sec.gov/Archives/edgar/data/2033770/000121390026024757/ea028040301ex10-1.htm" TargetMode="External"/><Relationship Id="rId194" Type="http://schemas.openxmlformats.org/officeDocument/2006/relationships/hyperlink" Target="http://www.sec.gov/Archives/edgar/data/2033770/000121390026024757/ea028040301ex10-2.htm" TargetMode="External"/><Relationship Id="rId195" Type="http://schemas.openxmlformats.org/officeDocument/2006/relationships/hyperlink" Target="https://www.sec.gov/Archives/edgar/data/2033770/000121390025120713/ea026926301ex10-3_cidhold.htm" TargetMode="External"/><Relationship Id="rId196" Type="http://schemas.openxmlformats.org/officeDocument/2006/relationships/hyperlink" Target="https://www.sec.gov/Archives/edgar/data/2033770/000121390025084585/ea025454801ex99-1_cidholdco.htm" TargetMode="External"/><Relationship Id="rId197" Type="http://schemas.openxmlformats.org/officeDocument/2006/relationships/hyperlink" Target="http://www.sec.gov/Archives/edgar/data/2033770/000121390025117350/ea026691501ex99-1_cidholdco.htm" TargetMode="External"/><Relationship Id="rId199" Type="http://schemas.openxmlformats.org/officeDocument/2006/relationships/hyperlink" Target="http://www.sec.gov/Archives/edgar/data/2033770/000121390026045664/ea028687601_ex10-1.htm" TargetMode="External"/><Relationship Id="rId200" Type="http://schemas.openxmlformats.org/officeDocument/2006/relationships/hyperlink" Target="http://www.sec.gov/Archives/edgar/data/2033770/000121390026045664/ea028687601_ex10-2.htm" TargetMode="External"/><Relationship Id="rId201" Type="http://schemas.openxmlformats.org/officeDocument/2006/relationships/hyperlink" Target="http://www.sec.gov/Archives/edgar/data/2033770/000121390026045664/ea028687601_ex10-3.htm" TargetMode="External"/><Relationship Id="rId202" Type="http://schemas.openxmlformats.org/officeDocument/2006/relationships/hyperlink" Target="http://www.sec.gov/Archives/edgar/data/2033770/000121390026045664/ea028687601_ex10-4.htm" TargetMode="External"/><Relationship Id="rId203" Type="http://schemas.openxmlformats.org/officeDocument/2006/relationships/hyperlink" Target="http://www.sec.gov/Archives/edgar/data/2033770/000121390026026247/ea028003701ex16-1.htm" TargetMode="External"/><Relationship Id="rId204" Type="http://schemas.openxmlformats.org/officeDocument/2006/relationships/hyperlink" Target="http://www.sec.gov/Archives/edgar/data/2033770/000121390026026247/ea028003701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2026-04-23T17:09:52Z</dcterms:created>
  <dcterms:modified xsi:type="dcterms:W3CDTF">2026-04-23T17:09:52Z</dcterms:modified>
</cp:coreProperties>
</file>