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0000FF"/>
        </w:rPr>
        <w:t>CID HoldCo,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171756109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Gerry Williams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DLA Piper LLP (US), 1201 West Peachtree Street, Suite 2900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Atlanta, GA, 30309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(404) 736-7891</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Penny Minna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DLA Piper LLP (US), 650 S. Exeter Street #1100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Baltimore, MD, 21202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410 580 3000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171756109</w:t>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361"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Phyllis Newhouse</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1,023,314.00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2,354,416.00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1,023,314.00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2,354,416.00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3,377,730.00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12.22 %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Represents (i) 1,023,314 shares directly held by Phyllis Newhouse; and (2) 2,354,416 shares directly held by</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ShoulderUp 2021 Trust. Ms. Newhouse is the trustee of ShoulderUp 2021 Trust and may be deemed to share voting</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and investment power over the shares held by ShoulderUp 2021 Trust. (2) All percentage calculations herein are based</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on 27,636,939 shares of Common Stock outstanding as of June 25, 2025, as disclosed in the Issuer's Current Report on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Form 8-K filed June 26, 2025</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171756109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ShoulderUp 2021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11" w:right="339" w:bottom="0" w:gutter="0" w:footer="0" w:header="0"/>
        </w:sectPr>
      </w:pPr>
    </w:p>
    <w:bookmarkStart w:id="2" w:name="page3"/>
    <w:bookmarkEnd w:id="2"/>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2"/>
          <w:szCs w:val="22"/>
          <w:color w:val="auto"/>
        </w:rPr>
        <w:t>OO</w:t>
      </w:r>
    </w:p>
    <w:p>
      <w:pPr>
        <w:spacing w:after="0" w:line="45"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55"/>
        <w:spacing w:after="0"/>
        <w:rPr>
          <w:sz w:val="20"/>
          <w:szCs w:val="20"/>
          <w:color w:val="auto"/>
        </w:rPr>
      </w:pPr>
      <w:r>
        <w:rPr>
          <w:rFonts w:ascii="Times New Roman" w:cs="Times New Roman" w:eastAsia="Times New Roman" w:hAnsi="Times New Roman"/>
          <w:sz w:val="22"/>
          <w:szCs w:val="22"/>
          <w:color w:val="auto"/>
        </w:rPr>
        <w:t>7</w:t>
      </w:r>
    </w:p>
    <w:p>
      <w:pPr>
        <w:ind w:left="335"/>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55"/>
        <w:spacing w:after="0"/>
        <w:rPr>
          <w:sz w:val="20"/>
          <w:szCs w:val="20"/>
          <w:color w:val="auto"/>
        </w:rPr>
      </w:pPr>
      <w:r>
        <w:rPr>
          <w:rFonts w:ascii="Times New Roman" w:cs="Times New Roman" w:eastAsia="Times New Roman" w:hAnsi="Times New Roman"/>
          <w:sz w:val="22"/>
          <w:szCs w:val="22"/>
          <w:color w:val="auto"/>
        </w:rPr>
        <w:t>8</w:t>
      </w:r>
    </w:p>
    <w:p>
      <w:pPr>
        <w:ind w:left="335"/>
        <w:spacing w:after="0"/>
        <w:rPr>
          <w:sz w:val="20"/>
          <w:szCs w:val="20"/>
          <w:color w:val="auto"/>
        </w:rPr>
      </w:pPr>
      <w:r>
        <w:rPr>
          <w:rFonts w:ascii="Times New Roman" w:cs="Times New Roman" w:eastAsia="Times New Roman" w:hAnsi="Times New Roman"/>
          <w:sz w:val="22"/>
          <w:szCs w:val="22"/>
          <w:color w:val="auto"/>
        </w:rPr>
        <w:t>2,354,416.00</w:t>
      </w:r>
    </w:p>
    <w:p>
      <w:pPr>
        <w:spacing w:after="0" w:line="20"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55"/>
        <w:spacing w:after="0"/>
        <w:rPr>
          <w:sz w:val="20"/>
          <w:szCs w:val="20"/>
          <w:color w:val="auto"/>
        </w:rPr>
      </w:pPr>
      <w:r>
        <w:rPr>
          <w:rFonts w:ascii="Times New Roman" w:cs="Times New Roman" w:eastAsia="Times New Roman" w:hAnsi="Times New Roman"/>
          <w:sz w:val="22"/>
          <w:szCs w:val="22"/>
          <w:color w:val="auto"/>
        </w:rPr>
        <w:t>9</w:t>
      </w:r>
    </w:p>
    <w:p>
      <w:pPr>
        <w:ind w:left="335"/>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55"/>
        <w:spacing w:after="0"/>
        <w:rPr>
          <w:sz w:val="20"/>
          <w:szCs w:val="20"/>
          <w:color w:val="auto"/>
        </w:rPr>
      </w:pPr>
      <w:r>
        <w:rPr>
          <w:rFonts w:ascii="Times New Roman" w:cs="Times New Roman" w:eastAsia="Times New Roman" w:hAnsi="Times New Roman"/>
          <w:sz w:val="22"/>
          <w:szCs w:val="22"/>
          <w:color w:val="auto"/>
        </w:rPr>
        <w:t>10</w:t>
      </w:r>
    </w:p>
    <w:p>
      <w:pPr>
        <w:ind w:left="335"/>
        <w:spacing w:after="0"/>
        <w:rPr>
          <w:sz w:val="20"/>
          <w:szCs w:val="20"/>
          <w:color w:val="auto"/>
        </w:rPr>
      </w:pPr>
      <w:r>
        <w:rPr>
          <w:rFonts w:ascii="Times New Roman" w:cs="Times New Roman" w:eastAsia="Times New Roman" w:hAnsi="Times New Roman"/>
          <w:sz w:val="22"/>
          <w:szCs w:val="22"/>
          <w:color w:val="auto"/>
        </w:rPr>
        <w:t>2,354,416.00</w:t>
      </w:r>
    </w:p>
    <w:p>
      <w:pPr>
        <w:spacing w:after="0" w:line="61"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2"/>
          <w:szCs w:val="22"/>
          <w:color w:val="auto"/>
        </w:rPr>
        <w:t>2,354,416.00</w:t>
      </w:r>
    </w:p>
    <w:p>
      <w:pPr>
        <w:spacing w:after="0" w:line="44"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165100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2"/>
          <w:szCs w:val="22"/>
          <w:color w:val="auto"/>
        </w:rPr>
        <w:t>8.52 %</w:t>
      </w:r>
    </w:p>
    <w:p>
      <w:pPr>
        <w:spacing w:after="0" w:line="44"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5" w:firstLine="5"/>
        <w:spacing w:after="0" w:line="239" w:lineRule="auto"/>
        <w:tabs>
          <w:tab w:leader="none" w:pos="31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Phyllis Newhouse is the trustee of ShoulderUp 2021 Trust and may be deemed to share voting and investment power over the shares held by ShoulderUp 2021 Trust. (2) All percentage calculations herein are based on 27,636,939 shares of Common Stock outstanding as of June 25, 2025, as disclosed in the Issuer's Current Report on Form 8-K filed June 26, 2025</w:t>
      </w:r>
    </w:p>
    <w:p>
      <w:pPr>
        <w:spacing w:after="0" w:line="200" w:lineRule="exact"/>
        <w:rPr>
          <w:sz w:val="20"/>
          <w:szCs w:val="20"/>
          <w:color w:val="auto"/>
        </w:rPr>
      </w:pPr>
    </w:p>
    <w:p>
      <w:pPr>
        <w:sectPr>
          <w:pgSz w:w="11900" w:h="16872" w:orient="portrait"/>
          <w:cols w:equalWidth="0" w:num="2">
            <w:col w:w="1100" w:space="45"/>
            <w:col w:w="10095"/>
          </w:cols>
          <w:pgMar w:left="320" w:top="111"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CID HoldCo,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5661 S Cameron St, Suite 100, Las Vegas, NEVADA , 89118.</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80" w:hanging="932"/>
        <w:spacing w:after="0" w:line="185" w:lineRule="auto"/>
        <w:tabs>
          <w:tab w:leader="none" w:pos="98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Schedule 13D is being filed jointly by (i) Phyllis Newhouse and (ii) ShoulderUp 2021 Trust (each individually, a "Reporting Person", and collectively, the "Reporting Persons").</w:t>
      </w:r>
    </w:p>
    <w:p>
      <w:pPr>
        <w:spacing w:after="0" w:line="17" w:lineRule="exact"/>
        <w:rPr>
          <w:rFonts w:ascii="Times New Roman" w:cs="Times New Roman" w:eastAsia="Times New Roman" w:hAnsi="Times New Roman"/>
          <w:sz w:val="39"/>
          <w:szCs w:val="39"/>
          <w:color w:val="auto"/>
          <w:vertAlign w:val="subscript"/>
        </w:rPr>
      </w:pPr>
    </w:p>
    <w:p>
      <w:pPr>
        <w:ind w:left="980" w:right="720" w:hanging="932"/>
        <w:spacing w:after="0" w:line="185" w:lineRule="auto"/>
        <w:tabs>
          <w:tab w:leader="none" w:pos="98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of Phyllis Newhouse is 5661 S Cameron St, Suite 100, Las Vegas, Nevada. The business address of ShoulderUp 2021 Trust is 2291 Loring Oak PL NW Marietta, GA 30064.</w:t>
      </w:r>
    </w:p>
    <w:p>
      <w:pPr>
        <w:spacing w:after="0" w:line="17" w:lineRule="exact"/>
        <w:rPr>
          <w:rFonts w:ascii="Times New Roman" w:cs="Times New Roman" w:eastAsia="Times New Roman" w:hAnsi="Times New Roman"/>
          <w:sz w:val="39"/>
          <w:szCs w:val="39"/>
          <w:color w:val="auto"/>
          <w:vertAlign w:val="subscript"/>
        </w:rPr>
      </w:pPr>
    </w:p>
    <w:p>
      <w:pPr>
        <w:ind w:left="980" w:hanging="932"/>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Phyllis Newhouse is a director of the Issuer.</w:t>
      </w:r>
    </w:p>
    <w:p>
      <w:pPr>
        <w:spacing w:after="0" w:line="44" w:lineRule="exact"/>
        <w:rPr>
          <w:rFonts w:ascii="Times New Roman" w:cs="Times New Roman" w:eastAsia="Times New Roman" w:hAnsi="Times New Roman"/>
          <w:sz w:val="22"/>
          <w:szCs w:val="22"/>
          <w:color w:val="auto"/>
        </w:rPr>
      </w:pPr>
    </w:p>
    <w:p>
      <w:pPr>
        <w:ind w:left="980" w:right="260" w:hanging="932"/>
        <w:spacing w:after="0" w:line="185" w:lineRule="auto"/>
        <w:tabs>
          <w:tab w:leader="none" w:pos="98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80" w:right="60" w:hanging="932"/>
        <w:spacing w:after="0" w:line="184" w:lineRule="auto"/>
        <w:tabs>
          <w:tab w:leader="none" w:pos="98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judgment, decree or final order enjoining future violations of, or prohibiting or mandating activities subject to, federal or state securities laws, or finding any violation with respect to such laws.</w:t>
      </w:r>
    </w:p>
    <w:p>
      <w:pPr>
        <w:sectPr>
          <w:pgSz w:w="11900" w:h="16872" w:orient="portrait"/>
          <w:cols w:equalWidth="0" w:num="1">
            <w:col w:w="11240"/>
          </w:cols>
          <w:pgMar w:left="320" w:top="111" w:right="339" w:bottom="0" w:gutter="0" w:footer="0" w:header="0"/>
          <w:type w:val="continuous"/>
        </w:sectPr>
      </w:pPr>
    </w:p>
    <w:bookmarkStart w:id="3" w:name="page4"/>
    <w:bookmarkEnd w:id="3"/>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information set forth in Item 4 is incorporated by reference into this Item 3.</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On June 18, 2025 (the "Closing Date"), the Issuer consummated the transactions contemplated by that certain</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Business Combination Agreement, dated March 18, 2024 (the "Business Combination Agreement"), by and among</w:t>
      </w:r>
    </w:p>
    <w:p>
      <w:pPr>
        <w:ind w:left="940"/>
        <w:spacing w:after="0" w:line="230" w:lineRule="auto"/>
        <w:rPr>
          <w:sz w:val="20"/>
          <w:szCs w:val="20"/>
          <w:color w:val="auto"/>
        </w:rPr>
      </w:pPr>
      <w:r>
        <w:rPr>
          <w:rFonts w:ascii="Times New Roman" w:cs="Times New Roman" w:eastAsia="Times New Roman" w:hAnsi="Times New Roman"/>
          <w:sz w:val="22"/>
          <w:szCs w:val="22"/>
          <w:color w:val="auto"/>
        </w:rPr>
        <w:t>the Issuer, ShoulderUp Technology Acquisition Corp, a Delaware corporation ("SUAC"), ShoulderUp Merger Sub,</w:t>
      </w:r>
    </w:p>
    <w:p>
      <w:pPr>
        <w:ind w:left="940"/>
        <w:spacing w:after="0" w:line="231" w:lineRule="auto"/>
        <w:rPr>
          <w:sz w:val="20"/>
          <w:szCs w:val="20"/>
          <w:color w:val="auto"/>
        </w:rPr>
      </w:pPr>
      <w:r>
        <w:rPr>
          <w:rFonts w:ascii="Times New Roman" w:cs="Times New Roman" w:eastAsia="Times New Roman" w:hAnsi="Times New Roman"/>
          <w:sz w:val="22"/>
          <w:szCs w:val="22"/>
          <w:color w:val="auto"/>
        </w:rPr>
        <w:t>Inc., a Delaware corporation ("ShoulderUp Merger Sub"), SEI Merger Sub, Inc., a Delaware Corporation ("SEI</w:t>
      </w:r>
    </w:p>
    <w:p>
      <w:pPr>
        <w:ind w:left="940"/>
        <w:spacing w:after="0" w:line="230" w:lineRule="auto"/>
        <w:rPr>
          <w:sz w:val="20"/>
          <w:szCs w:val="20"/>
          <w:color w:val="auto"/>
        </w:rPr>
      </w:pPr>
      <w:r>
        <w:rPr>
          <w:rFonts w:ascii="Times New Roman" w:cs="Times New Roman" w:eastAsia="Times New Roman" w:hAnsi="Times New Roman"/>
          <w:sz w:val="22"/>
          <w:szCs w:val="22"/>
          <w:color w:val="auto"/>
        </w:rPr>
        <w:t>Merger Sub") and SEE ID, Inc., a Nevada corporation ("SEE ID"). Certain terms used in this Report have the same</w:t>
      </w:r>
    </w:p>
    <w:p>
      <w:pPr>
        <w:ind w:left="940"/>
        <w:spacing w:after="0" w:line="231" w:lineRule="auto"/>
        <w:rPr>
          <w:sz w:val="20"/>
          <w:szCs w:val="20"/>
          <w:color w:val="auto"/>
        </w:rPr>
      </w:pPr>
      <w:r>
        <w:rPr>
          <w:rFonts w:ascii="Times New Roman" w:cs="Times New Roman" w:eastAsia="Times New Roman" w:hAnsi="Times New Roman"/>
          <w:sz w:val="22"/>
          <w:szCs w:val="22"/>
          <w:color w:val="auto"/>
        </w:rPr>
        <w:t>meaning as set forth in the Issuer's proxy statement/prospectus statement dated January 17, 2025 (the "Proxy</w:t>
      </w:r>
    </w:p>
    <w:p>
      <w:pPr>
        <w:ind w:left="940"/>
        <w:spacing w:after="0"/>
        <w:rPr>
          <w:sz w:val="20"/>
          <w:szCs w:val="20"/>
          <w:color w:val="auto"/>
        </w:rPr>
      </w:pPr>
      <w:r>
        <w:rPr>
          <w:rFonts w:ascii="Times New Roman" w:cs="Times New Roman" w:eastAsia="Times New Roman" w:hAnsi="Times New Roman"/>
          <w:sz w:val="21"/>
          <w:szCs w:val="21"/>
          <w:color w:val="auto"/>
        </w:rPr>
        <w:t>Statement/Prospectus") and filed by the Issuer with the Securities and Exchange Commission (the "SEC") on January</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17, 2025. Pursuant to the Business Combination Agreement, on the Closing Date, (i) ShoulderUp Merger Sub merged</w:t>
      </w:r>
    </w:p>
    <w:p>
      <w:pPr>
        <w:ind w:left="940"/>
        <w:spacing w:after="0" w:line="231" w:lineRule="auto"/>
        <w:rPr>
          <w:sz w:val="20"/>
          <w:szCs w:val="20"/>
          <w:color w:val="auto"/>
        </w:rPr>
      </w:pPr>
      <w:r>
        <w:rPr>
          <w:rFonts w:ascii="Times New Roman" w:cs="Times New Roman" w:eastAsia="Times New Roman" w:hAnsi="Times New Roman"/>
          <w:sz w:val="22"/>
          <w:szCs w:val="22"/>
          <w:color w:val="auto"/>
        </w:rPr>
        <w:t>with and into SUAC (the "ShoulderUp Merger"), with SUAC surviving the ShoulderUp Merger as a wholly-owned</w:t>
      </w:r>
    </w:p>
    <w:p>
      <w:pPr>
        <w:ind w:left="940"/>
        <w:spacing w:after="0" w:line="231" w:lineRule="auto"/>
        <w:rPr>
          <w:sz w:val="20"/>
          <w:szCs w:val="20"/>
          <w:color w:val="auto"/>
        </w:rPr>
      </w:pPr>
      <w:r>
        <w:rPr>
          <w:rFonts w:ascii="Times New Roman" w:cs="Times New Roman" w:eastAsia="Times New Roman" w:hAnsi="Times New Roman"/>
          <w:sz w:val="22"/>
          <w:szCs w:val="22"/>
          <w:color w:val="auto"/>
        </w:rPr>
        <w:t>subsidiary of the Issuer ("SUAC Surviving Company"); and (ii) simultaneously with the ShoulderUp Merger, SEI</w:t>
      </w:r>
    </w:p>
    <w:p>
      <w:pPr>
        <w:ind w:left="940"/>
        <w:spacing w:after="0" w:line="231" w:lineRule="auto"/>
        <w:rPr>
          <w:sz w:val="20"/>
          <w:szCs w:val="20"/>
          <w:color w:val="auto"/>
        </w:rPr>
      </w:pPr>
      <w:r>
        <w:rPr>
          <w:rFonts w:ascii="Times New Roman" w:cs="Times New Roman" w:eastAsia="Times New Roman" w:hAnsi="Times New Roman"/>
          <w:sz w:val="22"/>
          <w:szCs w:val="22"/>
          <w:color w:val="auto"/>
        </w:rPr>
        <w:t>Merger Sub merged with and into SEE ID ("the SEE ID Merger"), with SEE ID surviving the SEE ID Merger as a</w:t>
      </w:r>
    </w:p>
    <w:p>
      <w:pPr>
        <w:ind w:left="940"/>
        <w:spacing w:after="0" w:line="230" w:lineRule="auto"/>
        <w:rPr>
          <w:sz w:val="20"/>
          <w:szCs w:val="20"/>
          <w:color w:val="auto"/>
        </w:rPr>
      </w:pPr>
      <w:r>
        <w:rPr>
          <w:rFonts w:ascii="Times New Roman" w:cs="Times New Roman" w:eastAsia="Times New Roman" w:hAnsi="Times New Roman"/>
          <w:sz w:val="22"/>
          <w:szCs w:val="22"/>
          <w:color w:val="auto"/>
        </w:rPr>
        <w:t>wholly-owned subsidiary of the Company (the "Surviving Company") (the ShoulderUp Merger and the SEE ID</w:t>
      </w:r>
    </w:p>
    <w:p>
      <w:pPr>
        <w:ind w:left="940"/>
        <w:spacing w:after="0" w:line="231" w:lineRule="auto"/>
        <w:rPr>
          <w:sz w:val="20"/>
          <w:szCs w:val="20"/>
          <w:color w:val="auto"/>
        </w:rPr>
      </w:pPr>
      <w:r>
        <w:rPr>
          <w:rFonts w:ascii="Times New Roman" w:cs="Times New Roman" w:eastAsia="Times New Roman" w:hAnsi="Times New Roman"/>
          <w:sz w:val="22"/>
          <w:szCs w:val="22"/>
          <w:color w:val="auto"/>
        </w:rPr>
        <w:t>Merger, together the "Mergers" and together with the other transactions contemplated by the Business Combination</w:t>
      </w:r>
    </w:p>
    <w:p>
      <w:pPr>
        <w:ind w:left="940"/>
        <w:spacing w:after="0" w:line="230" w:lineRule="auto"/>
        <w:rPr>
          <w:sz w:val="20"/>
          <w:szCs w:val="20"/>
          <w:color w:val="auto"/>
        </w:rPr>
      </w:pPr>
      <w:r>
        <w:rPr>
          <w:rFonts w:ascii="Times New Roman" w:cs="Times New Roman" w:eastAsia="Times New Roman" w:hAnsi="Times New Roman"/>
          <w:sz w:val="22"/>
          <w:szCs w:val="22"/>
          <w:color w:val="auto"/>
        </w:rPr>
        <w:t>Agreement, the "Business Combination"). The consideration payable to the shareholders of SEE ID in connection</w:t>
      </w:r>
    </w:p>
    <w:p>
      <w:pPr>
        <w:ind w:left="940"/>
        <w:spacing w:after="0" w:line="231" w:lineRule="auto"/>
        <w:rPr>
          <w:sz w:val="20"/>
          <w:szCs w:val="20"/>
          <w:color w:val="auto"/>
        </w:rPr>
      </w:pPr>
      <w:r>
        <w:rPr>
          <w:rFonts w:ascii="Times New Roman" w:cs="Times New Roman" w:eastAsia="Times New Roman" w:hAnsi="Times New Roman"/>
          <w:sz w:val="22"/>
          <w:szCs w:val="22"/>
          <w:color w:val="auto"/>
        </w:rPr>
        <w:t>with the Business Combination was equal to a number of shares of Common Stock equal to the (a) quotient of (i)</w:t>
      </w:r>
    </w:p>
    <w:p>
      <w:pPr>
        <w:ind w:left="940"/>
        <w:spacing w:after="0"/>
        <w:rPr>
          <w:sz w:val="20"/>
          <w:szCs w:val="20"/>
          <w:color w:val="auto"/>
        </w:rPr>
      </w:pPr>
      <w:r>
        <w:rPr>
          <w:rFonts w:ascii="Times New Roman" w:cs="Times New Roman" w:eastAsia="Times New Roman" w:hAnsi="Times New Roman"/>
          <w:sz w:val="21"/>
          <w:szCs w:val="21"/>
          <w:color w:val="auto"/>
        </w:rPr>
        <w:t>$171,635,010 divided by (ii) $10.00. The Reporting Persons reserve the right to change their investment intent at any</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time, to formulate other plans or make other proposals which could result in one or more of the transactions, events or</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actions specified in clauses (a) through (j) of Item 4 of Schedule 13D of the Act, and to modify or withdraw any such</w:t>
      </w:r>
    </w:p>
    <w:p>
      <w:pPr>
        <w:ind w:left="940"/>
        <w:spacing w:after="0" w:line="231" w:lineRule="auto"/>
        <w:rPr>
          <w:sz w:val="20"/>
          <w:szCs w:val="20"/>
          <w:color w:val="auto"/>
        </w:rPr>
      </w:pPr>
      <w:r>
        <w:rPr>
          <w:rFonts w:ascii="Times New Roman" w:cs="Times New Roman" w:eastAsia="Times New Roman" w:hAnsi="Times New Roman"/>
          <w:sz w:val="22"/>
          <w:szCs w:val="22"/>
          <w:color w:val="auto"/>
        </w:rPr>
        <w:t>plans or proposals at any time. Moreover, any actions described in this Item 4 that the Reporting Persons might</w:t>
      </w:r>
    </w:p>
    <w:p>
      <w:pPr>
        <w:ind w:left="940"/>
        <w:spacing w:after="0" w:line="231" w:lineRule="auto"/>
        <w:rPr>
          <w:sz w:val="20"/>
          <w:szCs w:val="20"/>
          <w:color w:val="auto"/>
        </w:rPr>
      </w:pPr>
      <w:r>
        <w:rPr>
          <w:rFonts w:ascii="Times New Roman" w:cs="Times New Roman" w:eastAsia="Times New Roman" w:hAnsi="Times New Roman"/>
          <w:sz w:val="22"/>
          <w:szCs w:val="22"/>
          <w:color w:val="auto"/>
        </w:rPr>
        <w:t>undertake may be made at any time and from time to time and such determinations will be dependent upon the</w:t>
      </w:r>
    </w:p>
    <w:p>
      <w:pPr>
        <w:ind w:left="940"/>
        <w:spacing w:after="0" w:line="231" w:lineRule="auto"/>
        <w:rPr>
          <w:sz w:val="20"/>
          <w:szCs w:val="20"/>
          <w:color w:val="auto"/>
        </w:rPr>
      </w:pPr>
      <w:r>
        <w:rPr>
          <w:rFonts w:ascii="Times New Roman" w:cs="Times New Roman" w:eastAsia="Times New Roman" w:hAnsi="Times New Roman"/>
          <w:sz w:val="22"/>
          <w:szCs w:val="22"/>
          <w:color w:val="auto"/>
        </w:rPr>
        <w:t>Reporting Persons' review of numerous factors, including, but not limited to, an ongoing evaluation of the Issuer's</w:t>
      </w:r>
    </w:p>
    <w:p>
      <w:pPr>
        <w:ind w:left="940"/>
        <w:spacing w:after="0"/>
        <w:rPr>
          <w:sz w:val="20"/>
          <w:szCs w:val="20"/>
          <w:color w:val="auto"/>
        </w:rPr>
      </w:pPr>
      <w:r>
        <w:rPr>
          <w:rFonts w:ascii="Times New Roman" w:cs="Times New Roman" w:eastAsia="Times New Roman" w:hAnsi="Times New Roman"/>
          <w:sz w:val="21"/>
          <w:szCs w:val="21"/>
          <w:color w:val="auto"/>
        </w:rPr>
        <w:t>business, financial condition, operations and prospects; availability and terms of financing; the market for the Issuer's</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securities; other developments concerning the Issuer; the reaction of the Issuer to the Reporting Persons' ownership of</w:t>
      </w:r>
    </w:p>
    <w:p>
      <w:pPr>
        <w:ind w:left="940"/>
        <w:spacing w:after="0" w:line="231" w:lineRule="auto"/>
        <w:rPr>
          <w:sz w:val="20"/>
          <w:szCs w:val="20"/>
          <w:color w:val="auto"/>
        </w:rPr>
      </w:pPr>
      <w:r>
        <w:rPr>
          <w:rFonts w:ascii="Times New Roman" w:cs="Times New Roman" w:eastAsia="Times New Roman" w:hAnsi="Times New Roman"/>
          <w:sz w:val="22"/>
          <w:szCs w:val="22"/>
          <w:color w:val="auto"/>
        </w:rPr>
        <w:t>the Issuer's securities; other opportunities available to the Reporting Persons; price levels of the Issuer's securities;</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general market, industry and economic conditions; and other future developments affecting the Issuer. Other than as</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described in this Item 4 above, the Reporting Persons do not have any current plans or proposals that relate to or that</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would result in any of the transactions or other matters specified in clauses (a) through (j) of Item 4 of Schedule 13D</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of the Act.</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60" w:hanging="932"/>
        <w:spacing w:after="0" w:line="185" w:lineRule="auto"/>
        <w:tabs>
          <w:tab w:leader="none" w:pos="94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relating to the beneficial ownership of Common Stock by each of the Reporting Persons set forth in Rows 7 through 13 of the cover pages hereto (including the footnotes thereto) is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40" w:right="160" w:hanging="932"/>
        <w:spacing w:after="0" w:line="185" w:lineRule="auto"/>
        <w:tabs>
          <w:tab w:leader="none" w:pos="94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relating to the beneficial ownership of Common Stock by each of the Reporting Persons set forth in Rows 7 through 13 of the cover pages hereto (including the footnotes thereto) is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40" w:right="420" w:hanging="932"/>
        <w:spacing w:after="0" w:line="185" w:lineRule="auto"/>
        <w:tabs>
          <w:tab w:leader="none" w:pos="94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effected any transactions in the shares of Common Stock during the past 60 days except as disclosed in this Schedule 13D, which information is incorporated by reference in this Item 5(c).</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35" w:lineRule="auto"/>
        <w:rPr>
          <w:sz w:val="20"/>
          <w:szCs w:val="20"/>
          <w:color w:val="auto"/>
        </w:rPr>
      </w:pPr>
      <w:r>
        <w:rPr>
          <w:rFonts w:ascii="Times New Roman" w:cs="Times New Roman" w:eastAsia="Times New Roman" w:hAnsi="Times New Roman"/>
          <w:sz w:val="22"/>
          <w:szCs w:val="22"/>
          <w:color w:val="auto"/>
        </w:rPr>
        <w:t>At the Closing, the Issuer entered into that certain Registration Rights and Lock-Up Agreement (the "Registration Rights and Lock-Up Agreement) with the Reporting Persons pursuant to which, (1) subject to certain exceptions, the Reporting Persons may not transfer or make any public announcement of any intention to effect a transfer of any of the equity interests of securities of the Company beneficially owned by the Reporting Persons during the period ending 180 days after the Closing Date; and (2) the Reporting Persons are entitled to certain "shelf" and "piggyback" registration rights. The Registration Rights and Lock-Up Agreement also provides that the Reporting Persons will pay certain expenses relating to such registrations and indemnify the stockholder signatories thereto against (or make contributions in respect of) certain liabilities that may arise under the Securities Act.</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80"/>
        <w:spacing w:after="0" w:line="249" w:lineRule="auto"/>
        <w:rPr>
          <w:sz w:val="20"/>
          <w:szCs w:val="20"/>
          <w:color w:val="auto"/>
        </w:rPr>
      </w:pPr>
      <w:r>
        <w:rPr>
          <w:rFonts w:ascii="Times New Roman" w:cs="Times New Roman" w:eastAsia="Times New Roman" w:hAnsi="Times New Roman"/>
          <w:sz w:val="21"/>
          <w:szCs w:val="21"/>
          <w:color w:val="auto"/>
        </w:rPr>
        <w:t>Exhibit Number Description 1 Business Combination Agreement by and among ShoulderUp Technology Acquisition Corp., CID HoldCo, Inc., ShoulderUp Merger Sub, Inc., SEI Merger Sub, Inc., and SEE ID, Inc., dated as of March 18, 2024 (incorporated by reference to Exhibit 2.1 of the CID HoldCo, Inc.'s Registration Statement on Form S-4, filed with the SEC on January 15, 2025). 2 Registration Rights and Lock-up Agreement by and among CID HoldCo, Inc, and certain parties listed therein, dated as of June 18, 2025 (incorporated by reference to Exhibit 10.10 of CID HoldCo, Inc's Current Report on Form 8-K, filed with the SEC on June 26, 2025).</w:t>
      </w: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Phyllis Newhouse</w:t>
      </w:r>
    </w:p>
    <w:p>
      <w:pPr>
        <w:sectPr>
          <w:pgSz w:w="11900" w:h="16838" w:orient="portrait"/>
          <w:cols w:equalWidth="0" w:num="1">
            <w:col w:w="11160"/>
          </w:cols>
          <w:pgMar w:left="360" w:top="112" w:right="379" w:bottom="0" w:gutter="0" w:footer="0" w:header="0"/>
        </w:sectPr>
      </w:pPr>
    </w:p>
    <w:bookmarkStart w:id="4" w:name="page5"/>
    <w:bookmarkEnd w:id="4"/>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Phyllis Newhouse</w:t>
      </w:r>
    </w:p>
    <w:p>
      <w:pPr>
        <w:spacing w:after="0" w:line="4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Phyllis Newhouse</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07/18/2025</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ShoulderUp 2021 Trust</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Phyllis Newhouse</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Name/Title: Phyllis Newhouse, Trustee</w:t>
      </w:r>
    </w:p>
    <w:p>
      <w:pPr>
        <w:spacing w:after="0" w:line="56"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07/18/2025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4"/>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6"/>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2025-07-18T20:05:59Z</dcterms:created>
  <dcterms:modified xsi:type="dcterms:W3CDTF">2025-07-18T20:05:59Z</dcterms:modified>
</cp:coreProperties>
</file>