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2598-nt10q_cidhold.htm"/>
      <w:bookmarkStart w:id="1" w:name="ksea0302598nt10q_cidhold"/>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12b-25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85"/>
        <w:gridCol w:w="60"/>
        <w:gridCol w:w="8860"/>
      </w:tblGrid>
      <w:tr>
        <w:trPr/>
        <w:tc>
          <w:tcPr>
            <w:tcW w:w="1285" w:type="dxa"/>
            <w:tcBorders/>
            <w:vAlign w:val="center"/>
          </w:tcPr>
          <w:p>
            <w:pPr>
              <w:pStyle w:val="TableContents"/>
              <w:bidi w:val="0"/>
              <w:spacing w:before="0" w:after="283"/>
              <w:jc w:val="right"/>
              <w:rPr>
                <w:i/>
              </w:rPr>
            </w:pPr>
            <w:r>
              <w:rPr>
                <w:i/>
              </w:rPr>
              <w:t xml:space="preserve">(Check One): </w:t>
            </w:r>
          </w:p>
        </w:tc>
        <w:tc>
          <w:tcPr>
            <w:tcW w:w="60" w:type="dxa"/>
            <w:tcBorders/>
            <w:vAlign w:val="center"/>
          </w:tcPr>
          <w:p>
            <w:pPr>
              <w:pStyle w:val="TableContents"/>
              <w:bidi w:val="0"/>
              <w:spacing w:before="0" w:after="283"/>
              <w:jc w:val="left"/>
              <w:rPr/>
            </w:pPr>
            <w:r>
              <w:rPr/>
              <w:t> </w:t>
            </w:r>
          </w:p>
        </w:tc>
        <w:tc>
          <w:tcPr>
            <w:tcW w:w="8860" w:type="dxa"/>
            <w:tcBorders/>
            <w:vAlign w:val="center"/>
          </w:tcPr>
          <w:p>
            <w:pPr>
              <w:pStyle w:val="TableContents"/>
              <w:bidi w:val="0"/>
              <w:spacing w:before="0" w:after="283"/>
              <w:jc w:val="left"/>
              <w:rPr/>
            </w:pPr>
            <w:r>
              <w:rPr/>
              <w:t xml:space="preserve">☐ </w:t>
            </w:r>
            <w:r>
              <w:rPr/>
              <w:t>Form 10-K ☐ Form 20-F ☐ Form 11-K ☒ Form 10-Q ☐ Form 10-D ☐ Form N-CEN ☐ Form N-CSR</w:t>
            </w:r>
          </w:p>
        </w:tc>
      </w:tr>
      <w:tr>
        <w:trPr/>
        <w:tc>
          <w:tcPr>
            <w:tcW w:w="1285" w:type="dxa"/>
            <w:tcBorders/>
            <w:vAlign w:val="center"/>
          </w:tcPr>
          <w:p>
            <w:pPr>
              <w:pStyle w:val="TableContents"/>
              <w:bidi w:val="0"/>
              <w:spacing w:before="0" w:after="283"/>
              <w:jc w:val="left"/>
              <w:rPr/>
            </w:pPr>
            <w:r>
              <w:rPr/>
              <w:t> </w:t>
            </w:r>
          </w:p>
        </w:tc>
        <w:tc>
          <w:tcPr>
            <w:tcW w:w="8920" w:type="dxa"/>
            <w:gridSpan w:val="2"/>
            <w:tcBorders/>
            <w:vAlign w:val="center"/>
          </w:tcPr>
          <w:p>
            <w:pPr>
              <w:pStyle w:val="TableContents"/>
              <w:bidi w:val="0"/>
              <w:spacing w:before="0" w:after="283"/>
              <w:jc w:val="left"/>
              <w:rPr/>
            </w:pPr>
            <w:r>
              <w:rPr/>
              <w:t> </w:t>
            </w:r>
          </w:p>
        </w:tc>
      </w:tr>
      <w:tr>
        <w:trPr/>
        <w:tc>
          <w:tcPr>
            <w:tcW w:w="1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0" w:type="dxa"/>
            <w:tcBorders/>
            <w:vAlign w:val="center"/>
          </w:tcPr>
          <w:p>
            <w:pPr>
              <w:pStyle w:val="TableContents"/>
              <w:bidi w:val="0"/>
              <w:spacing w:before="0" w:after="283"/>
              <w:jc w:val="left"/>
              <w:rPr/>
            </w:pPr>
            <w:r>
              <w:rPr/>
              <w:t>For Period Ended:  June 30, 2026</w:t>
            </w:r>
          </w:p>
        </w:tc>
      </w:tr>
      <w:tr>
        <w:trPr/>
        <w:tc>
          <w:tcPr>
            <w:tcW w:w="1285" w:type="dxa"/>
            <w:tcBorders/>
            <w:vAlign w:val="center"/>
          </w:tcPr>
          <w:p>
            <w:pPr>
              <w:pStyle w:val="TableContents"/>
              <w:bidi w:val="0"/>
              <w:spacing w:before="0" w:after="283"/>
              <w:jc w:val="left"/>
              <w:rPr/>
            </w:pPr>
            <w:r>
              <w:rPr/>
              <w:t> </w:t>
            </w:r>
          </w:p>
        </w:tc>
        <w:tc>
          <w:tcPr>
            <w:tcW w:w="8920" w:type="dxa"/>
            <w:gridSpan w:val="2"/>
            <w:tcBorders/>
            <w:vAlign w:val="center"/>
          </w:tcPr>
          <w:p>
            <w:pPr>
              <w:pStyle w:val="TableContents"/>
              <w:bidi w:val="0"/>
              <w:spacing w:before="0" w:after="283"/>
              <w:jc w:val="left"/>
              <w:rPr/>
            </w:pPr>
            <w:r>
              <w:rPr/>
              <w:t> </w:t>
            </w:r>
          </w:p>
        </w:tc>
      </w:tr>
      <w:tr>
        <w:trPr/>
        <w:tc>
          <w:tcPr>
            <w:tcW w:w="1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0" w:type="dxa"/>
            <w:tcBorders/>
            <w:vAlign w:val="center"/>
          </w:tcPr>
          <w:p>
            <w:pPr>
              <w:pStyle w:val="TableContents"/>
              <w:bidi w:val="0"/>
              <w:spacing w:before="0" w:after="283"/>
              <w:jc w:val="left"/>
              <w:rPr/>
            </w:pPr>
            <w:r>
              <w:rPr/>
              <w:t xml:space="preserve">☐ </w:t>
            </w:r>
            <w:r>
              <w:rPr/>
              <w:t>Transition Report on Form 10-K</w:t>
            </w:r>
          </w:p>
        </w:tc>
      </w:tr>
      <w:tr>
        <w:trPr/>
        <w:tc>
          <w:tcPr>
            <w:tcW w:w="1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0" w:type="dxa"/>
            <w:tcBorders/>
            <w:vAlign w:val="center"/>
          </w:tcPr>
          <w:p>
            <w:pPr>
              <w:pStyle w:val="TableContents"/>
              <w:bidi w:val="0"/>
              <w:spacing w:before="0" w:after="283"/>
              <w:jc w:val="left"/>
              <w:rPr/>
            </w:pPr>
            <w:r>
              <w:rPr/>
              <w:t xml:space="preserve">☐ </w:t>
            </w:r>
            <w:r>
              <w:rPr/>
              <w:t>Transition Report on Form 20-F</w:t>
            </w:r>
          </w:p>
        </w:tc>
      </w:tr>
      <w:tr>
        <w:trPr/>
        <w:tc>
          <w:tcPr>
            <w:tcW w:w="1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0" w:type="dxa"/>
            <w:tcBorders/>
            <w:vAlign w:val="center"/>
          </w:tcPr>
          <w:p>
            <w:pPr>
              <w:pStyle w:val="TableContents"/>
              <w:bidi w:val="0"/>
              <w:spacing w:before="0" w:after="283"/>
              <w:jc w:val="left"/>
              <w:rPr/>
            </w:pPr>
            <w:r>
              <w:rPr/>
              <w:t xml:space="preserve">☐ </w:t>
            </w:r>
            <w:r>
              <w:rPr/>
              <w:t>Transition Report on Form 11-K</w:t>
            </w:r>
          </w:p>
        </w:tc>
      </w:tr>
      <w:tr>
        <w:trPr/>
        <w:tc>
          <w:tcPr>
            <w:tcW w:w="1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0" w:type="dxa"/>
            <w:tcBorders/>
            <w:vAlign w:val="center"/>
          </w:tcPr>
          <w:p>
            <w:pPr>
              <w:pStyle w:val="TableContents"/>
              <w:bidi w:val="0"/>
              <w:spacing w:before="0" w:after="283"/>
              <w:jc w:val="left"/>
              <w:rPr/>
            </w:pPr>
            <w:r>
              <w:rPr/>
              <w:t xml:space="preserve">☐ </w:t>
            </w:r>
            <w:r>
              <w:rPr/>
              <w:t>Transition Report on Form 10-Q</w:t>
            </w:r>
          </w:p>
        </w:tc>
      </w:tr>
      <w:tr>
        <w:trPr/>
        <w:tc>
          <w:tcPr>
            <w:tcW w:w="1285" w:type="dxa"/>
            <w:tcBorders/>
            <w:vAlign w:val="center"/>
          </w:tcPr>
          <w:p>
            <w:pPr>
              <w:pStyle w:val="TableContents"/>
              <w:bidi w:val="0"/>
              <w:spacing w:before="0" w:after="283"/>
              <w:jc w:val="left"/>
              <w:rPr/>
            </w:pPr>
            <w:r>
              <w:rPr/>
              <w:t> </w:t>
            </w:r>
          </w:p>
        </w:tc>
        <w:tc>
          <w:tcPr>
            <w:tcW w:w="8920" w:type="dxa"/>
            <w:gridSpan w:val="2"/>
            <w:tcBorders/>
            <w:vAlign w:val="center"/>
          </w:tcPr>
          <w:p>
            <w:pPr>
              <w:pStyle w:val="TableContents"/>
              <w:bidi w:val="0"/>
              <w:spacing w:before="0" w:after="283"/>
              <w:jc w:val="left"/>
              <w:rPr/>
            </w:pPr>
            <w:r>
              <w:rPr/>
              <w:t> </w:t>
            </w:r>
          </w:p>
        </w:tc>
      </w:tr>
      <w:tr>
        <w:trPr/>
        <w:tc>
          <w:tcPr>
            <w:tcW w:w="1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0" w:type="dxa"/>
            <w:tcBorders/>
            <w:vAlign w:val="center"/>
          </w:tcPr>
          <w:p>
            <w:pPr>
              <w:pStyle w:val="TableContents"/>
              <w:bidi w:val="0"/>
              <w:spacing w:before="0" w:after="283"/>
              <w:jc w:val="left"/>
              <w:rPr/>
            </w:pPr>
            <w:r>
              <w:rPr/>
              <w:t xml:space="preserve">For the Transition Period Ended: </w:t>
            </w:r>
          </w:p>
        </w:tc>
      </w:tr>
    </w:tbl>
    <w:p>
      <w:pPr>
        <w:pStyle w:val="TextBody"/>
        <w:bidi w:val="0"/>
        <w:spacing w:before="0" w:after="0"/>
        <w:ind w:left="0" w:right="0" w:hanging="0"/>
        <w:jc w:val="left"/>
        <w:rPr>
          <w:caps w:val="false"/>
          <w:smallCaps w:val="false"/>
        </w:rPr>
      </w:pPr>
      <w:r>
        <w:rPr>
          <w:caps w:val="false"/>
          <w:smallCaps w:val="false"/>
        </w:rPr>
        <w:t> </w:t>
      </w:r>
    </w:p>
    <w:tbl>
      <w:tblPr>
        <w:tblW w:w="9785" w:type="dxa"/>
        <w:jc w:val="left"/>
        <w:tblInd w:w="-10" w:type="dxa"/>
        <w:tblLayout w:type="fixed"/>
        <w:tblCellMar>
          <w:top w:w="40" w:type="dxa"/>
          <w:left w:w="28" w:type="dxa"/>
          <w:bottom w:w="40" w:type="dxa"/>
          <w:right w:w="28" w:type="dxa"/>
        </w:tblCellMar>
      </w:tblPr>
      <w:tblGrid>
        <w:gridCol w:w="9785"/>
      </w:tblGrid>
      <w:tr>
        <w:trPr/>
        <w:tc>
          <w:tcPr>
            <w:tcW w:w="97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Read Instruction (on back page) Before Preparing Form. Please Print or Type.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Nothing in this form shall be construed to imply that the Commission has verified any information contained 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I-REGISTRANT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CID HoldCo,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name of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if Applicable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5661 S Cameron St, Suite 100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 (Street and number)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Las Vegas. Nevada 89118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State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II-RULE 12b-25 (b) AND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28" w:type="dxa"/>
        </w:tblCellMar>
      </w:tblPr>
      <w:tblGrid>
        <w:gridCol w:w="245"/>
        <w:gridCol w:w="60"/>
        <w:gridCol w:w="230"/>
        <w:gridCol w:w="9670"/>
      </w:tblGrid>
      <w:tr>
        <w:trPr/>
        <w:tc>
          <w:tcPr>
            <w:tcW w:w="245" w:type="dxa"/>
            <w:vMerge w:val="restart"/>
            <w:tcBorders>
              <w:right w:val="single" w:sz="12" w:space="0" w:color="000000"/>
            </w:tcBorders>
            <w:vAlign w:val="center"/>
          </w:tcPr>
          <w:p>
            <w:pPr>
              <w:pStyle w:val="TableContents"/>
              <w:bidi w:val="0"/>
              <w:spacing w:before="0" w:after="283"/>
              <w:jc w:val="center"/>
              <w:rPr/>
            </w:pPr>
            <w:r>
              <w:rPr/>
              <w:t>☒</w:t>
            </w:r>
          </w:p>
        </w:tc>
        <w:tc>
          <w:tcPr>
            <w:tcW w:w="60" w:type="dxa"/>
            <w:tcBorders/>
            <w:tcMar>
              <w:right w:w="0" w:type="dxa"/>
            </w:tcMar>
            <w:vAlign w:val="center"/>
          </w:tcPr>
          <w:p>
            <w:pPr>
              <w:pStyle w:val="TableContents"/>
              <w:bidi w:val="0"/>
              <w:spacing w:before="0" w:after="283"/>
              <w:jc w:val="left"/>
              <w:rPr/>
            </w:pPr>
            <w:r>
              <w:rPr/>
              <w:t> </w:t>
            </w:r>
          </w:p>
        </w:tc>
        <w:tc>
          <w:tcPr>
            <w:tcW w:w="230" w:type="dxa"/>
            <w:tcBorders/>
            <w:tcMar>
              <w:right w:w="0" w:type="dxa"/>
            </w:tcMar>
            <w:vAlign w:val="center"/>
          </w:tcPr>
          <w:p>
            <w:pPr>
              <w:pStyle w:val="TableContents"/>
              <w:bidi w:val="0"/>
              <w:spacing w:before="0" w:after="283"/>
              <w:jc w:val="left"/>
              <w:rPr/>
            </w:pPr>
            <w:r>
              <w:rPr/>
              <w:t>(a)</w:t>
            </w:r>
          </w:p>
        </w:tc>
        <w:tc>
          <w:tcPr>
            <w:tcW w:w="9670" w:type="dxa"/>
            <w:tcBorders/>
            <w:tcMar>
              <w:right w:w="0" w:type="dxa"/>
            </w:tcMar>
            <w:vAlign w:val="center"/>
          </w:tcPr>
          <w:p>
            <w:pPr>
              <w:pStyle w:val="TableContents"/>
              <w:bidi w:val="0"/>
              <w:spacing w:before="0" w:after="283"/>
              <w:jc w:val="both"/>
              <w:rPr/>
            </w:pPr>
            <w:r>
              <w:rPr/>
              <w:t>The reason described in reasonable detail in Part III of this form could not be eliminated without unreasonable effort or expense;</w:t>
            </w:r>
          </w:p>
        </w:tc>
      </w:tr>
      <w:tr>
        <w:trPr/>
        <w:tc>
          <w:tcPr>
            <w:tcW w:w="245" w:type="dxa"/>
            <w:vMerge w:val="continue"/>
            <w:tcBorders>
              <w:right w:val="single" w:sz="12" w:space="0" w:color="000000"/>
            </w:tcBorders>
            <w:vAlign w:val="center"/>
          </w:tcPr>
          <w:p>
            <w:pPr>
              <w:pStyle w:val="Normal"/>
              <w:bidi w:val="0"/>
              <w:jc w:val="left"/>
              <w:rPr/>
            </w:pPr>
            <w:r>
              <w:rPr/>
            </w:r>
          </w:p>
        </w:tc>
        <w:tc>
          <w:tcPr>
            <w:tcW w:w="60" w:type="dxa"/>
            <w:tcBorders/>
            <w:tcMar>
              <w:right w:w="0" w:type="dxa"/>
            </w:tcMar>
            <w:vAlign w:val="center"/>
          </w:tcPr>
          <w:p>
            <w:pPr>
              <w:pStyle w:val="TableContents"/>
              <w:bidi w:val="0"/>
              <w:spacing w:before="0" w:after="283"/>
              <w:jc w:val="left"/>
              <w:rPr/>
            </w:pPr>
            <w:r>
              <w:rPr/>
              <w:t> </w:t>
            </w:r>
          </w:p>
        </w:tc>
        <w:tc>
          <w:tcPr>
            <w:tcW w:w="230" w:type="dxa"/>
            <w:tcBorders/>
            <w:tcMar>
              <w:right w:w="0" w:type="dxa"/>
            </w:tcMar>
            <w:vAlign w:val="center"/>
          </w:tcPr>
          <w:p>
            <w:pPr>
              <w:pStyle w:val="TableContents"/>
              <w:bidi w:val="0"/>
              <w:spacing w:before="0" w:after="283"/>
              <w:jc w:val="left"/>
              <w:rPr/>
            </w:pPr>
            <w:r>
              <w:rPr/>
              <w:t>(b)</w:t>
            </w:r>
          </w:p>
        </w:tc>
        <w:tc>
          <w:tcPr>
            <w:tcW w:w="9670" w:type="dxa"/>
            <w:tcBorders/>
            <w:tcMar>
              <w:right w:w="0" w:type="dxa"/>
            </w:tcMar>
            <w:vAlign w:val="center"/>
          </w:tcPr>
          <w:p>
            <w:pPr>
              <w:pStyle w:val="TableContents"/>
              <w:bidi w:val="0"/>
              <w:spacing w:before="0" w:after="283"/>
              <w:jc w:val="both"/>
              <w:rPr/>
            </w:pPr>
            <w:r>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245" w:type="dxa"/>
            <w:vMerge w:val="continue"/>
            <w:tcBorders>
              <w:right w:val="single" w:sz="12" w:space="0" w:color="000000"/>
            </w:tcBorders>
            <w:vAlign w:val="center"/>
          </w:tcPr>
          <w:p>
            <w:pPr>
              <w:pStyle w:val="Normal"/>
              <w:bidi w:val="0"/>
              <w:jc w:val="left"/>
              <w:rPr/>
            </w:pPr>
            <w:r>
              <w:rPr/>
            </w:r>
          </w:p>
        </w:tc>
        <w:tc>
          <w:tcPr>
            <w:tcW w:w="60" w:type="dxa"/>
            <w:tcBorders/>
            <w:tcMar>
              <w:right w:w="0" w:type="dxa"/>
            </w:tcMar>
            <w:vAlign w:val="center"/>
          </w:tcPr>
          <w:p>
            <w:pPr>
              <w:pStyle w:val="TableContents"/>
              <w:bidi w:val="0"/>
              <w:spacing w:before="0" w:after="283"/>
              <w:jc w:val="left"/>
              <w:rPr/>
            </w:pPr>
            <w:r>
              <w:rPr/>
              <w:t> </w:t>
            </w:r>
          </w:p>
        </w:tc>
        <w:tc>
          <w:tcPr>
            <w:tcW w:w="230" w:type="dxa"/>
            <w:tcBorders/>
            <w:tcMar>
              <w:right w:w="0" w:type="dxa"/>
            </w:tcMar>
            <w:vAlign w:val="center"/>
          </w:tcPr>
          <w:p>
            <w:pPr>
              <w:pStyle w:val="TableContents"/>
              <w:bidi w:val="0"/>
              <w:spacing w:before="0" w:after="283"/>
              <w:jc w:val="left"/>
              <w:rPr/>
            </w:pPr>
            <w:r>
              <w:rPr/>
              <w:t>(c)</w:t>
            </w:r>
          </w:p>
        </w:tc>
        <w:tc>
          <w:tcPr>
            <w:tcW w:w="9670" w:type="dxa"/>
            <w:tcBorders/>
            <w:tcMar>
              <w:right w:w="0" w:type="dxa"/>
            </w:tcMar>
            <w:vAlign w:val="center"/>
          </w:tcPr>
          <w:p>
            <w:pPr>
              <w:pStyle w:val="TableContents"/>
              <w:bidi w:val="0"/>
              <w:spacing w:before="0" w:after="283"/>
              <w:jc w:val="both"/>
              <w:rPr/>
            </w:pPr>
            <w:r>
              <w:rPr/>
              <w:t>The accountant’s statement or other exhibit required by Rule 12b-25(c) has been attached if applicable.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 - NARRATIVE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why Forms 10-K, 20-F, 11-K, 10-Q, 10-D, N-CEN, N-CSR, or the transition report or portion thereof, could not be filed within the prescribed time period.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Inc. (the “</w:t>
      </w:r>
      <w:r>
        <w:rPr>
          <w:rFonts w:ascii="Times New Roman;Times;Serif" w:hAnsi="Times New Roman;Times;Serif"/>
          <w:b w:val="false"/>
          <w:i w:val="false"/>
          <w:caps w:val="false"/>
          <w:smallCaps w:val="false"/>
          <w:sz w:val="20"/>
          <w:u w:val="single"/>
        </w:rPr>
        <w:t>Registrant</w:t>
      </w:r>
      <w:r>
        <w:rPr>
          <w:rFonts w:ascii="Times New Roman;Times;Serif" w:hAnsi="Times New Roman;Times;Serif"/>
          <w:b w:val="false"/>
          <w:i w:val="false"/>
          <w:caps w:val="false"/>
          <w:smallCaps w:val="false"/>
          <w:sz w:val="20"/>
        </w:rPr>
        <w:t>”) is unable to file with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its Quarterly Report for the three months ended June 30, 2026 (the “</w:t>
      </w:r>
      <w:r>
        <w:rPr>
          <w:rFonts w:ascii="Times New Roman;Times;Serif" w:hAnsi="Times New Roman;Times;Serif"/>
          <w:b w:val="false"/>
          <w:i w:val="false"/>
          <w:caps w:val="false"/>
          <w:smallCaps w:val="false"/>
          <w:sz w:val="20"/>
          <w:u w:val="single"/>
        </w:rPr>
        <w:t>Quarterly Report</w:t>
      </w:r>
      <w:r>
        <w:rPr>
          <w:rFonts w:ascii="Times New Roman;Times;Serif" w:hAnsi="Times New Roman;Times;Serif"/>
          <w:b w:val="false"/>
          <w:i w:val="false"/>
          <w:caps w:val="false"/>
          <w:smallCaps w:val="false"/>
          <w:sz w:val="20"/>
        </w:rPr>
        <w:t>”) by the prescribed due date for such filing without unreasonable expense or effort. As stated in the Current Report on Form 8-K filed with the SEC on August 12, 2026, the Registrant announced that it had received a written notification from the Listing Qualifications Department of The Nasdaq Stock Market LLC (“Nasdaq”) informing the Company that Nasdaq’s staff had determined to delist the Company’s common stock, par value $0.0001 per share (the “Common Stock”), from Nasdaq. The Company is appealing the Staff Determination and pursuing strategic alternatives to address the deficiencies. The Registrant, therefore, requires additional time to complete the Quarterly Report. The Registrant, however, expects to file its Quarterly Report within five calendar days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 - OTHER INFORMATION</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3504"/>
        <w:gridCol w:w="131"/>
        <w:gridCol w:w="131"/>
        <w:gridCol w:w="2159"/>
        <w:gridCol w:w="131"/>
        <w:gridCol w:w="131"/>
        <w:gridCol w:w="3770"/>
      </w:tblGrid>
      <w:tr>
        <w:trPr/>
        <w:tc>
          <w:tcPr>
            <w:tcW w:w="248" w:type="dxa"/>
            <w:tcBorders/>
            <w:vAlign w:val="center"/>
          </w:tcPr>
          <w:p>
            <w:pPr>
              <w:pStyle w:val="TableContents"/>
              <w:bidi w:val="0"/>
              <w:spacing w:before="0" w:after="283"/>
              <w:jc w:val="left"/>
              <w:rPr/>
            </w:pPr>
            <w:r>
              <w:rPr/>
              <w:t>(1)</w:t>
            </w:r>
          </w:p>
        </w:tc>
        <w:tc>
          <w:tcPr>
            <w:tcW w:w="9957" w:type="dxa"/>
            <w:gridSpan w:val="7"/>
            <w:tcBorders/>
            <w:vAlign w:val="center"/>
          </w:tcPr>
          <w:p>
            <w:pPr>
              <w:pStyle w:val="TableContents"/>
              <w:bidi w:val="0"/>
              <w:spacing w:before="0" w:after="283"/>
              <w:jc w:val="left"/>
              <w:rPr/>
            </w:pPr>
            <w:r>
              <w:rPr/>
              <w:t>Name and telephone number of person to contact in regard to this notification</w:t>
            </w:r>
          </w:p>
        </w:tc>
      </w:tr>
      <w:tr>
        <w:trPr/>
        <w:tc>
          <w:tcPr>
            <w:tcW w:w="248" w:type="dxa"/>
            <w:tcBorders/>
            <w:vAlign w:val="center"/>
          </w:tcPr>
          <w:p>
            <w:pPr>
              <w:pStyle w:val="TableContents"/>
              <w:bidi w:val="0"/>
              <w:spacing w:before="0" w:after="283"/>
              <w:jc w:val="left"/>
              <w:rPr/>
            </w:pPr>
            <w:r>
              <w:rPr/>
              <w:t> </w:t>
            </w:r>
          </w:p>
        </w:tc>
        <w:tc>
          <w:tcPr>
            <w:tcW w:w="3504"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290" w:type="dxa"/>
            <w:gridSpan w:val="2"/>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3901" w:type="dxa"/>
            <w:gridSpan w:val="2"/>
            <w:tcBorders/>
            <w:vAlign w:val="center"/>
          </w:tcPr>
          <w:p>
            <w:pPr>
              <w:pStyle w:val="TableContents"/>
              <w:bidi w:val="0"/>
              <w:spacing w:before="0" w:after="283"/>
              <w:jc w:val="left"/>
              <w:rPr/>
            </w:pPr>
            <w:r>
              <w:rPr/>
              <w:t> </w:t>
            </w:r>
          </w:p>
        </w:tc>
      </w:tr>
      <w:tr>
        <w:trPr/>
        <w:tc>
          <w:tcPr>
            <w:tcW w:w="248" w:type="dxa"/>
            <w:tcBorders/>
            <w:vAlign w:val="center"/>
          </w:tcPr>
          <w:p>
            <w:pPr>
              <w:pStyle w:val="TableContents"/>
              <w:bidi w:val="0"/>
              <w:spacing w:before="0" w:after="283"/>
              <w:jc w:val="left"/>
              <w:rPr/>
            </w:pPr>
            <w:r>
              <w:rPr/>
              <w:t> </w:t>
            </w:r>
          </w:p>
        </w:tc>
        <w:tc>
          <w:tcPr>
            <w:tcW w:w="3504" w:type="dxa"/>
            <w:tcBorders>
              <w:bottom w:val="single" w:sz="12" w:space="0" w:color="000000"/>
            </w:tcBorders>
            <w:tcMar>
              <w:bottom w:w="28" w:type="dxa"/>
            </w:tcMar>
            <w:vAlign w:val="center"/>
          </w:tcPr>
          <w:p>
            <w:pPr>
              <w:pStyle w:val="TableContents"/>
              <w:bidi w:val="0"/>
              <w:spacing w:before="0" w:after="283"/>
              <w:jc w:val="center"/>
              <w:rPr/>
            </w:pPr>
            <w:r>
              <w:rPr/>
              <w:t>Edmund Nabrotzky</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159" w:type="dxa"/>
            <w:tcBorders>
              <w:bottom w:val="single" w:sz="12" w:space="0" w:color="000000"/>
            </w:tcBorders>
            <w:tcMar>
              <w:bottom w:w="28" w:type="dxa"/>
            </w:tcMar>
            <w:vAlign w:val="center"/>
          </w:tcPr>
          <w:p>
            <w:pPr>
              <w:pStyle w:val="TableContents"/>
              <w:bidi w:val="0"/>
              <w:spacing w:before="0" w:after="283"/>
              <w:jc w:val="center"/>
              <w:rPr/>
            </w:pPr>
            <w:r>
              <w:rPr/>
              <w:t>(303)</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3770" w:type="dxa"/>
            <w:tcBorders>
              <w:bottom w:val="single" w:sz="12" w:space="0" w:color="000000"/>
            </w:tcBorders>
            <w:tcMar>
              <w:bottom w:w="28" w:type="dxa"/>
            </w:tcMar>
            <w:vAlign w:val="center"/>
          </w:tcPr>
          <w:p>
            <w:pPr>
              <w:pStyle w:val="TableContents"/>
              <w:bidi w:val="0"/>
              <w:spacing w:before="0" w:after="283"/>
              <w:jc w:val="center"/>
              <w:rPr/>
            </w:pPr>
            <w:r>
              <w:rPr/>
              <w:t>332-4122</w:t>
            </w:r>
          </w:p>
        </w:tc>
      </w:tr>
      <w:tr>
        <w:trPr/>
        <w:tc>
          <w:tcPr>
            <w:tcW w:w="248" w:type="dxa"/>
            <w:tcBorders/>
            <w:vAlign w:val="center"/>
          </w:tcPr>
          <w:p>
            <w:pPr>
              <w:pStyle w:val="TableContents"/>
              <w:bidi w:val="0"/>
              <w:spacing w:before="0" w:after="283"/>
              <w:jc w:val="left"/>
              <w:rPr/>
            </w:pPr>
            <w:r>
              <w:rPr/>
              <w:t> </w:t>
            </w:r>
          </w:p>
        </w:tc>
        <w:tc>
          <w:tcPr>
            <w:tcW w:w="3504" w:type="dxa"/>
            <w:tcBorders/>
            <w:vAlign w:val="center"/>
          </w:tcPr>
          <w:p>
            <w:pPr>
              <w:pStyle w:val="TableContents"/>
              <w:bidi w:val="0"/>
              <w:spacing w:before="0" w:after="283"/>
              <w:jc w:val="center"/>
              <w:rPr/>
            </w:pPr>
            <w:r>
              <w:rPr/>
              <w:t>(Name)</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159" w:type="dxa"/>
            <w:tcBorders/>
            <w:vAlign w:val="center"/>
          </w:tcPr>
          <w:p>
            <w:pPr>
              <w:pStyle w:val="TableContents"/>
              <w:bidi w:val="0"/>
              <w:spacing w:before="0" w:after="283"/>
              <w:jc w:val="center"/>
              <w:rPr/>
            </w:pPr>
            <w:r>
              <w:rPr/>
              <w:t>(Area Code)</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center"/>
              <w:rPr/>
            </w:pPr>
            <w:r>
              <w:rPr/>
              <w:t>(Telephone Number)</w:t>
            </w:r>
          </w:p>
        </w:tc>
      </w:tr>
      <w:tr>
        <w:trPr/>
        <w:tc>
          <w:tcPr>
            <w:tcW w:w="248" w:type="dxa"/>
            <w:tcBorders/>
            <w:vAlign w:val="center"/>
          </w:tcPr>
          <w:p>
            <w:pPr>
              <w:pStyle w:val="TableContents"/>
              <w:bidi w:val="0"/>
              <w:spacing w:before="0" w:after="283"/>
              <w:jc w:val="left"/>
              <w:rPr/>
            </w:pPr>
            <w:r>
              <w:rPr/>
              <w:t> </w:t>
            </w:r>
          </w:p>
        </w:tc>
        <w:tc>
          <w:tcPr>
            <w:tcW w:w="9957" w:type="dxa"/>
            <w:gridSpan w:val="7"/>
            <w:tcBorders/>
            <w:vAlign w:val="center"/>
          </w:tcPr>
          <w:p>
            <w:pPr>
              <w:pStyle w:val="TableContents"/>
              <w:bidi w:val="0"/>
              <w:spacing w:before="0" w:after="283"/>
              <w:jc w:val="left"/>
              <w:rPr/>
            </w:pPr>
            <w:r>
              <w:rPr/>
              <w:t> </w:t>
            </w:r>
          </w:p>
        </w:tc>
      </w:tr>
      <w:tr>
        <w:trPr/>
        <w:tc>
          <w:tcPr>
            <w:tcW w:w="248" w:type="dxa"/>
            <w:tcBorders/>
            <w:vAlign w:val="center"/>
          </w:tcPr>
          <w:p>
            <w:pPr>
              <w:pStyle w:val="TableContents"/>
              <w:bidi w:val="0"/>
              <w:spacing w:before="0" w:after="283"/>
              <w:jc w:val="left"/>
              <w:rPr/>
            </w:pPr>
            <w:r>
              <w:rPr/>
              <w:t>(2)</w:t>
            </w:r>
          </w:p>
        </w:tc>
        <w:tc>
          <w:tcPr>
            <w:tcW w:w="9957" w:type="dxa"/>
            <w:gridSpan w:val="7"/>
            <w:tcBorders/>
            <w:vAlign w:val="center"/>
          </w:tcPr>
          <w:p>
            <w:pPr>
              <w:pStyle w:val="TableContents"/>
              <w:bidi w:val="0"/>
              <w:spacing w:before="0" w:after="283"/>
              <w:jc w:val="both"/>
              <w:rPr/>
            </w:pPr>
            <w:r>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 Yes ☐ No</w:t>
            </w:r>
          </w:p>
        </w:tc>
      </w:tr>
      <w:tr>
        <w:trPr/>
        <w:tc>
          <w:tcPr>
            <w:tcW w:w="248" w:type="dxa"/>
            <w:tcBorders/>
            <w:vAlign w:val="center"/>
          </w:tcPr>
          <w:p>
            <w:pPr>
              <w:pStyle w:val="TableContents"/>
              <w:bidi w:val="0"/>
              <w:spacing w:before="0" w:after="283"/>
              <w:jc w:val="left"/>
              <w:rPr/>
            </w:pPr>
            <w:r>
              <w:rPr/>
              <w:t> </w:t>
            </w:r>
          </w:p>
        </w:tc>
        <w:tc>
          <w:tcPr>
            <w:tcW w:w="9957" w:type="dxa"/>
            <w:gridSpan w:val="7"/>
            <w:tcBorders/>
            <w:vAlign w:val="center"/>
          </w:tcPr>
          <w:p>
            <w:pPr>
              <w:pStyle w:val="TableContents"/>
              <w:bidi w:val="0"/>
              <w:spacing w:before="0" w:after="283"/>
              <w:jc w:val="left"/>
              <w:rPr/>
            </w:pPr>
            <w:r>
              <w:rPr/>
              <w:t> </w:t>
            </w:r>
          </w:p>
        </w:tc>
      </w:tr>
      <w:tr>
        <w:trPr/>
        <w:tc>
          <w:tcPr>
            <w:tcW w:w="248" w:type="dxa"/>
            <w:tcBorders/>
            <w:vAlign w:val="center"/>
          </w:tcPr>
          <w:p>
            <w:pPr>
              <w:pStyle w:val="TableContents"/>
              <w:bidi w:val="0"/>
              <w:spacing w:before="0" w:after="283"/>
              <w:jc w:val="left"/>
              <w:rPr/>
            </w:pPr>
            <w:r>
              <w:rPr/>
              <w:t> </w:t>
            </w:r>
          </w:p>
        </w:tc>
        <w:tc>
          <w:tcPr>
            <w:tcW w:w="9957" w:type="dxa"/>
            <w:gridSpan w:val="7"/>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48" w:type="dxa"/>
            <w:tcBorders/>
            <w:vAlign w:val="center"/>
          </w:tcPr>
          <w:p>
            <w:pPr>
              <w:pStyle w:val="TableContents"/>
              <w:bidi w:val="0"/>
              <w:spacing w:before="0" w:after="283"/>
              <w:jc w:val="left"/>
              <w:rPr/>
            </w:pPr>
            <w:r>
              <w:rPr/>
              <w:t> </w:t>
            </w:r>
          </w:p>
        </w:tc>
        <w:tc>
          <w:tcPr>
            <w:tcW w:w="9957" w:type="dxa"/>
            <w:gridSpan w:val="7"/>
            <w:tcBorders/>
            <w:vAlign w:val="center"/>
          </w:tcPr>
          <w:p>
            <w:pPr>
              <w:pStyle w:val="TableContents"/>
              <w:bidi w:val="0"/>
              <w:spacing w:before="0" w:after="283"/>
              <w:jc w:val="left"/>
              <w:rPr/>
            </w:pPr>
            <w:r>
              <w:rPr/>
              <w:t> </w:t>
            </w:r>
          </w:p>
        </w:tc>
      </w:tr>
      <w:tr>
        <w:trPr/>
        <w:tc>
          <w:tcPr>
            <w:tcW w:w="248" w:type="dxa"/>
            <w:tcBorders/>
            <w:vAlign w:val="center"/>
          </w:tcPr>
          <w:p>
            <w:pPr>
              <w:pStyle w:val="TableContents"/>
              <w:bidi w:val="0"/>
              <w:spacing w:before="0" w:after="283"/>
              <w:jc w:val="left"/>
              <w:rPr/>
            </w:pPr>
            <w:r>
              <w:rPr/>
              <w:t>(3)</w:t>
            </w:r>
          </w:p>
        </w:tc>
        <w:tc>
          <w:tcPr>
            <w:tcW w:w="9957" w:type="dxa"/>
            <w:gridSpan w:val="7"/>
            <w:tcBorders/>
            <w:vAlign w:val="center"/>
          </w:tcPr>
          <w:p>
            <w:pPr>
              <w:pStyle w:val="TableContents"/>
              <w:bidi w:val="0"/>
              <w:spacing w:before="0" w:after="283"/>
              <w:jc w:val="both"/>
              <w:rPr/>
            </w:pPr>
            <w:r>
              <w:rPr/>
              <w:t>Is it anticipated that any significant change in results of operations from the corresponding period for the last fiscal year will be reflected by the earnings statements to be included in the subject report or portion thereof? ☐ Yes ☒ No</w:t>
            </w:r>
          </w:p>
        </w:tc>
      </w:tr>
      <w:tr>
        <w:trPr/>
        <w:tc>
          <w:tcPr>
            <w:tcW w:w="248" w:type="dxa"/>
            <w:tcBorders/>
            <w:vAlign w:val="center"/>
          </w:tcPr>
          <w:p>
            <w:pPr>
              <w:pStyle w:val="TableContents"/>
              <w:bidi w:val="0"/>
              <w:spacing w:before="0" w:after="283"/>
              <w:jc w:val="left"/>
              <w:rPr/>
            </w:pPr>
            <w:r>
              <w:rPr/>
              <w:t> </w:t>
            </w:r>
          </w:p>
        </w:tc>
        <w:tc>
          <w:tcPr>
            <w:tcW w:w="9957" w:type="dxa"/>
            <w:gridSpan w:val="7"/>
            <w:tcBorders/>
            <w:vAlign w:val="center"/>
          </w:tcPr>
          <w:p>
            <w:pPr>
              <w:pStyle w:val="TableContents"/>
              <w:bidi w:val="0"/>
              <w:spacing w:before="0" w:after="283"/>
              <w:jc w:val="left"/>
              <w:rPr/>
            </w:pPr>
            <w:r>
              <w:rPr/>
              <w:t> </w:t>
            </w:r>
          </w:p>
        </w:tc>
      </w:tr>
      <w:tr>
        <w:trPr/>
        <w:tc>
          <w:tcPr>
            <w:tcW w:w="248" w:type="dxa"/>
            <w:tcBorders/>
            <w:vAlign w:val="center"/>
          </w:tcPr>
          <w:p>
            <w:pPr>
              <w:pStyle w:val="TableContents"/>
              <w:bidi w:val="0"/>
              <w:spacing w:before="0" w:after="283"/>
              <w:jc w:val="left"/>
              <w:rPr/>
            </w:pPr>
            <w:r>
              <w:rPr/>
              <w:t> </w:t>
            </w:r>
          </w:p>
        </w:tc>
        <w:tc>
          <w:tcPr>
            <w:tcW w:w="9957" w:type="dxa"/>
            <w:gridSpan w:val="7"/>
            <w:tcBorders/>
            <w:vAlign w:val="center"/>
          </w:tcPr>
          <w:p>
            <w:pPr>
              <w:pStyle w:val="TableContents"/>
              <w:bidi w:val="0"/>
              <w:spacing w:before="0" w:after="283"/>
              <w:jc w:val="both"/>
              <w:rPr/>
            </w:pPr>
            <w:r>
              <w:rPr/>
              <w:t>If so, attach an explanation of the anticipated change, both narratively and quantitatively, and, if appropriate, state the reasons why a reasonable estimate of the results cannot be made.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940" w:type="dxa"/>
        <w:jc w:val="left"/>
        <w:tblInd w:w="0" w:type="dxa"/>
        <w:tblLayout w:type="fixed"/>
        <w:tblCellMar>
          <w:top w:w="0" w:type="dxa"/>
          <w:left w:w="0" w:type="dxa"/>
          <w:bottom w:w="0" w:type="dxa"/>
          <w:right w:w="0" w:type="dxa"/>
        </w:tblCellMar>
      </w:tblPr>
      <w:tblGrid>
        <w:gridCol w:w="605"/>
        <w:gridCol w:w="1610"/>
        <w:gridCol w:w="425"/>
        <w:gridCol w:w="2300"/>
      </w:tblGrid>
      <w:tr>
        <w:trPr/>
        <w:tc>
          <w:tcPr>
            <w:tcW w:w="605" w:type="dxa"/>
            <w:tcBorders/>
            <w:vAlign w:val="center"/>
          </w:tcPr>
          <w:p>
            <w:pPr>
              <w:pStyle w:val="TableContents"/>
              <w:bidi w:val="0"/>
              <w:spacing w:before="0" w:after="283"/>
              <w:jc w:val="left"/>
              <w:rPr/>
            </w:pPr>
            <w:r>
              <w:rPr/>
              <w:t xml:space="preserve">Date: </w:t>
            </w:r>
          </w:p>
        </w:tc>
        <w:tc>
          <w:tcPr>
            <w:tcW w:w="1610" w:type="dxa"/>
            <w:tcBorders/>
            <w:vAlign w:val="center"/>
          </w:tcPr>
          <w:p>
            <w:pPr>
              <w:pStyle w:val="TableContents"/>
              <w:bidi w:val="0"/>
              <w:spacing w:before="0" w:after="283"/>
              <w:jc w:val="left"/>
              <w:rPr/>
            </w:pPr>
            <w:r>
              <w:rPr/>
              <w:t>August 17, 2026</w:t>
            </w:r>
          </w:p>
        </w:tc>
        <w:tc>
          <w:tcPr>
            <w:tcW w:w="425" w:type="dxa"/>
            <w:tcBorders/>
            <w:vAlign w:val="center"/>
          </w:tcPr>
          <w:p>
            <w:pPr>
              <w:pStyle w:val="TableContents"/>
              <w:bidi w:val="0"/>
              <w:spacing w:before="0" w:after="283"/>
              <w:jc w:val="left"/>
              <w:rPr/>
            </w:pPr>
            <w:r>
              <w:rPr/>
              <w:t xml:space="preserve">By: </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Edmund Nabrotzky</w:t>
            </w:r>
          </w:p>
        </w:tc>
      </w:tr>
      <w:tr>
        <w:trPr/>
        <w:tc>
          <w:tcPr>
            <w:tcW w:w="60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Edmund Nabrotzky</w:t>
            </w:r>
          </w:p>
        </w:tc>
      </w:tr>
      <w:tr>
        <w:trPr/>
        <w:tc>
          <w:tcPr>
            <w:tcW w:w="60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spacing w:before="0" w:after="283"/>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695</Words>
  <Characters>3594</Characters>
  <CharactersWithSpaces>4319</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