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Times;Serif" w:hAnsi="Times New Roman;Times;Serif"/>
          <w:b/>
          <w:i w:val="false"/>
          <w:caps w:val="false"/>
          <w:smallCaps w:val="false"/>
          <w:sz w:val="20"/>
        </w:rPr>
      </w:pPr>
      <w:bookmarkStart w:id="0" w:name="ea0269228-424b3_cidhold.htm"/>
      <w:bookmarkStart w:id="1" w:name="ksea0269228424b3_cidhold"/>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333-290052</w:t>
      </w:r>
    </w:p>
    <w:p>
      <w:pPr>
        <w:pStyle w:val="TextBody"/>
        <w:bidi w:val="0"/>
        <w:spacing w:before="0" w:after="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CID HoldCo,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 to 29,701,559 shares of Common Stock </w:t>
      </w:r>
      <w:r>
        <w:rPr>
          <w:rFonts w:ascii="Times New Roman;Times;Serif" w:hAnsi="Times New Roman;Times;Serif"/>
          <w:b/>
          <w:i/>
          <w:caps w:val="false"/>
          <w:smallCaps w:val="false"/>
          <w:sz w:val="20"/>
        </w:rPr>
        <w:t>(for resale)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655,000 Warrants to Purchase shares of Common Stock </w:t>
      </w:r>
      <w:r>
        <w:rPr>
          <w:rFonts w:ascii="Times New Roman;Times;Serif" w:hAnsi="Times New Roman;Times;Serif"/>
          <w:b/>
          <w:i/>
          <w:caps w:val="false"/>
          <w:smallCaps w:val="false"/>
          <w:sz w:val="20"/>
        </w:rPr>
        <w:t>(for resale)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 to 14,999,983 shares of Common Stock Issuable upon Exercise of the Warrants </w:t>
      </w:r>
      <w:r>
        <w:rPr>
          <w:rFonts w:ascii="Times New Roman;Times;Serif" w:hAnsi="Times New Roman;Times;Serif"/>
          <w:b/>
          <w:i/>
          <w:caps w:val="false"/>
          <w:smallCaps w:val="false"/>
          <w:sz w:val="20"/>
        </w:rPr>
        <w:t>(for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of our common stock, par value $0.0001 per share (the “Common Stock”), by the selling security holders identified in this prospectus (including their transferees, donees, pledgees and other successors-in-interest) (the “Selling Securityholders”) of: (1) up to 29,701,559 shares of Common Stock (the “Total Resale Shares”), including (i) 11,522,565 shares of Common Stock which shares were originally issued to certain SEE ID Equityholders (as defined herein) in connection with the consummation of the Business Combination as merger consideration at an equity consideration value of $10.00 per share; (ii) up to 7,365,834 shares of Common Stock (the “Founder Shares”) issued in connection with the consummation of the Business Combination, originally issued in a private placement to ShoulderUp Technology Sponsor LLC, a Delaware limited liability company (“Sponsor”); (iii) up to 1,310,000 shares of Common Stock (the “Private Placement Shares”) originally issued in a private placement to the Sponsor as part of the private placement units (the “Private Placement Units”) at a price of $10.00 per Private Placement Unit; (iv) up to 3,323,536 shares of Common Stock (the “PIPE Shares”) originally issued in a private placement to certain investors pursuant to the PIPE Subscription Agreements (as defined below) at price of $4.00 per share; (v) up to 5,524,624 New Circle Shares issuable pursuant to the ELOC Agreement (as defined herein), comprised of (a) 85,995 shares issuable to New Circle (the “Commitment Shares”), based on the commitment fee of $350,000 to be calculated using the market value of the closing price of the Common Stock on the date this Registration Statement is declared effective by the SEC, and (b) 5,438,629 shares of Common Stock (the “ELOC Shares” and together with the Commitment Shares, the “New Circle Shares”) that we may, in our sole discretion, elect to issue and sell to New Circle, from time to time after the date of this prospectus, as part of the Total Commitment (as defined herein) pursuant to (and limited by the terms of) the ELOC Agreement; (vi) up to 655,000 shares of Common Stock that are issuable by us upon the exercise of the Private Placement Warrants (the “Private Placement Warrants”)) following the public resale of the Private Placement Warrants by the Selling Securityholders; and (2) up to 655,000 Private Placement Warrants originally issued to the Sponsor as part of the Private Placement Units in a private placement at a price of $10.00 per Private Placement Unit, currently exercisable at a price of $11.50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prospectus also relates to the issuance by us of up to 14,999,983 shares of Common Stock Common Stock issuable upon the exercise of 14,999,983 public warrants, originally issued by ShoulderUp Technology Acquisition Corp. (“SUAC”) as part of its initial public offering (the “IPO”) of units at a price of $10.00 per unit, such units were comprised of one Class A common stock of SUAC and one-half of one redeemable warrant, which are currently exercisable at a price of $11.50 per share of our Common Stock (the “Public Warrants” and together with the Private Placement Warrants, the “Warrants”).All of the Public Warrants were assumed by us in connection with the Business Combination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our Common Stock or Warrants by the Selling Securityholders pursuant to this prospectus, except with respect to amounts received by us upon exercise of the Public Warrants to the extent such Public Warrants are exercised for cash, which amount of aggregate proceeds, assuming the exercise of all Public Warrants for cash, could be up to approximately $172,499,805. We believe the likelihood that Public Warrant holders will exercise their Public Warrants, and therefore the amount of cash proceeds that we would receive, is dependent upon the market price of our Common Stock (as defined below). If the market price for our Common Stock is less than $11.50 per share, we believe the Public Warrant holders will be less likely to exercise their Warrants.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Please see “Plan of Distribution” for more information. In addition, certain of the securities being registered hereby are subject to vesting and/or transfer restrictions that may prevent the Selling Securityholders from offering or selling of such securities upon the effectiveness of the registration statement of which this prospectus is a part. See “Description of Securities”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any prospectus supplement or amendment carefully before you invest in our securities. Our Common Stock and Public Warrants are traded on the Nasdaq Stock Market LLC under the symbol “DAIC” and “DAICW”, respectively. On December 8, 2025, the last reported sale price of our Common Stock on the Nasdaq Stock Market LLC was $1.69 per share, and the closing price of our Public Warrants was $0.15 per Public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holders of 2,000 SUAC Public Shares (as defined below) exercised their right to redeem those shares for cash at a price of approximately $11.00 per share, for an aggregate price of approximately $22,019, which represented approximately .39% of the total SUAC Public Shares then outstanding. The Total Resale Shares being offered for resale in this prospectus represent 106.94% of our current total outstanding Common Stock. The Total Resale Shares represent a substantial percentage of our total outstanding Common Stock as of the date of this prospectus. Additionally, if all of the Private Placement Warrants are exercised, the Selling Securityholders would own an additional 655,000 shares of Common Stock, representing an additional 2.37% of the then total outstanding Common Stock. The sale of all securities being offered in this prospectus could result in a significant decline in the public trading price of our Common Stock. Even if the current trading price of the Common Stock is close to the price at which the units were issued in SUAC’s initial public offering, the Selling Securityholders have an incentive to sell because they will still profit on sales due to the lower price at which they purchased their shares compared to the public investors. The public securityholders may not experience a similar rate of return on the securities they purchase due to differences in the purchase prices and the current trading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under federal securities laws and are subject to reduced public company reporting requirements. Investing in our Common Stock involves a high degree of risk. See “Risk Factors” beginning on page 7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December 10,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9470"/>
        <w:gridCol w:w="60"/>
        <w:gridCol w:w="395"/>
      </w:tblGrid>
      <w:tr>
        <w:trPr/>
        <w:tc>
          <w:tcPr>
            <w:tcW w:w="9470" w:type="dxa"/>
            <w:tcBorders/>
            <w:shd w:fill="CCEEFF" w:val="clear"/>
            <w:vAlign w:val="center"/>
          </w:tcPr>
          <w:p>
            <w:pPr>
              <w:pStyle w:val="TableContents"/>
              <w:bidi w:val="0"/>
              <w:spacing w:before="0" w:after="283"/>
              <w:ind w:left="0" w:right="0" w:hanging="180"/>
              <w:jc w:val="left"/>
              <w:rPr/>
            </w:pPr>
            <w:hyperlink w:anchor="a_001">
              <w:r>
                <w:rPr>
                  <w:rStyle w:val="InternetLink"/>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sz w:val="20"/>
              </w:rPr>
            </w:pPr>
            <w:r>
              <w:rPr>
                <w:sz w:val="20"/>
              </w:rPr>
              <w:t>ii</w:t>
            </w:r>
          </w:p>
        </w:tc>
      </w:tr>
      <w:tr>
        <w:trPr/>
        <w:tc>
          <w:tcPr>
            <w:tcW w:w="9470" w:type="dxa"/>
            <w:tcBorders/>
            <w:shd w:fill="FFFFFF" w:val="clear"/>
            <w:vAlign w:val="center"/>
          </w:tcPr>
          <w:p>
            <w:pPr>
              <w:pStyle w:val="TableContents"/>
              <w:bidi w:val="0"/>
              <w:spacing w:before="0" w:after="283"/>
              <w:jc w:val="left"/>
              <w:rPr/>
            </w:pPr>
            <w:hyperlink w:anchor="a_002">
              <w:r>
                <w:rPr>
                  <w:rStyle w:val="InternetLink"/>
                  <w:sz w:val="20"/>
                </w:rPr>
                <w:t>CAUTIONARY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sz w:val="20"/>
              </w:rPr>
            </w:pPr>
            <w:r>
              <w:rPr>
                <w:sz w:val="20"/>
              </w:rPr>
              <w:t>iv</w:t>
            </w:r>
          </w:p>
        </w:tc>
      </w:tr>
      <w:tr>
        <w:trPr/>
        <w:tc>
          <w:tcPr>
            <w:tcW w:w="9470" w:type="dxa"/>
            <w:tcBorders/>
            <w:shd w:fill="CCEEFF" w:val="clear"/>
            <w:vAlign w:val="center"/>
          </w:tcPr>
          <w:p>
            <w:pPr>
              <w:pStyle w:val="TableContents"/>
              <w:bidi w:val="0"/>
              <w:spacing w:before="0" w:after="283"/>
              <w:jc w:val="left"/>
              <w:rPr/>
            </w:pPr>
            <w:hyperlink w:anchor="a_003">
              <w:r>
                <w:rPr>
                  <w:rStyle w:val="InternetLink"/>
                  <w:sz w:val="20"/>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pPr>
            <w:r>
              <w:rPr/>
              <w:t>1</w:t>
            </w:r>
          </w:p>
        </w:tc>
      </w:tr>
      <w:tr>
        <w:trPr/>
        <w:tc>
          <w:tcPr>
            <w:tcW w:w="9470" w:type="dxa"/>
            <w:tcBorders/>
            <w:shd w:fill="FFFFFF" w:val="clear"/>
            <w:vAlign w:val="center"/>
          </w:tcPr>
          <w:p>
            <w:pPr>
              <w:pStyle w:val="TableContents"/>
              <w:bidi w:val="0"/>
              <w:spacing w:before="0" w:after="283"/>
              <w:jc w:val="left"/>
              <w:rPr/>
            </w:pPr>
            <w:hyperlink w:anchor="a_004">
              <w:r>
                <w:rPr>
                  <w:rStyle w:val="InternetLink"/>
                  <w:sz w:val="20"/>
                </w:rPr>
                <w:t>THE OFFERING</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pPr>
            <w:r>
              <w:rPr/>
              <w:t>6</w:t>
            </w:r>
          </w:p>
        </w:tc>
      </w:tr>
      <w:tr>
        <w:trPr/>
        <w:tc>
          <w:tcPr>
            <w:tcW w:w="9470" w:type="dxa"/>
            <w:tcBorders/>
            <w:shd w:fill="CCEEFF" w:val="clear"/>
            <w:vAlign w:val="center"/>
          </w:tcPr>
          <w:p>
            <w:pPr>
              <w:pStyle w:val="TableContents"/>
              <w:bidi w:val="0"/>
              <w:spacing w:before="0" w:after="283"/>
              <w:jc w:val="left"/>
              <w:rPr/>
            </w:pPr>
            <w:hyperlink w:anchor="a_005">
              <w:r>
                <w:rPr>
                  <w:rStyle w:val="InternetLink"/>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pPr>
            <w:r>
              <w:rPr/>
              <w:t>7</w:t>
            </w:r>
          </w:p>
        </w:tc>
      </w:tr>
      <w:tr>
        <w:trPr/>
        <w:tc>
          <w:tcPr>
            <w:tcW w:w="9470" w:type="dxa"/>
            <w:tcBorders/>
            <w:shd w:fill="FFFFFF" w:val="clear"/>
            <w:vAlign w:val="center"/>
          </w:tcPr>
          <w:p>
            <w:pPr>
              <w:pStyle w:val="TableContents"/>
              <w:bidi w:val="0"/>
              <w:spacing w:before="0" w:after="283"/>
              <w:jc w:val="left"/>
              <w:rPr/>
            </w:pPr>
            <w:hyperlink w:anchor="a_006">
              <w:r>
                <w:rPr>
                  <w:rStyle w:val="InternetLink"/>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sz w:val="20"/>
              </w:rPr>
            </w:pPr>
            <w:r>
              <w:rPr>
                <w:sz w:val="20"/>
              </w:rPr>
              <w:t>43</w:t>
            </w:r>
          </w:p>
        </w:tc>
      </w:tr>
      <w:tr>
        <w:trPr/>
        <w:tc>
          <w:tcPr>
            <w:tcW w:w="9470" w:type="dxa"/>
            <w:tcBorders/>
            <w:shd w:fill="CCEEFF" w:val="clear"/>
            <w:vAlign w:val="center"/>
          </w:tcPr>
          <w:p>
            <w:pPr>
              <w:pStyle w:val="TableContents"/>
              <w:bidi w:val="0"/>
              <w:spacing w:before="0" w:after="283"/>
              <w:jc w:val="left"/>
              <w:rPr/>
            </w:pPr>
            <w:hyperlink w:anchor="a_007">
              <w:r>
                <w:rPr>
                  <w:rStyle w:val="InternetLink"/>
                  <w:sz w:val="20"/>
                </w:rPr>
                <w:t>DETERMINATION OF OFFERING PRICE</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pPr>
            <w:r>
              <w:rPr/>
              <w:t>44</w:t>
            </w:r>
          </w:p>
        </w:tc>
      </w:tr>
      <w:tr>
        <w:trPr/>
        <w:tc>
          <w:tcPr>
            <w:tcW w:w="9470" w:type="dxa"/>
            <w:tcBorders/>
            <w:shd w:fill="FFFFFF" w:val="clear"/>
            <w:vAlign w:val="center"/>
          </w:tcPr>
          <w:p>
            <w:pPr>
              <w:pStyle w:val="TableContents"/>
              <w:bidi w:val="0"/>
              <w:spacing w:before="0" w:after="283"/>
              <w:jc w:val="left"/>
              <w:rPr/>
            </w:pPr>
            <w:hyperlink w:anchor="a_008">
              <w:r>
                <w:rPr>
                  <w:rStyle w:val="InternetLink"/>
                  <w:sz w:val="20"/>
                </w:rPr>
                <w:t>MARKET INFORMATION FOR SECURITIES AND DIVIDEND POLICY</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pPr>
            <w:r>
              <w:rPr/>
              <w:t>45</w:t>
            </w:r>
          </w:p>
        </w:tc>
      </w:tr>
      <w:tr>
        <w:trPr/>
        <w:tc>
          <w:tcPr>
            <w:tcW w:w="9470" w:type="dxa"/>
            <w:tcBorders/>
            <w:shd w:fill="CCEEFF" w:val="clear"/>
            <w:vAlign w:val="center"/>
          </w:tcPr>
          <w:p>
            <w:pPr>
              <w:pStyle w:val="TableContents"/>
              <w:bidi w:val="0"/>
              <w:spacing w:before="0" w:after="283"/>
              <w:jc w:val="left"/>
              <w:rPr/>
            </w:pPr>
            <w:hyperlink w:anchor="a_009">
              <w:r>
                <w:rPr>
                  <w:rStyle w:val="InternetLink"/>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pPr>
            <w:r>
              <w:rPr/>
              <w:t>46</w:t>
            </w:r>
          </w:p>
        </w:tc>
      </w:tr>
      <w:tr>
        <w:trPr/>
        <w:tc>
          <w:tcPr>
            <w:tcW w:w="9470" w:type="dxa"/>
            <w:tcBorders/>
            <w:shd w:fill="FFFFFF" w:val="clear"/>
            <w:vAlign w:val="center"/>
          </w:tcPr>
          <w:p>
            <w:pPr>
              <w:pStyle w:val="TableContents"/>
              <w:bidi w:val="0"/>
              <w:spacing w:before="0" w:after="283"/>
              <w:jc w:val="left"/>
              <w:rPr/>
            </w:pPr>
            <w:hyperlink w:anchor="a_010">
              <w:r>
                <w:rPr>
                  <w:rStyle w:val="InternetLink"/>
                  <w:sz w:val="20"/>
                </w:rPr>
                <w:t>OUR BUSINESS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pPr>
            <w:r>
              <w:rPr/>
              <w:t>59</w:t>
            </w:r>
          </w:p>
        </w:tc>
      </w:tr>
      <w:tr>
        <w:trPr/>
        <w:tc>
          <w:tcPr>
            <w:tcW w:w="9470" w:type="dxa"/>
            <w:tcBorders/>
            <w:shd w:fill="CCEEFF" w:val="clear"/>
            <w:vAlign w:val="center"/>
          </w:tcPr>
          <w:p>
            <w:pPr>
              <w:pStyle w:val="TableContents"/>
              <w:bidi w:val="0"/>
              <w:spacing w:before="0" w:after="283"/>
              <w:jc w:val="left"/>
              <w:rPr/>
            </w:pPr>
            <w:hyperlink w:anchor="a_011">
              <w:r>
                <w:rPr>
                  <w:rStyle w:val="InternetLink"/>
                  <w:sz w:val="20"/>
                </w:rPr>
                <w:t>MANAGEMENT</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pPr>
            <w:r>
              <w:rPr/>
              <w:t>76</w:t>
            </w:r>
          </w:p>
        </w:tc>
      </w:tr>
      <w:tr>
        <w:trPr/>
        <w:tc>
          <w:tcPr>
            <w:tcW w:w="9470" w:type="dxa"/>
            <w:tcBorders/>
            <w:shd w:fill="FFFFFF" w:val="clear"/>
            <w:vAlign w:val="center"/>
          </w:tcPr>
          <w:p>
            <w:pPr>
              <w:pStyle w:val="TableContents"/>
              <w:bidi w:val="0"/>
              <w:spacing w:before="0" w:after="283"/>
              <w:jc w:val="left"/>
              <w:rPr/>
            </w:pPr>
            <w:hyperlink w:anchor="a_012">
              <w:r>
                <w:rPr>
                  <w:rStyle w:val="InternetLink"/>
                  <w:sz w:val="20"/>
                </w:rPr>
                <w:t>EXECUTIVE COMPENSATION</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pPr>
            <w:r>
              <w:rPr/>
              <w:t>83</w:t>
            </w:r>
          </w:p>
        </w:tc>
      </w:tr>
      <w:tr>
        <w:trPr/>
        <w:tc>
          <w:tcPr>
            <w:tcW w:w="9470" w:type="dxa"/>
            <w:tcBorders/>
            <w:shd w:fill="CCEEFF" w:val="clear"/>
            <w:vAlign w:val="center"/>
          </w:tcPr>
          <w:p>
            <w:pPr>
              <w:pStyle w:val="TableContents"/>
              <w:bidi w:val="0"/>
              <w:spacing w:before="0" w:after="283"/>
              <w:jc w:val="left"/>
              <w:rPr/>
            </w:pPr>
            <w:hyperlink w:anchor="a_013">
              <w:r>
                <w:rPr>
                  <w:rStyle w:val="InternetLink"/>
                  <w:sz w:val="20"/>
                </w:rPr>
                <w:t>CERTAIN RELATIONSHIPS AND RELATED PARTY TRANSACTIONS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pPr>
            <w:r>
              <w:rPr/>
              <w:t>86</w:t>
            </w:r>
          </w:p>
        </w:tc>
      </w:tr>
      <w:tr>
        <w:trPr/>
        <w:tc>
          <w:tcPr>
            <w:tcW w:w="9470" w:type="dxa"/>
            <w:tcBorders/>
            <w:shd w:fill="FFFFFF" w:val="clear"/>
            <w:vAlign w:val="center"/>
          </w:tcPr>
          <w:p>
            <w:pPr>
              <w:pStyle w:val="TableContents"/>
              <w:bidi w:val="0"/>
              <w:spacing w:before="0" w:after="283"/>
              <w:jc w:val="left"/>
              <w:rPr/>
            </w:pPr>
            <w:hyperlink w:anchor="a_014">
              <w:r>
                <w:rPr>
                  <w:rStyle w:val="InternetLink"/>
                  <w:sz w:val="20"/>
                </w:rPr>
                <w:t>SECURITY OWNERSHIP OF CERTAIN BENEFICIAL OWNERS AND MANAGEMENT</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pPr>
            <w:r>
              <w:rPr/>
              <w:t>87</w:t>
            </w:r>
          </w:p>
        </w:tc>
      </w:tr>
      <w:tr>
        <w:trPr/>
        <w:tc>
          <w:tcPr>
            <w:tcW w:w="9470" w:type="dxa"/>
            <w:tcBorders/>
            <w:shd w:fill="CCEEFF" w:val="clear"/>
            <w:vAlign w:val="center"/>
          </w:tcPr>
          <w:p>
            <w:pPr>
              <w:pStyle w:val="TableContents"/>
              <w:bidi w:val="0"/>
              <w:spacing w:before="0" w:after="283"/>
              <w:jc w:val="left"/>
              <w:rPr/>
            </w:pPr>
            <w:hyperlink w:anchor="a_015">
              <w:r>
                <w:rPr>
                  <w:rStyle w:val="InternetLink"/>
                  <w:sz w:val="20"/>
                </w:rPr>
                <w:t>SELLING SECURITYHOLDERS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pPr>
            <w:r>
              <w:rPr/>
              <w:t>88</w:t>
            </w:r>
          </w:p>
        </w:tc>
      </w:tr>
      <w:tr>
        <w:trPr/>
        <w:tc>
          <w:tcPr>
            <w:tcW w:w="9470" w:type="dxa"/>
            <w:tcBorders/>
            <w:shd w:fill="FFFFFF" w:val="clear"/>
            <w:vAlign w:val="center"/>
          </w:tcPr>
          <w:p>
            <w:pPr>
              <w:pStyle w:val="TableContents"/>
              <w:bidi w:val="0"/>
              <w:spacing w:before="0" w:after="283"/>
              <w:jc w:val="left"/>
              <w:rPr/>
            </w:pPr>
            <w:hyperlink w:anchor="a_016">
              <w:r>
                <w:rPr>
                  <w:rStyle w:val="InternetLink"/>
                  <w:sz w:val="20"/>
                </w:rPr>
                <w:t>DESCRIPTION OF SECURITIES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pPr>
            <w:r>
              <w:rPr/>
              <w:t>115</w:t>
            </w:r>
          </w:p>
        </w:tc>
      </w:tr>
      <w:tr>
        <w:trPr/>
        <w:tc>
          <w:tcPr>
            <w:tcW w:w="9470" w:type="dxa"/>
            <w:tcBorders/>
            <w:shd w:fill="CCEEFF" w:val="clear"/>
            <w:vAlign w:val="center"/>
          </w:tcPr>
          <w:p>
            <w:pPr>
              <w:pStyle w:val="TableContents"/>
              <w:bidi w:val="0"/>
              <w:spacing w:before="0" w:after="283"/>
              <w:jc w:val="left"/>
              <w:rPr/>
            </w:pPr>
            <w:hyperlink w:anchor="a_017">
              <w:r>
                <w:rPr>
                  <w:rStyle w:val="InternetLink"/>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pPr>
            <w:r>
              <w:rPr/>
              <w:t>123</w:t>
            </w:r>
          </w:p>
        </w:tc>
      </w:tr>
      <w:tr>
        <w:trPr/>
        <w:tc>
          <w:tcPr>
            <w:tcW w:w="9470" w:type="dxa"/>
            <w:tcBorders/>
            <w:shd w:fill="FFFFFF" w:val="clear"/>
            <w:vAlign w:val="center"/>
          </w:tcPr>
          <w:p>
            <w:pPr>
              <w:pStyle w:val="TableContents"/>
              <w:bidi w:val="0"/>
              <w:spacing w:before="0" w:after="283"/>
              <w:jc w:val="left"/>
              <w:rPr/>
            </w:pPr>
            <w:hyperlink w:anchor="a_018">
              <w:r>
                <w:rPr>
                  <w:rStyle w:val="InternetLink"/>
                  <w:sz w:val="20"/>
                </w:rPr>
                <w:t>UNITED STATES FEDERAL INCOME TAX CONSIDERATIONS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pPr>
            <w:r>
              <w:rPr/>
              <w:t>126</w:t>
            </w:r>
          </w:p>
        </w:tc>
      </w:tr>
      <w:tr>
        <w:trPr/>
        <w:tc>
          <w:tcPr>
            <w:tcW w:w="9470" w:type="dxa"/>
            <w:tcBorders/>
            <w:shd w:fill="CCEEFF" w:val="clear"/>
            <w:vAlign w:val="center"/>
          </w:tcPr>
          <w:p>
            <w:pPr>
              <w:pStyle w:val="TableContents"/>
              <w:bidi w:val="0"/>
              <w:spacing w:before="0" w:after="283"/>
              <w:jc w:val="left"/>
              <w:rPr/>
            </w:pPr>
            <w:hyperlink w:anchor="a_019">
              <w:r>
                <w:rPr>
                  <w:rStyle w:val="InternetLink"/>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pPr>
            <w:r>
              <w:rPr/>
              <w:t>131</w:t>
            </w:r>
          </w:p>
        </w:tc>
      </w:tr>
      <w:tr>
        <w:trPr/>
        <w:tc>
          <w:tcPr>
            <w:tcW w:w="9470" w:type="dxa"/>
            <w:tcBorders/>
            <w:shd w:fill="FFFFFF" w:val="clear"/>
            <w:vAlign w:val="center"/>
          </w:tcPr>
          <w:p>
            <w:pPr>
              <w:pStyle w:val="TableContents"/>
              <w:bidi w:val="0"/>
              <w:spacing w:before="0" w:after="283"/>
              <w:jc w:val="left"/>
              <w:rPr/>
            </w:pPr>
            <w:hyperlink w:anchor="a_020">
              <w:r>
                <w:rPr>
                  <w:rStyle w:val="InternetLink"/>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pPr>
            <w:r>
              <w:rPr/>
              <w:t>131</w:t>
            </w:r>
          </w:p>
        </w:tc>
      </w:tr>
      <w:tr>
        <w:trPr/>
        <w:tc>
          <w:tcPr>
            <w:tcW w:w="9470" w:type="dxa"/>
            <w:tcBorders/>
            <w:shd w:fill="CCEEFF" w:val="clear"/>
            <w:vAlign w:val="center"/>
          </w:tcPr>
          <w:p>
            <w:pPr>
              <w:pStyle w:val="TableContents"/>
              <w:bidi w:val="0"/>
              <w:spacing w:before="0" w:after="283"/>
              <w:jc w:val="left"/>
              <w:rPr/>
            </w:pPr>
            <w:hyperlink w:anchor="a_021">
              <w:r>
                <w:rPr>
                  <w:rStyle w:val="InternetLink"/>
                  <w:sz w:val="20"/>
                </w:rPr>
                <w:t>WHERE YOU CAN FIND ADDITIONAL INFORMATION</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180"/>
              <w:jc w:val="center"/>
              <w:rPr/>
            </w:pPr>
            <w:r>
              <w:rPr/>
              <w:t>131</w:t>
            </w:r>
          </w:p>
        </w:tc>
      </w:tr>
      <w:tr>
        <w:trPr/>
        <w:tc>
          <w:tcPr>
            <w:tcW w:w="9470" w:type="dxa"/>
            <w:tcBorders/>
            <w:shd w:fill="FFFFFF" w:val="clear"/>
            <w:vAlign w:val="center"/>
          </w:tcPr>
          <w:p>
            <w:pPr>
              <w:pStyle w:val="TableContents"/>
              <w:bidi w:val="0"/>
              <w:spacing w:before="0" w:after="283"/>
              <w:jc w:val="left"/>
              <w:rPr/>
            </w:pPr>
            <w:hyperlink w:anchor="a_022">
              <w:r>
                <w:rPr>
                  <w:rStyle w:val="InternetLink"/>
                  <w:sz w:val="20"/>
                </w:rPr>
                <w:t>CHANGES IN INDEPENDENT REGISTERED PUBLIC ACCOUNTING FIRM</w:t>
              </w:r>
            </w:hyperlink>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180"/>
              <w:jc w:val="center"/>
              <w:rPr/>
            </w:pPr>
            <w:r>
              <w:rPr/>
              <w:t>131</w:t>
            </w:r>
          </w:p>
        </w:tc>
      </w:tr>
      <w:tr>
        <w:trPr/>
        <w:tc>
          <w:tcPr>
            <w:tcW w:w="9470" w:type="dxa"/>
            <w:tcBorders/>
            <w:shd w:fill="CCEEFF" w:val="clear"/>
            <w:vAlign w:val="center"/>
          </w:tcPr>
          <w:p>
            <w:pPr>
              <w:pStyle w:val="TableContents"/>
              <w:bidi w:val="0"/>
              <w:spacing w:before="0" w:after="283"/>
              <w:jc w:val="left"/>
              <w:rPr/>
            </w:pPr>
            <w:hyperlink w:anchor="a_023">
              <w:r>
                <w:rPr>
                  <w:rStyle w:val="InternetLink"/>
                  <w:sz w:val="20"/>
                </w:rPr>
                <w:t>INDEX TO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sz w:val="20"/>
              </w:rPr>
            </w:pPr>
            <w:r>
              <w:rPr>
                <w:sz w:val="20"/>
              </w:rPr>
              <w:t>F-1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We have not authorized any dealer, salesperson or other person to provide you with information about the Company, except for the information contained in this prospectus. The information contained in this prospectus is complete and accurate only as of the date on the front cover page of this prospectus, regardless of the time of delivery of this prospectus or the sale of any securities. This prospectus is not an offer to sell these securities and we are not soliciting an offer to buy these securities in any state where the offer or sale is not permitted. The information contained in this prospectus may change after the date of this prospectus. Do not assume after the date of this prospectus that the information contained in this prospectus is still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the United States: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and the distribution of this prospectus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ABOUT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S-1 that we filed with the Securities and Exchange Commission (the “SEC”) using a “shelf” registration process. Under this shelf registration process, from time to time, we and the Selling Securityholders may offer and sell the securities offered by them described in this prospectus in one or more offerings from time to time through any means described in the section entitled “Plan of Distribution.” We may use the shelf registration statement to issue shares of Common Stock upon exercise of the Public Warrants. We will receive proceeds from any exercise of the Public Warrants for cash. We may use the shelf registration statement to issue up to an aggregate of 14,999,983 shares of our Common Stock underlying 14,999,983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use the shelf registration statement to sell up to: 29,701,559 Total Resale Shares, including (i) 11,522,565 shares of Common Stock which shares were originally issued to certain SEE ID Equityholders in connection with the consummation of the Business Combination as merger consideration at an equity consideration value of $10.00 per share; (ii) up to 7,365,834 Founder Shares issued in connection with the consummation of the Business Combination, originally issued in a private placement to ShoulderUp Technology Sponsor LLC, a Delaware limited liability company (“Sponsor”); (iii) up to 1,310,000 Private Placement Shares originally issued in a private placement to the Sponsor as part of the Private Placement Units at a price of $10.00 per Private Placement Unit; (iv) up to 3,323,536 PIPE Shares originally issued in a private placement to certain investors pursuant to the PIPE Subscription Agreements at price of $4.00 per share; (v) up to 5,524,624 New Circle Shares issuable pursuant to the ELOC Agreement comprised of (a) 85,995 Commitment Shares issuable to New Circle, based on the commitment fee of $350,000 to be calculated using the market value of the closing price of the Common Stock on the date this Registration Statement is declared effective by the SEC, and (b) 5,438,629 ELOC Shares that we may, in our sole discretion, elect to issue and sell to New Circle, from time to time after the date of this prospectus, as part of the Total Commitment pursuant to (and limited by the terms of) the ELOC Agreement; (vi) up to 655,000 shares of Common Stock that are issuable by us upon the exercise of the Private Placement Warrants (as defined below) following the public resale of the Private Placement Warrants by the Selling Securityholders; and (2) up to 655,000 Private Placement Warrants originally issued to the Sponsor as part of the Private Placement Units in a private placement at a price of $10.00 per Private Placement Unit, currently exercisable at a price of $11.50 per share. Additional information about any offering may be provided in a prospectus supplement that describes, among other things, the specific amounts and prices of the Common Stock and Warrants being offered and the terms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“Closing Date”), the Company consummated the transactions contemplated by that certain Business Combination Agreement, dated March 18, 2024 (the “Business Combination Agreement”), by and among the Company, ShoulderUp Technology Acquisition Corp, a Delaware corporation (“SUAC”), ShoulderUp Merger Sub, Inc., a Delaware corporation (“ShoulderUp Merger Sub”), SEI Merger Sub, Inc., a Delaware Corporation (“SEI Merger Sub”) and SEE ID, Inc., a Nevada corporation (“SEE ID”). Pursuant to the Business Combination Agreement, on the Closing Date, (i) ShoulderUp Merger Sub merged with and into SUAC (the “</w:t>
      </w:r>
      <w:r>
        <w:rPr>
          <w:rFonts w:ascii="Times New Roman;Times;Serif" w:hAnsi="Times New Roman;Times;Serif"/>
          <w:b/>
          <w:i/>
          <w:caps w:val="false"/>
          <w:smallCaps w:val="false"/>
          <w:sz w:val="20"/>
        </w:rPr>
        <w:t>ShoulderUp Merger</w:t>
      </w:r>
      <w:r>
        <w:rPr>
          <w:rFonts w:ascii="Times New Roman;Times;Serif" w:hAnsi="Times New Roman;Times;Serif"/>
          <w:b w:val="false"/>
          <w:i w:val="false"/>
          <w:caps w:val="false"/>
          <w:smallCaps w:val="false"/>
          <w:sz w:val="20"/>
        </w:rPr>
        <w:t>”), with SUAC surviving the ShoulderUp Merger as a wholly-owned subsidiary of the Company (“</w:t>
      </w:r>
      <w:r>
        <w:rPr>
          <w:rFonts w:ascii="Times New Roman;Times;Serif" w:hAnsi="Times New Roman;Times;Serif"/>
          <w:b/>
          <w:i/>
          <w:caps w:val="false"/>
          <w:smallCaps w:val="false"/>
          <w:sz w:val="20"/>
        </w:rPr>
        <w:t>SUAC Surviving Company</w:t>
      </w:r>
      <w:r>
        <w:rPr>
          <w:rFonts w:ascii="Times New Roman;Times;Serif" w:hAnsi="Times New Roman;Times;Serif"/>
          <w:b w:val="false"/>
          <w:i w:val="false"/>
          <w:caps w:val="false"/>
          <w:smallCaps w:val="false"/>
          <w:sz w:val="20"/>
        </w:rPr>
        <w:t>”); and (ii) simultaneously with the ShoulderUp Merger, SEI Merger Sub merged with and into SEE ID (“</w:t>
      </w:r>
      <w:r>
        <w:rPr>
          <w:rFonts w:ascii="Times New Roman;Times;Serif" w:hAnsi="Times New Roman;Times;Serif"/>
          <w:b/>
          <w:i/>
          <w:caps w:val="false"/>
          <w:smallCaps w:val="false"/>
          <w:sz w:val="20"/>
        </w:rPr>
        <w:t>the SEE ID Merger</w:t>
      </w:r>
      <w:r>
        <w:rPr>
          <w:rFonts w:ascii="Times New Roman;Times;Serif" w:hAnsi="Times New Roman;Times;Serif"/>
          <w:b w:val="false"/>
          <w:i w:val="false"/>
          <w:caps w:val="false"/>
          <w:smallCaps w:val="false"/>
          <w:sz w:val="20"/>
        </w:rPr>
        <w:t>”), with SEE ID surviving the SEE ID Merger as a wholly-owned subsidiary of the Company (the “</w:t>
      </w:r>
      <w:r>
        <w:rPr>
          <w:rFonts w:ascii="Times New Roman;Times;Serif" w:hAnsi="Times New Roman;Times;Serif"/>
          <w:b/>
          <w:i/>
          <w:caps w:val="false"/>
          <w:smallCaps w:val="false"/>
          <w:sz w:val="20"/>
        </w:rPr>
        <w:t>Surviving Company</w:t>
      </w:r>
      <w:r>
        <w:rPr>
          <w:rFonts w:ascii="Times New Roman;Times;Serif" w:hAnsi="Times New Roman;Times;Serif"/>
          <w:b w:val="false"/>
          <w:i w:val="false"/>
          <w:caps w:val="false"/>
          <w:smallCaps w:val="false"/>
          <w:sz w:val="20"/>
        </w:rPr>
        <w:t>”) (the ShoulderUp Merger and the SEE ID Merger, together the “</w:t>
      </w:r>
      <w:r>
        <w:rPr>
          <w:rFonts w:ascii="Times New Roman;Times;Serif" w:hAnsi="Times New Roman;Times;Serif"/>
          <w:b/>
          <w:i/>
          <w:caps w:val="false"/>
          <w:smallCaps w:val="false"/>
          <w:sz w:val="20"/>
        </w:rPr>
        <w:t>Mergers</w:t>
      </w:r>
      <w:r>
        <w:rPr>
          <w:rFonts w:ascii="Times New Roman;Times;Serif" w:hAnsi="Times New Roman;Times;Serif"/>
          <w:b w:val="false"/>
          <w:i w:val="false"/>
          <w:caps w:val="false"/>
          <w:smallCaps w:val="false"/>
          <w:sz w:val="20"/>
        </w:rPr>
        <w:t>” and together with the other transactions contemplated by the Business Combination Agreement, the “</w:t>
      </w:r>
      <w:r>
        <w:rPr>
          <w:rFonts w:ascii="Times New Roman;Times;Serif" w:hAnsi="Times New Roman;Times;Serif"/>
          <w:b/>
          <w:i/>
          <w:caps w:val="false"/>
          <w:smallCaps w:val="false"/>
          <w:sz w:val="20"/>
        </w:rPr>
        <w:t>Business Combination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we consummated the PIPE Financing (as defined below). Pursuant to certain subscription agreement entered into between June 10, 2025 and June 17, 2025 (the “PIPE Subscription Agreements”) by us with certain unaffiliated third-party investors (each, a “PIPE Investor” and collectively, the “PIPE Investors”), pursuant to which, the Company agreed to issue and sell to the PIPE Investors, and the PIPE Investors agreed to subscribe for and purchase an aggregate of 3,323,536 PIPE Shares at a purchase price of $4.00 per share for an aggregate purchase price of $13,294,143, in a private placement (the private placement contemplated by the PIPE Subscriptions Agreements, the “PIPE Financing”). Of the total PIPE Investment, $2,456,500 represents the conversion of bridge loan principal and accrued interest, such that the Company received an additional $10,837,643 from the PIPE Investors at Closing. The PIPE Investment closed substantially concurrently with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Closing, the Company and the persons identified in Schedule A thereto, entered into the Registration Rights Agreement, which provides customary demand and piggyback registration rights. See “</w:t>
      </w:r>
      <w:r>
        <w:rPr>
          <w:rFonts w:ascii="Times New Roman;Times;Serif" w:hAnsi="Times New Roman;Times;Serif"/>
          <w:b w:val="false"/>
          <w:i/>
          <w:caps w:val="false"/>
          <w:smallCaps w:val="false"/>
          <w:sz w:val="20"/>
        </w:rPr>
        <w:t>Certain Relationships and Related Party Transactions -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prospectus contains statements that are forward-looking and as such are not historical facts. These forward-looking statements are based on CID HoldCo, Inc.’s (the “Company”)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words such as “outlook,” “believes,” “expects,” “potential,” “continues,” “may,” “will,” “should,” “could,” “seeks,” “approximately,” “predicts,” “intends,” “plans,” “estimates,” “anticipates”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pStyle w:val="TextBody"/>
        <w:bidi w:val="0"/>
        <w:spacing w:before="0" w:after="0"/>
        <w:ind w:left="1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outcome of any legal proceedings that may be instituted against the combined company or others following the consummation of the Business Combination and any definitive agreements with respect thereto;</w:t>
            </w:r>
          </w:p>
        </w:tc>
      </w:tr>
    </w:tbl>
    <w:p>
      <w:pPr>
        <w:pStyle w:val="TextBody"/>
        <w:bidi w:val="0"/>
        <w:spacing w:before="0" w:after="0"/>
        <w:ind w:left="1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ability to meet stock exchange listing standards following the consummation of the Business Combination;</w:t>
            </w:r>
          </w:p>
        </w:tc>
      </w:tr>
    </w:tbl>
    <w:p>
      <w:pPr>
        <w:pStyle w:val="TextBody"/>
        <w:bidi w:val="0"/>
        <w:spacing w:before="0" w:after="0"/>
        <w:ind w:left="1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risk that the Business Combination disrupts current plans and operations of the Company and SEE ID;</w:t>
            </w:r>
          </w:p>
        </w:tc>
      </w:tr>
    </w:tbl>
    <w:p>
      <w:pPr>
        <w:pStyle w:val="TextBody"/>
        <w:bidi w:val="0"/>
        <w:spacing w:before="0" w:after="0"/>
        <w:ind w:left="1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ability of the Company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w:t>
            </w:r>
          </w:p>
        </w:tc>
      </w:tr>
    </w:tbl>
    <w:p>
      <w:pPr>
        <w:pStyle w:val="TextBody"/>
        <w:bidi w:val="0"/>
        <w:spacing w:before="0" w:after="0"/>
        <w:ind w:left="120" w:right="0" w:hanging="360"/>
        <w:jc w:val="both"/>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17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costs related to the Business Combination;</w:t>
            </w:r>
          </w:p>
        </w:tc>
      </w:tr>
    </w:tbl>
    <w:p>
      <w:pPr>
        <w:pStyle w:val="TextBody"/>
        <w:bidi w:val="0"/>
        <w:spacing w:before="0" w:after="0"/>
        <w:ind w:left="120" w:right="0" w:hanging="360"/>
        <w:jc w:val="both"/>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38"/>
        <w:gridCol w:w="17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39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applicable laws or regulations;</w:t>
            </w:r>
          </w:p>
        </w:tc>
      </w:tr>
    </w:tbl>
    <w:p>
      <w:pPr>
        <w:pStyle w:val="TextBody"/>
        <w:bidi w:val="0"/>
        <w:spacing w:before="0" w:after="0"/>
        <w:ind w:left="1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possibility that SEE ID or the Company may be adversely affected by other economic, business, or competitive factors;</w:t>
            </w:r>
          </w:p>
        </w:tc>
      </w:tr>
    </w:tbl>
    <w:p>
      <w:pPr>
        <w:pStyle w:val="TextBody"/>
        <w:bidi w:val="0"/>
        <w:spacing w:before="0" w:after="0"/>
        <w:ind w:left="120" w:right="0" w:hanging="360"/>
        <w:jc w:val="both"/>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170"/>
        <w:gridCol w:w="5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52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Company’s estimates of expenses and profitability;</w:t>
            </w:r>
          </w:p>
        </w:tc>
      </w:tr>
    </w:tbl>
    <w:p>
      <w:pPr>
        <w:pStyle w:val="TextBody"/>
        <w:bidi w:val="0"/>
        <w:spacing w:before="0" w:after="0"/>
        <w:ind w:left="120" w:right="0" w:hanging="360"/>
        <w:jc w:val="both"/>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35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ability to raise financing in the future;</w:t>
            </w:r>
          </w:p>
        </w:tc>
      </w:tr>
    </w:tbl>
    <w:p>
      <w:pPr>
        <w:pStyle w:val="TextBody"/>
        <w:bidi w:val="0"/>
        <w:spacing w:before="0" w:after="0"/>
        <w:ind w:left="120" w:right="0" w:hanging="360"/>
        <w:jc w:val="both"/>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17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2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success in retaining or recruiting, or changes required in, our officers, key employees or directors;</w:t>
            </w:r>
          </w:p>
        </w:tc>
      </w:tr>
    </w:tbl>
    <w:p>
      <w:pPr>
        <w:pStyle w:val="TextBody"/>
        <w:bidi w:val="0"/>
        <w:spacing w:before="0" w:after="0"/>
        <w:ind w:left="120" w:right="0" w:hanging="360"/>
        <w:jc w:val="both"/>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17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61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Company’s public securities’ potential liquidity and trading;</w:t>
            </w:r>
          </w:p>
        </w:tc>
      </w:tr>
    </w:tbl>
    <w:p>
      <w:pPr>
        <w:pStyle w:val="TextBody"/>
        <w:bidi w:val="0"/>
        <w:spacing w:before="0" w:after="0"/>
        <w:ind w:left="1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requirements of being a public company, including compliance with the SEC’s requirements regarding internal controls over financial reporting, may strain the Company’s resources and divert management’s attention, and the increases in legal, accounting and compliance expenses that will result from the Business Combination may be greater than anticipated;</w:t>
            </w:r>
          </w:p>
        </w:tc>
      </w:tr>
    </w:tbl>
    <w:p>
      <w:pPr>
        <w:pStyle w:val="TextBody"/>
        <w:bidi w:val="0"/>
        <w:spacing w:before="0" w:after="0"/>
        <w:ind w:left="120" w:right="0" w:hanging="360"/>
        <w:jc w:val="both"/>
        <w:rPr>
          <w:caps w:val="false"/>
          <w:smallCaps w:val="false"/>
        </w:rPr>
      </w:pPr>
      <w:r>
        <w:rPr>
          <w:caps w:val="false"/>
          <w:smallCaps w:val="false"/>
        </w:rPr>
        <w:t> </w:t>
      </w:r>
    </w:p>
    <w:tbl>
      <w:tblPr>
        <w:tblW w:w="8973" w:type="dxa"/>
        <w:jc w:val="left"/>
        <w:tblInd w:w="0" w:type="dxa"/>
        <w:tblLayout w:type="fixed"/>
        <w:tblCellMar>
          <w:top w:w="0" w:type="dxa"/>
          <w:left w:w="0" w:type="dxa"/>
          <w:bottom w:w="0" w:type="dxa"/>
          <w:right w:w="0" w:type="dxa"/>
        </w:tblCellMar>
      </w:tblPr>
      <w:tblGrid>
        <w:gridCol w:w="38"/>
        <w:gridCol w:w="17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87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litigation and the ability to adequately protect the Company’s intellectual property rights; and</w:t>
            </w:r>
          </w:p>
        </w:tc>
      </w:tr>
    </w:tbl>
    <w:p>
      <w:pPr>
        <w:pStyle w:val="TextBody"/>
        <w:bidi w:val="0"/>
        <w:spacing w:before="0" w:after="0"/>
        <w:ind w:left="1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factors relating to the business, operations and financial performance of the Company detailed under the section entitled “Risk Factors” herein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our assumptions prove incorrect, actual results could differ materially from the results implied by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factors that could cause actual results to differ from those implied by the forward-looking statements in this prospectus are more fully described under the heading “</w:t>
      </w:r>
      <w:r>
        <w:rPr>
          <w:rFonts w:ascii="Times New Roman;Times;Serif" w:hAnsi="Times New Roman;Times;Serif"/>
          <w:b w:val="false"/>
          <w:i/>
          <w:caps w:val="false"/>
          <w:smallCaps w:val="false"/>
          <w:sz w:val="20"/>
        </w:rPr>
        <w:t xml:space="preserve">Risk Factors” </w:t>
      </w:r>
      <w:r>
        <w:rPr>
          <w:rFonts w:ascii="Times New Roman;Times;Serif" w:hAnsi="Times New Roman;Times;Serif"/>
          <w:b w:val="false"/>
          <w:i w:val="false"/>
          <w:caps w:val="false"/>
          <w:smallCaps w:val="false"/>
          <w:sz w:val="20"/>
        </w:rPr>
        <w:t>and elsewhere in this prospectus. The risks described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are not exhaustive. Other sections of this prospectus describe additional factors that could adversely affect the business, financial condition or results of operations of the Company. New risk factors emerge from time to time and it is not possible to predict all such risk factors, nor can the Company assess the impact of all such risk factors on the business of the Company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of belief and similar statements reflect the beliefs and opinions of the Company on the relevant subject. These statements are based upon information available to the Company, as applicable, as of the date of this prospectus, and while the Company believes such information forms a reasonable basis for such statements, such information may be limited or incomplete, and statements should not be read to indicate that the Company has conducted an exhaustive inquiry into, or review of, all potentially available relevant information. These statements are inherently uncertain and you are cautioned not to unduly rely upon these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4" w:name="a_003"/>
      <w:bookmarkEnd w:id="4"/>
      <w:r>
        <w:rPr>
          <w:rFonts w:ascii="Times New Roman;Times;Serif" w:hAnsi="Times New Roman;Times;Serif"/>
          <w:b/>
          <w:i w:val="false"/>
          <w:caps/>
          <w:sz w:val="20"/>
          <w:bdr w:val="single" w:sz="12" w:space="1" w:color="000000"/>
        </w:rPr>
        <w:t>PROSPECTUS SUMMARY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information contained elsewhere in this prospectus. It does not contain all the information that you may consider important in making your investment decision. Therefore, you should read the entire prospectus carefully, including, in particular, the sections entitled “Risk Factors” and “Management’s Discussion and Analysis of Financial Condition and Results of Operations,” and our consolidated financial statements and related notes.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As used in this prospectus, unless the context otherwise requires or indicates, references to “Company,” “we,” “our,” and “us,” refer to CID HoldCo, Inc. and its subsidiaries.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Business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offers a SAAS platform for customer subscription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Real-time asset tracking services allow customers to improve many workflows. For example, inspecting a vehicle as it is approaching to know when a high value asset is on board before it leaves a secure area. This allows operators to respond, halt the vehicle, and investigate. Customer security will know what is leaving and whether it is scheduled to leave. This capability can also be used at gates, docks or storage locations to automatically grant access and record movements for accountability.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Another common application is tracking inventory. We provide a unique capability to dynamically sweep item inventory with roving, inexpensive readers powered by batteries. Due to their low cost and wireless capability, these inexpensive readers can be deployed on pallets, fork trucks, shelves or even people to provide coverage of the location of interest. As a result of this capability, our technology is disruptive to legacy logistics systems which are either inadequate to gather this level of detail or much more expensive and inflexible to deploy.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systems automatically process inbound and outbound personnel or items, using RF tags or access cards, while AI-enabled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Another example application is guided spotting and collision avoidance for vehicles. We not only provide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Using our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we provide the capability to enable machine learning and AI intervention in complex processes to enhance safety, assurance and efficiency.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result of the unique process visibility provided by their innovations, we are often implemented as an edge system producing rich data streams for other supervisory systems of record. Powerful commercial partnerships are intended to be formed with large ERP, MES or WMS system players in the targeted vertical markets.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short, we bring a next generation capability to know when, where and why assets move in the enterprise, providing an opportunity to apply AI to complex edge processes.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Business Combination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the Closing Date, the Company consummated the transactions contemplated by the Business Combination Agreement. Pursuant to the Business Combination Agreement, on the Closing Date, (i) ShoulderUp Merger Sub merged with and into SUAC, with SUAC surviving the ShoulderUp Merger as a wholly-owned subsidiary of the Company and (ii) simultaneously with the ShoulderUp Merger, SEI Merger Sub merged with and into SEE ID, with SEE ID surviving the SEE ID Merger as a wholly-owned subsidiary of the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Prior to and in connection with the Special Meeting, holders of 2,000 shares of SUAC’s Class A Common Stock sold in its initial public offering exercised their right to redeem those shares for cash at a price of approximately $11.00 per share, for an aggregate of approximately $22,019. The per share redemption price of approximately $11.00 for public shareholders electing redemption was paid out of the Trust Account, which after taking into account the redemptions, had a balance immediately prior to the Closing of approximately $5,577,304.</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Registration Rights and Lock Up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At the Closing, the Company entered into that certain Registration Rights and Lock-Up Agreement (the “Registration Rights and Lock-Up Agreement”) with certain holders listed on Schedule A thereto (the “Holders”), pursuant to which, (1) subject to certain exceptions, the Holders may not transfer or make any public announcement of any intention to effect a transfer of any of the equity interests of securities of the Company beneficially owned by the Holder during the period ending 180 days after the Closing Date; and (2) the Holders are entitled to certain “shelf” and “piggyback” registration rights. The Registration Rights and Lock-Up Agreement also provides that the Company will pay certain expenses relating to such registrations and indemnify the stockholder signatories thereto against (or make contributions in respect of) certain liabilities that may arise under the Securities Act.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PIPE Financing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the Closing Date, we consummated the PIPE Financing. Pursuant to the PIPE Subscription Agreements, the Company agreed to issue and sell to the PIPE Investors, and the PIPE Investors agreed to subscribe for and purchase an aggregate of 3,323,536 PIPE Shares at a purchase price of $4.00 per share for an aggregate purchase price of $13,294,143, in a private placement. Of the total PIPE Investment, $2,456,500 represents the conversion of bridge loan principal and accrued interest, such that the Company received an additional $10,837,643 from the PIPE Investors at Closing.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Equity Line of Credit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At the Closing, the Company entered into that certain Share Purchase Agreement (the “ELOC Agreement”) with New Circle Principal Investments LLC, a Delaware limited liability company (“New Circle”), pursuant to which New Circle has committed to purchase, subject to certain limitations, up to $50 million (the “Total Commitment”) of the Company’s Common Stock.</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connection with the entry into the ELOC Agreement, the Company also entered into that certain Registration Rights Agreement (the “New Circle Registration Rights Agreement”) with New Circle.</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ELOC Agreement, we have the right to sell to New Circle up to $50 million shares of common stock of the Company, subject to certain limitations and conditions set forth in the ELOC Agreement, from time to time during the term of the ELOC Agreement. Sales of Common Stock to New Circle under the ELOC Agreement, and the timing of any such sales, are at our option, and we are under no obligation to sell any securities to New Circle under the ELOC Agreement. In accordance with our obligations under the ELOC Agreement and New Circle Registration Rights Agreement, we have filed the registration statement of which this prospectus forms a part with the Securities and Exchange Commission (the “SEC”) to register under the Securities Act the resale by New Circle of up to 5,524,624 shares of Common Stock that we may elect, in our sole discretion, to issue and sell to New Circle, from time to time under the ELOC Agreement. From time to time at our discretion until June 18, 2028, upon the satisfaction of the conditions to New Circle’s purchase obligation set forth in the ELOC Agreement, including that the registration statement of which this prospectus forms a part be declared effective by the SEC and the final form of this prospectus is filed with the SEC, we will have the right, but not the obligation to direct New Circle to purchase a specified number of Common Stock (each such sale, a “Purchase”) by delivering written notice to New Circle (each, a “Purchase Notice”). While there is no mandatory minimum amount for any Purchase, it may not exceed an amount of shares of Common Stock equal to thirty percent (30%) of the average daily trading volume of the Common Stock of the Company during the five (5) Trading Days immediately preceding a Purchase Notice. The per share purchase price for the Common Stock, if any, that we elect to sell to New Circle in an Advance pursuant to the ELOC Agreement will be determined by reference to the volume weighted average price of our Common Stock (the “VWAP”) and calculated in accordance with the ELOC Agreement. There is no upper limit on the price per share that New Circle could be obligated to pay for the Common Stock we may elect to sell to it in any Purchase. We will control the timing and amount of any sales of Common Stock to New Circle. Actual sales of Common Stock to New Circle under the ELOC Agreement will depend on a variety of factors to be determined by us from time to time, which may include, among other things, market conditions, the trading price of our Common Stock, and determinations by us as to the appropriate sources of funding for our business and its operations.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the applicable rules of The Nasdaq Stock Market LLC (“Nasdaq”), in no event may we issue to New Circle under the ELOC Agreement more than 5,524,624 shares of Common Stock, which number of shares is equal to 19.99% of the aggregate number of Common Stock issued and outstanding as of the “Effective Date”, as such term is defined in the ELOC Agreement (the “Exchange Cap”), unless (i) we obtain stockholder approval to issue Common Stock in excess of the Exchange Cap in accordance with applicable Nasdaq rules, (ii) all applicable sales of Common Stock under the ELOC Agreement equal or exceed the “Minimum Price” (as such term is defined in Nasdaq Rule 5635), or (iii) as to any Purchase, the issuance of Common Stock pursuant to a Purchase Notice would be excluded from the Exchange Cap under Nasdaq rules (or interpretive guidance provided by Nasdaq with respect thereto). Moreover, we may not issue or sell any shares of Common Stock to New Circle under the ELOC Agreement which, when aggregated with all other shares of Common Stock then beneficially owned by New Circle and its affiliates (as calculated pursuant to Section 13(d) of the U.S. Securities Exchange Act of 1934, as amended (the “Exchange Act”), and Rule 13d-3 promulgated thereunder), would result in New Circle beneficially owning more than 4.99% of the outstanding voting power or shares of Common Stock (the “Ownership Limitation”) ; </w:t>
      </w:r>
      <w:r>
        <w:rPr>
          <w:rFonts w:ascii="Times New Roman;Times;Serif" w:hAnsi="Times New Roman;Times;Serif"/>
          <w:b w:val="false"/>
          <w:i/>
          <w:caps w:val="false"/>
          <w:smallCaps w:val="false"/>
          <w:sz w:val="20"/>
          <w:bdr w:val="single" w:sz="12" w:space="1" w:color="000000"/>
        </w:rPr>
        <w:t>provided,</w:t>
      </w:r>
      <w:r>
        <w:rPr>
          <w:rFonts w:ascii="Times New Roman;Times;Serif" w:hAnsi="Times New Roman;Times;Serif"/>
          <w:b w:val="false"/>
          <w:i w:val="false"/>
          <w:caps w:val="false"/>
          <w:smallCaps w:val="false"/>
          <w:sz w:val="20"/>
          <w:bdr w:val="single" w:sz="12" w:space="1" w:color="000000"/>
        </w:rPr>
        <w:t> that upon delivery of a written notice to the Company, New Circle may from time to time increase (with such increase not effective until the sixty-first (61st) day after delivery of such notice) the Ownership Limitation to 9.99%.</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net proceeds from sales, if any, under the ELOC Agreement to us will depend on the frequency and prices at which we sell shares to New Circle. We expect that any proceeds received by us from such sales to New Circle will be used for working capital and general corporate purposes. New Circle has agreed that it and its affiliates will not engage in any short sales of our Common Stock nor enter into any transaction that establishes a net short position in the Common Stock during the term of the ELOC Agreement. The ELOC Agreement will automatically terminate on the earlier to occur of (i) July 18, 2028 and (ii) the date on which New Circle shall have purchased from us under the ELOC Agreement that number of shares of Common Stock for an aggregate gross purchase price of $50 million. We have the right to terminate the ELOC Agreement at no cost or penalty upon five trading days’ prior written notice to New Circle; provided that there are no outstanding Purchase Notices and all outstanding amounts the Company owes to New Circle pursuant to the ELOC Agreement are repaid. We and New Circle may also agree to terminate the ELOC Agreement by mutual written consent. Neither we nor New Circle may assign or transfer our respective rights and obligations under the ELOC Agreement, and no provision of the ELOC Agreement may be modified or waived by us or New Circle other than by an instrument in writing signed by both parties.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ELOC Agreement contains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do not know what the purchase price for our Common Stock will be and therefore cannot be certain as to the number of shares we might issue to New Circle under the ELOC Agreement. Although the ELOC Agreement provides that we may sell up to $50 million shares of Common Stock to New Circle, only 5,524,624 shares of Common Stock are being registered for resale by New Circle under the registration statement of which this prospectus forms a part, which may be issued to New Circle from time to time, if and when we elect to sell shares to New Circle under the ELOC Agreement. As of the date hereof, we have not sold any shares of Common Stock to New Circle under the ELOC Agreement and up to $50 million shares of Common Stock may still be sold to New Circle.</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If and when we elect to issue and sell shares to New Circle under the ELOC Agreement, we may need to register for resale under the Securities Act additional shares of Common Stock in order to receive aggregate gross proceeds equal to the $50 million available to us under the ELOC Agreement, depending on market prices for our Common Stock. If all of the 5,524,624 shares offered by New Circle for resale under the registration statement of which this prospectus forms a part were issued and outstanding as of the date hereof (without taking into account the 4.99% Ownership Limitation or the 19.99% Exchange Cap limitation), such shares would represent approximately 5.25% of the total number of shares of Common Stock outstanding as of September 16, 2025. If we elect to issue and sell more than the 5,524,624 shares offered under this prospectus to New Circle, which we have the right, but not the obligation, to do, we must first register for resale under the Securities Act any such additional shares, which could cause substantial additional dilution to our stockholders. The number of shares ultimately offered for resale by New Circle is dependent upon the number of shares we may elect to sell to New Circle under the ELOC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There are substantial risks to our shareholders as a result of the sale and issuance of Common Stock to New Circle under the ELOC Agreement. These risks include the potential for substantial dilution and significant declines in our stock price. See the section entitled “Risk Factors—Risks Related to this Offering.” Issuances of our Common Stock in this offering will not affect the rights or privileges of our existing shareholders, except that the economic and voting interests of each of our existing shareholders will be diluted as a result of any such issuance. Although the number of shares of Common Stock that our existing shareholders own will not decrease as a result of sales, if any, under the ELOC Agreement to New Circle, the shares owned by our existing shareholders will represent a smaller percentage of our total outstanding shares after any such issuance to New Circle.</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an Emerging Growth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qualify as an “emerging growth company” as defined in Section 2(a)(19) of the Securities Act, as modified by the Jumpstart Our Business Startups Act of 2012, or the “JOBS Act.” As such, we will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November 23, 2025, the fifth anniversary of the closing of SUAC’s IPO, (b) in which we have total annual gross revenue of at least $1.07 billion or (c) in which the Company is deemed to be a large accelerated filer, which means the market value of our Common Stock that are held by non-affiliates exceeds $700 million as of the last business day of our prior second fiscal quarter, and (ii) the date on which we have issued more than $1.0 billion in non-convertible debt during the prior three-year period.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Section 107 of the JOBS Act also provides that an emerging growth company can take advantage of the exemption from complying with new or revised accounting standards provided in Section 7(a)(2)(B) of the Securities Act as long as it is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were formed as a Delaware corporation on February 27, 2024.</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 is located at 5661 S Cameron St, Suite 100, Las Vegas, Nevada 89118 and our telephone number is (303)-332-4122. Our website is https://daic.ai. The information found on, or that can be accessed from or that is hyperlinked to, our website is not part of this prospectus.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Risk Factors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 investment in our Common Stock involves substantial risk. The occurrence of one or more of the events or circumstances described in the section entitled “</w:t>
      </w:r>
      <w:r>
        <w:rPr>
          <w:rFonts w:ascii="Times New Roman;Times;Serif" w:hAnsi="Times New Roman;Times;Serif"/>
          <w:b w:val="false"/>
          <w:i/>
          <w:caps w:val="false"/>
          <w:smallCaps w:val="false"/>
          <w:sz w:val="20"/>
          <w:bdr w:val="single" w:sz="12" w:space="1" w:color="000000"/>
        </w:rPr>
        <w:t>Risk Factors,”</w:t>
      </w:r>
      <w:r>
        <w:rPr>
          <w:rFonts w:ascii="Times New Roman;Times;Serif" w:hAnsi="Times New Roman;Times;Serif"/>
          <w:b w:val="false"/>
          <w:i w:val="false"/>
          <w:caps w:val="false"/>
          <w:smallCaps w:val="false"/>
          <w:sz w:val="20"/>
          <w:bdr w:val="single" w:sz="12" w:space="1" w:color="000000"/>
        </w:rPr>
        <w:t xml:space="preserve">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have identified material weaknesses in our internal control over financial reporting and may identify additional material weaknesses in the future or fail to maintain an effective system of internal control over financial reporting.</w:t>
            </w:r>
          </w:p>
        </w:tc>
      </w:tr>
    </w:tbl>
    <w:p>
      <w:pPr>
        <w:pStyle w:val="TextBody"/>
        <w:bidi w:val="0"/>
        <w:spacing w:before="0" w:after="0"/>
        <w:ind w:left="765"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Our success and our ability to grow the Company’s business depends on retaining and expanding the Company’s customer base.</w:t>
            </w:r>
          </w:p>
        </w:tc>
      </w:tr>
    </w:tbl>
    <w:p>
      <w:pPr>
        <w:pStyle w:val="TextBody"/>
        <w:bidi w:val="0"/>
        <w:spacing w:before="0" w:after="0"/>
        <w:ind w:left="765" w:right="0" w:hanging="480"/>
        <w:jc w:val="both"/>
        <w:rPr>
          <w:caps w:val="false"/>
          <w:smallCaps w:val="false"/>
          <w:bdr w:val="single" w:sz="12" w:space="1" w:color="000000"/>
        </w:rPr>
      </w:pPr>
      <w:r>
        <w:rPr>
          <w:caps w:val="false"/>
          <w:smallCaps w:val="false"/>
          <w:bdr w:val="single" w:sz="12" w:space="1" w:color="000000"/>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7730" w:type="dxa"/>
            <w:tcBorders/>
            <w:vAlign w:val="center"/>
          </w:tcPr>
          <w:p>
            <w:pPr>
              <w:pStyle w:val="TableContents"/>
              <w:bidi w:val="0"/>
              <w:spacing w:before="0" w:after="283"/>
              <w:jc w:val="both"/>
              <w:rPr/>
            </w:pPr>
            <w:r>
              <w:rPr/>
              <w:t>We may be unable to maintain and enhance the Company’s brand and reputation.</w:t>
            </w:r>
          </w:p>
        </w:tc>
      </w:tr>
    </w:tbl>
    <w:p>
      <w:pPr>
        <w:pStyle w:val="TextBody"/>
        <w:bidi w:val="0"/>
        <w:spacing w:before="0" w:after="0"/>
        <w:ind w:left="765" w:right="0" w:hanging="480"/>
        <w:jc w:val="both"/>
        <w:rPr>
          <w:caps w:val="false"/>
          <w:smallCaps w:val="false"/>
          <w:bdr w:val="single" w:sz="12" w:space="1" w:color="000000"/>
        </w:rPr>
      </w:pPr>
      <w:r>
        <w:rPr>
          <w:caps w:val="false"/>
          <w:smallCaps w:val="false"/>
          <w:bdr w:val="single" w:sz="12" w:space="1" w:color="000000"/>
        </w:rPr>
        <w:t> </w:t>
      </w:r>
    </w:p>
    <w:tbl>
      <w:tblPr>
        <w:tblW w:w="4563" w:type="dxa"/>
        <w:jc w:val="left"/>
        <w:tblInd w:w="0" w:type="dxa"/>
        <w:tblLayout w:type="fixed"/>
        <w:tblCellMar>
          <w:top w:w="0" w:type="dxa"/>
          <w:left w:w="0" w:type="dxa"/>
          <w:bottom w:w="0" w:type="dxa"/>
          <w:right w:w="0" w:type="dxa"/>
        </w:tblCellMar>
      </w:tblPr>
      <w:tblGrid>
        <w:gridCol w:w="38"/>
        <w:gridCol w:w="17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355" w:type="dxa"/>
            <w:tcBorders/>
            <w:vAlign w:val="center"/>
          </w:tcPr>
          <w:p>
            <w:pPr>
              <w:pStyle w:val="TableContents"/>
              <w:bidi w:val="0"/>
              <w:spacing w:before="0" w:after="283"/>
              <w:jc w:val="both"/>
              <w:rPr/>
            </w:pPr>
            <w:r>
              <w:rPr/>
              <w:t>The Company has a limited operating history.</w:t>
            </w:r>
          </w:p>
        </w:tc>
      </w:tr>
    </w:tbl>
    <w:p>
      <w:pPr>
        <w:pStyle w:val="TextBody"/>
        <w:bidi w:val="0"/>
        <w:spacing w:before="0" w:after="0"/>
        <w:ind w:left="765"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Security incidents or real or perceived errors, failures or bugs in the Company’s systems or website could impair its business.</w:t>
            </w:r>
          </w:p>
        </w:tc>
      </w:tr>
    </w:tbl>
    <w:p>
      <w:pPr>
        <w:pStyle w:val="TextBody"/>
        <w:bidi w:val="0"/>
        <w:spacing w:before="0" w:after="0"/>
        <w:ind w:left="765" w:right="0" w:hanging="480"/>
        <w:jc w:val="both"/>
        <w:rPr>
          <w:caps w:val="false"/>
          <w:smallCaps w:val="false"/>
          <w:bdr w:val="single" w:sz="12" w:space="1" w:color="000000"/>
        </w:rPr>
      </w:pPr>
      <w:r>
        <w:rPr>
          <w:caps w:val="false"/>
          <w:smallCaps w:val="false"/>
          <w:bdr w:val="single" w:sz="12" w:space="1" w:color="000000"/>
        </w:rPr>
        <w:t> </w:t>
      </w:r>
    </w:p>
    <w:tbl>
      <w:tblPr>
        <w:tblW w:w="8493" w:type="dxa"/>
        <w:jc w:val="left"/>
        <w:tblInd w:w="0" w:type="dxa"/>
        <w:tblLayout w:type="fixed"/>
        <w:tblCellMar>
          <w:top w:w="0" w:type="dxa"/>
          <w:left w:w="0" w:type="dxa"/>
          <w:bottom w:w="0" w:type="dxa"/>
          <w:right w:w="0" w:type="dxa"/>
        </w:tblCellMar>
      </w:tblPr>
      <w:tblGrid>
        <w:gridCol w:w="38"/>
        <w:gridCol w:w="17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8285" w:type="dxa"/>
            <w:tcBorders/>
            <w:vAlign w:val="center"/>
          </w:tcPr>
          <w:p>
            <w:pPr>
              <w:pStyle w:val="TableContents"/>
              <w:bidi w:val="0"/>
              <w:spacing w:before="0" w:after="283"/>
              <w:jc w:val="both"/>
              <w:rPr/>
            </w:pPr>
            <w:r>
              <w:rPr/>
              <w:t>The Company’s management team has limited experience managing a public company.</w:t>
            </w:r>
          </w:p>
        </w:tc>
      </w:tr>
    </w:tbl>
    <w:p>
      <w:pPr>
        <w:pStyle w:val="TextBody"/>
        <w:bidi w:val="0"/>
        <w:spacing w:before="0" w:after="0"/>
        <w:ind w:left="765"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Company’s internal controls over financial reporting may not be effective and the Company’s independent registered public accounting firm may not be able to certify as to their effectiveness</w:t>
            </w:r>
          </w:p>
        </w:tc>
      </w:tr>
    </w:tbl>
    <w:p>
      <w:pPr>
        <w:pStyle w:val="TextBody"/>
        <w:bidi w:val="0"/>
        <w:spacing w:before="0" w:after="0"/>
        <w:ind w:left="765" w:right="0" w:hanging="48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You should carefully review and consider the risk factors set forth under the section entitled “</w:t>
      </w:r>
      <w:r>
        <w:rPr>
          <w:rFonts w:ascii="Times New Roman;Times;Serif" w:hAnsi="Times New Roman;Times;Serif"/>
          <w:b w:val="false"/>
          <w:i/>
          <w:caps w:val="false"/>
          <w:smallCaps w:val="false"/>
          <w:sz w:val="20"/>
          <w:bdr w:val="single" w:sz="12" w:space="1" w:color="000000"/>
        </w:rPr>
        <w:t>Risk Factors”.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5" w:name="a_004"/>
      <w:bookmarkEnd w:id="5"/>
      <w:r>
        <w:rPr>
          <w:rFonts w:ascii="Times New Roman;Times;Serif" w:hAnsi="Times New Roman;Times;Serif"/>
          <w:b/>
          <w:i w:val="false"/>
          <w:caps/>
          <w:sz w:val="20"/>
          <w:bdr w:val="single" w:sz="12" w:space="1" w:color="000000"/>
        </w:rPr>
        <w:t>THE OFFERING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372"/>
        <w:gridCol w:w="60"/>
        <w:gridCol w:w="7773"/>
      </w:tblGrid>
      <w:tr>
        <w:trPr/>
        <w:tc>
          <w:tcPr>
            <w:tcW w:w="2372" w:type="dxa"/>
            <w:tcBorders/>
            <w:vAlign w:val="center"/>
          </w:tcPr>
          <w:p>
            <w:pPr>
              <w:pStyle w:val="TableContents"/>
              <w:bidi w:val="0"/>
              <w:spacing w:before="0" w:after="283"/>
              <w:jc w:val="left"/>
              <w:rPr>
                <w:b/>
              </w:rPr>
            </w:pPr>
            <w:r>
              <w:rPr>
                <w:b/>
              </w:rPr>
              <w:t>Issuance of Common Stock</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jc w:val="both"/>
              <w:rPr/>
            </w:pPr>
            <w:r>
              <w:rPr/>
              <w:t> </w:t>
            </w:r>
          </w:p>
        </w:tc>
      </w:tr>
      <w:tr>
        <w:trPr/>
        <w:tc>
          <w:tcPr>
            <w:tcW w:w="2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ind w:left="0" w:right="0" w:hanging="180"/>
              <w:jc w:val="both"/>
              <w:rPr/>
            </w:pPr>
            <w:r>
              <w:rPr/>
              <w:t> </w:t>
            </w:r>
          </w:p>
        </w:tc>
      </w:tr>
      <w:tr>
        <w:trPr/>
        <w:tc>
          <w:tcPr>
            <w:tcW w:w="2372" w:type="dxa"/>
            <w:tcBorders/>
            <w:vAlign w:val="center"/>
          </w:tcPr>
          <w:p>
            <w:pPr>
              <w:pStyle w:val="TableContents"/>
              <w:bidi w:val="0"/>
              <w:spacing w:before="0" w:after="283"/>
              <w:jc w:val="left"/>
              <w:rPr/>
            </w:pPr>
            <w:r>
              <w:rPr/>
              <w:t>Shares of Common Stock offered by us</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14,999,983 shares of Common Stock that may be issued upon exercise of 14,999,983 Public Warrants.</w:t>
            </w:r>
          </w:p>
        </w:tc>
      </w:tr>
      <w:tr>
        <w:trPr/>
        <w:tc>
          <w:tcPr>
            <w:tcW w:w="2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jc w:val="left"/>
              <w:rPr/>
            </w:pPr>
            <w:r>
              <w:rPr/>
              <w:t> </w:t>
            </w:r>
          </w:p>
        </w:tc>
      </w:tr>
      <w:tr>
        <w:trPr/>
        <w:tc>
          <w:tcPr>
            <w:tcW w:w="2372" w:type="dxa"/>
            <w:tcBorders/>
            <w:vAlign w:val="center"/>
          </w:tcPr>
          <w:p>
            <w:pPr>
              <w:pStyle w:val="TableContents"/>
              <w:bidi w:val="0"/>
              <w:spacing w:before="0" w:after="283"/>
              <w:jc w:val="left"/>
              <w:rPr/>
            </w:pPr>
            <w:r>
              <w:rPr/>
              <w:t>Exercise price of Public Warrants</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jc w:val="both"/>
              <w:rPr>
                <w:sz w:val="20"/>
              </w:rPr>
            </w:pPr>
            <w:r>
              <w:rPr>
                <w:sz w:val="20"/>
              </w:rPr>
              <w:t>$11.50 per share, subject to adjustment as described herein.</w:t>
            </w:r>
          </w:p>
        </w:tc>
      </w:tr>
      <w:tr>
        <w:trPr/>
        <w:tc>
          <w:tcPr>
            <w:tcW w:w="2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jc w:val="both"/>
              <w:rPr/>
            </w:pPr>
            <w:r>
              <w:rPr/>
              <w:t> </w:t>
            </w:r>
          </w:p>
        </w:tc>
      </w:tr>
      <w:tr>
        <w:trPr/>
        <w:tc>
          <w:tcPr>
            <w:tcW w:w="2372" w:type="dxa"/>
            <w:tcBorders/>
            <w:vAlign w:val="center"/>
          </w:tcPr>
          <w:p>
            <w:pPr>
              <w:pStyle w:val="TableContents"/>
              <w:bidi w:val="0"/>
              <w:spacing w:before="0" w:after="283"/>
              <w:jc w:val="left"/>
              <w:rPr/>
            </w:pPr>
            <w:r>
              <w:rPr/>
              <w:t>Use of proceeds</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receive up to an aggregate of approximately $172,499,805 from the exercise of the Public Warrants, assuming the exercise in full of all of the Public Warrants for cash. Unless we inform you otherwise in a prospectus supplement or free writing prospectus, we intend to use the net proceeds from the exercise of the Public Warrants for general corporate purposes.</w:t>
            </w:r>
          </w:p>
        </w:tc>
      </w:tr>
      <w:tr>
        <w:trPr/>
        <w:tc>
          <w:tcPr>
            <w:tcW w:w="2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ind w:left="0" w:right="0" w:hanging="180"/>
              <w:jc w:val="left"/>
              <w:rPr/>
            </w:pPr>
            <w:r>
              <w:rPr/>
              <w:t> </w:t>
            </w:r>
          </w:p>
        </w:tc>
      </w:tr>
      <w:tr>
        <w:trPr/>
        <w:tc>
          <w:tcPr>
            <w:tcW w:w="2372" w:type="dxa"/>
            <w:tcBorders/>
            <w:vAlign w:val="center"/>
          </w:tcPr>
          <w:p>
            <w:pPr>
              <w:pStyle w:val="TableContents"/>
              <w:bidi w:val="0"/>
              <w:spacing w:before="0" w:after="283"/>
              <w:jc w:val="left"/>
              <w:rPr>
                <w:b/>
              </w:rPr>
            </w:pPr>
            <w:r>
              <w:rPr>
                <w:b/>
              </w:rPr>
              <w:t>Resale of Common Stock and Private Placement Warrants</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ind w:left="0" w:right="0" w:hanging="180"/>
              <w:jc w:val="left"/>
              <w:rPr/>
            </w:pPr>
            <w:r>
              <w:rPr/>
              <w:t> </w:t>
            </w:r>
          </w:p>
        </w:tc>
      </w:tr>
      <w:tr>
        <w:trPr/>
        <w:tc>
          <w:tcPr>
            <w:tcW w:w="2372" w:type="dxa"/>
            <w:tcBorders/>
            <w:vAlign w:val="center"/>
          </w:tcPr>
          <w:p>
            <w:pPr>
              <w:pStyle w:val="TableContents"/>
              <w:bidi w:val="0"/>
              <w:spacing w:before="0" w:after="283"/>
              <w:jc w:val="left"/>
              <w:rPr/>
            </w:pPr>
            <w:r>
              <w:rPr/>
              <w:t>Shares of Common Stock offered by the Selling Securityholders</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jc w:val="both"/>
              <w:rPr/>
            </w:pPr>
            <w:r>
              <w:rPr/>
              <w:t>Up to 29,701,559 shares of Common Stock, consisting of: (1) up to 11,522,565 shares of Common Stock issued to certain SEE ID equity holders as merger consideration pursuant to the Business Combination; (2) up to 7,365,834 Founder Shares; (3) up to 1,310,000 Private Placement Shares; (4) up to 3,323,536 PIPE Shares; (5) up to 5,524,624 New Circle Shares; and (6) up to 655,000 shares of Common Stock issuable upon exercise of the Private Placement Warrants.</w:t>
            </w:r>
          </w:p>
        </w:tc>
      </w:tr>
      <w:tr>
        <w:trPr/>
        <w:tc>
          <w:tcPr>
            <w:tcW w:w="2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ind w:left="0" w:right="0" w:hanging="180"/>
              <w:jc w:val="left"/>
              <w:rPr/>
            </w:pPr>
            <w:r>
              <w:rPr/>
              <w:t> </w:t>
            </w:r>
          </w:p>
        </w:tc>
      </w:tr>
      <w:tr>
        <w:trPr/>
        <w:tc>
          <w:tcPr>
            <w:tcW w:w="2372" w:type="dxa"/>
            <w:tcBorders/>
            <w:vAlign w:val="center"/>
          </w:tcPr>
          <w:p>
            <w:pPr>
              <w:pStyle w:val="TableContents"/>
              <w:bidi w:val="0"/>
              <w:spacing w:before="0" w:after="283"/>
              <w:jc w:val="left"/>
              <w:rPr/>
            </w:pPr>
            <w:r>
              <w:rPr/>
              <w:t>Private Placement Warrants to purchase Common Stock by the Selling Securityholders</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jc w:val="left"/>
              <w:rPr/>
            </w:pPr>
            <w:r>
              <w:rPr/>
              <w:t>Up to 655,000 Private Placement Warrants:</w:t>
            </w:r>
          </w:p>
        </w:tc>
      </w:tr>
      <w:tr>
        <w:trPr/>
        <w:tc>
          <w:tcPr>
            <w:tcW w:w="2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jc w:val="left"/>
              <w:rPr/>
            </w:pPr>
            <w:r>
              <w:rPr/>
              <w:t> </w:t>
            </w:r>
          </w:p>
        </w:tc>
      </w:tr>
      <w:tr>
        <w:trPr/>
        <w:tc>
          <w:tcPr>
            <w:tcW w:w="2372" w:type="dxa"/>
            <w:tcBorders/>
            <w:vAlign w:val="center"/>
          </w:tcPr>
          <w:p>
            <w:pPr>
              <w:pStyle w:val="TableContents"/>
              <w:bidi w:val="0"/>
              <w:spacing w:before="0" w:after="283"/>
              <w:jc w:val="left"/>
              <w:rPr/>
            </w:pPr>
            <w:r>
              <w:rPr/>
              <w:t>Use of proceeds</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jc w:val="both"/>
              <w:rPr/>
            </w:pPr>
            <w:r>
              <w:rPr/>
              <w:t>We will not receive any proceeds from the sale of the shares of Common Stock or Private Placement Warrants by the Selling Securityholders.</w:t>
            </w:r>
          </w:p>
        </w:tc>
      </w:tr>
      <w:tr>
        <w:trPr/>
        <w:tc>
          <w:tcPr>
            <w:tcW w:w="2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ind w:left="0" w:right="0" w:hanging="180"/>
              <w:jc w:val="both"/>
              <w:rPr/>
            </w:pPr>
            <w:r>
              <w:rPr/>
              <w:t> </w:t>
            </w:r>
          </w:p>
        </w:tc>
      </w:tr>
      <w:tr>
        <w:trPr/>
        <w:tc>
          <w:tcPr>
            <w:tcW w:w="2372" w:type="dxa"/>
            <w:tcBorders/>
            <w:vAlign w:val="center"/>
          </w:tcPr>
          <w:p>
            <w:pPr>
              <w:pStyle w:val="TableContents"/>
              <w:bidi w:val="0"/>
              <w:spacing w:before="0" w:after="283"/>
              <w:jc w:val="left"/>
              <w:rPr/>
            </w:pPr>
            <w:r>
              <w:rPr/>
              <w:t>Shares of Common Stock outstanding prior to exercise of all Warrants</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jc w:val="left"/>
              <w:rPr>
                <w:sz w:val="20"/>
              </w:rPr>
            </w:pPr>
            <w:r>
              <w:rPr>
                <w:sz w:val="20"/>
              </w:rPr>
              <w:t>27,773,322 shares (as of December 1, 2025).</w:t>
            </w:r>
          </w:p>
        </w:tc>
      </w:tr>
      <w:tr>
        <w:trPr/>
        <w:tc>
          <w:tcPr>
            <w:tcW w:w="2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ind w:left="0" w:right="0" w:hanging="180"/>
              <w:jc w:val="both"/>
              <w:rPr/>
            </w:pPr>
            <w:r>
              <w:rPr/>
              <w:t> </w:t>
            </w:r>
          </w:p>
        </w:tc>
      </w:tr>
      <w:tr>
        <w:trPr/>
        <w:tc>
          <w:tcPr>
            <w:tcW w:w="2372" w:type="dxa"/>
            <w:tcBorders/>
            <w:vAlign w:val="center"/>
          </w:tcPr>
          <w:p>
            <w:pPr>
              <w:pStyle w:val="TableContents"/>
              <w:bidi w:val="0"/>
              <w:spacing w:before="0" w:after="283"/>
              <w:jc w:val="left"/>
              <w:rPr/>
            </w:pPr>
            <w:r>
              <w:rPr/>
              <w:t>Shares of Common Stock outstanding assuming exercise of all Warrants</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jc w:val="both"/>
              <w:rPr>
                <w:sz w:val="20"/>
              </w:rPr>
            </w:pPr>
            <w:r>
              <w:rPr>
                <w:sz w:val="20"/>
              </w:rPr>
              <w:t>43,428,305 shares (as of December 1, 2025).</w:t>
            </w:r>
          </w:p>
        </w:tc>
      </w:tr>
      <w:tr>
        <w:trPr/>
        <w:tc>
          <w:tcPr>
            <w:tcW w:w="2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jc w:val="both"/>
              <w:rPr/>
            </w:pPr>
            <w:r>
              <w:rPr/>
              <w:t> </w:t>
            </w:r>
          </w:p>
        </w:tc>
      </w:tr>
      <w:tr>
        <w:trPr/>
        <w:tc>
          <w:tcPr>
            <w:tcW w:w="2372" w:type="dxa"/>
            <w:tcBorders/>
            <w:vAlign w:val="center"/>
          </w:tcPr>
          <w:p>
            <w:pPr>
              <w:pStyle w:val="TableContents"/>
              <w:bidi w:val="0"/>
              <w:spacing w:before="0" w:after="283"/>
              <w:jc w:val="left"/>
              <w:rPr/>
            </w:pPr>
            <w:r>
              <w:rPr/>
              <w:t>Restrictions to sell</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jc w:val="both"/>
              <w:rPr>
                <w:sz w:val="20"/>
              </w:rPr>
            </w:pPr>
            <w:r>
              <w:rPr>
                <w:sz w:val="20"/>
              </w:rPr>
              <w:t>Certain of our securityholders are subject to certain restrictions on transfer until the termination of applicable lockup periods. See the section entitled “</w:t>
            </w:r>
            <w:r>
              <w:rPr>
                <w:i/>
                <w:sz w:val="20"/>
              </w:rPr>
              <w:t>Plan of Distribution - Restrictions to Sell</w:t>
            </w:r>
            <w:r>
              <w:rPr>
                <w:sz w:val="20"/>
              </w:rPr>
              <w:t>.”</w:t>
            </w:r>
          </w:p>
        </w:tc>
      </w:tr>
      <w:tr>
        <w:trPr/>
        <w:tc>
          <w:tcPr>
            <w:tcW w:w="2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jc w:val="both"/>
              <w:rPr/>
            </w:pPr>
            <w:r>
              <w:rPr/>
              <w:t> </w:t>
            </w:r>
          </w:p>
        </w:tc>
      </w:tr>
      <w:tr>
        <w:trPr/>
        <w:tc>
          <w:tcPr>
            <w:tcW w:w="2372" w:type="dxa"/>
            <w:tcBorders/>
            <w:vAlign w:val="center"/>
          </w:tcPr>
          <w:p>
            <w:pPr>
              <w:pStyle w:val="TableContents"/>
              <w:bidi w:val="0"/>
              <w:spacing w:before="0" w:after="283"/>
              <w:jc w:val="left"/>
              <w:rPr/>
            </w:pPr>
            <w:r>
              <w:rPr/>
              <w:t>Risk factors</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jc w:val="both"/>
              <w:rPr>
                <w:sz w:val="20"/>
              </w:rPr>
            </w:pPr>
            <w:r>
              <w:rPr>
                <w:sz w:val="20"/>
              </w:rPr>
              <w:t>Any investment in the securities offered hereby is speculative and involves a high degree of risk. You should carefully consider the information set forth under “</w:t>
            </w:r>
            <w:r>
              <w:rPr>
                <w:i/>
                <w:sz w:val="20"/>
              </w:rPr>
              <w:t>Risk Factors</w:t>
            </w:r>
            <w:r>
              <w:rPr>
                <w:sz w:val="20"/>
              </w:rPr>
              <w:t>.”</w:t>
            </w:r>
          </w:p>
        </w:tc>
      </w:tr>
      <w:tr>
        <w:trPr/>
        <w:tc>
          <w:tcPr>
            <w:tcW w:w="2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jc w:val="both"/>
              <w:rPr/>
            </w:pPr>
            <w:r>
              <w:rPr/>
              <w:t> </w:t>
            </w:r>
          </w:p>
        </w:tc>
      </w:tr>
      <w:tr>
        <w:trPr/>
        <w:tc>
          <w:tcPr>
            <w:tcW w:w="2372" w:type="dxa"/>
            <w:tcBorders/>
            <w:vAlign w:val="center"/>
          </w:tcPr>
          <w:p>
            <w:pPr>
              <w:pStyle w:val="TableContents"/>
              <w:bidi w:val="0"/>
              <w:spacing w:before="0" w:after="283"/>
              <w:jc w:val="left"/>
              <w:rPr/>
            </w:pPr>
            <w:r>
              <w:rPr/>
              <w:t>Holders</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jc w:val="both"/>
              <w:rPr>
                <w:sz w:val="20"/>
              </w:rPr>
            </w:pPr>
            <w:r>
              <w:rPr>
                <w:sz w:val="20"/>
              </w:rPr>
              <w:t>As of December 1, 2025, there were approximately 284 holders of record of our Common Stock and approximately 4 holders of record of the Warrants. The number of holders of record does not include a substantially greater number of “street name” holders or beneficial holders whose Common Stock and Warrants are held of record by banks, brokers and other financial institutions.</w:t>
            </w:r>
          </w:p>
        </w:tc>
      </w:tr>
      <w:tr>
        <w:trPr/>
        <w:tc>
          <w:tcPr>
            <w:tcW w:w="2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jc w:val="both"/>
              <w:rPr/>
            </w:pPr>
            <w:r>
              <w:rPr/>
              <w:t> </w:t>
            </w:r>
          </w:p>
        </w:tc>
      </w:tr>
      <w:tr>
        <w:trPr/>
        <w:tc>
          <w:tcPr>
            <w:tcW w:w="2372" w:type="dxa"/>
            <w:tcBorders/>
            <w:vAlign w:val="center"/>
          </w:tcPr>
          <w:p>
            <w:pPr>
              <w:pStyle w:val="TableContents"/>
              <w:bidi w:val="0"/>
              <w:spacing w:before="0" w:after="283"/>
              <w:jc w:val="left"/>
              <w:rPr/>
            </w:pPr>
            <w:r>
              <w:rPr/>
              <w:t>Dividend Policy</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jc w:val="both"/>
              <w:rPr>
                <w:sz w:val="20"/>
              </w:rPr>
            </w:pPr>
            <w:r>
              <w:rPr>
                <w:sz w:val="20"/>
              </w:rPr>
              <w:t>We have no current plans to pay cash dividends.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shareholders or by our subsidiaries to us and such other factors as our board of directors may deem relevant.</w:t>
            </w:r>
          </w:p>
        </w:tc>
      </w:tr>
      <w:tr>
        <w:trPr/>
        <w:tc>
          <w:tcPr>
            <w:tcW w:w="2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spacing w:before="0" w:after="283"/>
              <w:jc w:val="both"/>
              <w:rPr/>
            </w:pPr>
            <w:r>
              <w:rPr/>
              <w:t> </w:t>
            </w:r>
          </w:p>
        </w:tc>
      </w:tr>
      <w:tr>
        <w:trPr/>
        <w:tc>
          <w:tcPr>
            <w:tcW w:w="2372" w:type="dxa"/>
            <w:tcBorders/>
            <w:vAlign w:val="center"/>
          </w:tcPr>
          <w:p>
            <w:pPr>
              <w:pStyle w:val="TableContents"/>
              <w:bidi w:val="0"/>
              <w:spacing w:before="0" w:after="283"/>
              <w:jc w:val="left"/>
              <w:rPr/>
            </w:pPr>
            <w:r>
              <w:rPr/>
              <w:t>Nasdaq ticker symbols</w:t>
            </w:r>
          </w:p>
        </w:tc>
        <w:tc>
          <w:tcPr>
            <w:tcW w:w="60" w:type="dxa"/>
            <w:tcBorders/>
            <w:vAlign w:val="center"/>
          </w:tcPr>
          <w:p>
            <w:pPr>
              <w:pStyle w:val="TableContents"/>
              <w:bidi w:val="0"/>
              <w:spacing w:before="0" w:after="283"/>
              <w:jc w:val="left"/>
              <w:rPr/>
            </w:pPr>
            <w:r>
              <w:rPr/>
              <w:t> </w:t>
            </w:r>
          </w:p>
        </w:tc>
        <w:tc>
          <w:tcPr>
            <w:tcW w:w="7773" w:type="dxa"/>
            <w:tcBorders/>
            <w:vAlign w:val="center"/>
          </w:tcPr>
          <w:p>
            <w:pPr>
              <w:pStyle w:val="TableContents"/>
              <w:bidi w:val="0"/>
              <w:jc w:val="left"/>
              <w:rPr/>
            </w:pPr>
            <w:r>
              <w:rPr/>
              <w:t>Common Stock: DAIC</w:t>
            </w:r>
          </w:p>
          <w:p>
            <w:pPr>
              <w:pStyle w:val="TableContents"/>
              <w:bidi w:val="0"/>
              <w:jc w:val="left"/>
              <w:rPr/>
            </w:pPr>
            <w:r>
              <w:rPr/>
              <w:t> </w:t>
            </w:r>
          </w:p>
          <w:p>
            <w:pPr>
              <w:pStyle w:val="TableContents"/>
              <w:bidi w:val="0"/>
              <w:spacing w:before="0" w:after="283"/>
              <w:jc w:val="left"/>
              <w:rPr/>
            </w:pPr>
            <w:r>
              <w:rPr/>
              <w:t>Warrants: DAICW</w:t>
            </w:r>
          </w:p>
        </w:tc>
      </w:tr>
    </w:tbl>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Investors should carefully consider the risks described below and all of the other information set forth in the registration statement of which this prospectus forms a part, including our financial statements and related notes and “Management’s Discussion and Analysis of Financial Condition and Results of Operations,” before deciding to invest in our Common Stock and Warrants. If any of the events or developments described below occur, our business, financial condition, or results of operations could be materially or adversely affected. As a result, the market price of our Common Stock and Warrants could decline, and investors could lose all or part of their investment. The risks and uncertainties described below are not the only risks and uncertainties that we face. Additional risks and uncertainties not presently known to us or that we currently deem immaterial may also impair our business operations. The risks discussed below also include forward-looking statements, and our actual results may differ substantially from those discussed in these forward-looking statements. See “Cautionary Notes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we will sell to New Circle under the ELOC Agreement, or the actual gross proceeds resulting from those sales. We may not have access to the full amount available under the ELOC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2025, we entered into the ELOC with the New Circle, pursuant to which the New Circle committed to purchase up to $50 million shares of Common Stock, subject to certain limitations and conditions set forth in the ELOC Agreement. The Common Stock that may be issued under the ELOC Agreement may be sold by us to New Circle at our discretion, from time to time, over a 36-month period commencing on the date of the ELOC Agreement. We generally have the right to control the timing and amount of any sales of our Common Stock to New Circle under the ELOC Agreement. Sales of our Common Stock to New Circle under the ELOC Agreement will depend upon market conditions as well as other factors to be determined by us. We may ultimately decide to sell to New Circle all or a portion of the shares of our Common Stock that may be available pursuant to the ELOC Agreement, or decide to terminate the ELOC Agreement or not sell to New Circle any Common Stock that may be available for us to sell to New Circle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purchase price per share to be paid by the New Circle for the shares of Common Stock that we may elect to sell to New Circle under the ELOC Agreement will fluctuate based on the market prices of our Common Stock during the applicable pricing period for each purchase, it is not possible for us to predict, as of the date of this prospectus, the number of Common Stock that we will sell to New Circle under the ELOC Agreement, the purchase price per share that the New Circle will pay for shares purchased from us under the ELOC Agreement, or the aggregate gross proceeds that we will receive from those purchases by the New Circle under the ELOC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ELOC Agreement provides that we may sell up to an aggregate of $50 million shares of Common Stock to the New Circle, only 5,524,624 shares of Common Stock that may be issued to the New Circle under the ELOC Agreement are being registered for resale by the New Circle under the registration statement that includes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sell to New Circle all of the 5,524,624 shares of Common Stock being registered for resale by the New Circle in the registration statement that includes this prospectus, depending on the market prices of our Common Stock during the applicable pricing period for each purchase made pursuant to the ELOC Agreement, the actual gross proceeds from the sale of all such shares may be substantially less than the $50 million total commitment originally available to us under the ELOC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it becomes necessary for us to issue and sell to New Circle under the ELOC Agreement more than the 5,524,624 shares of Common Stock being registered for resale under the registration statement that includes this prospectus, in order to receive aggregate gross proceeds equal to the total commitment of $50 million under the ELOC Agreement, we must file with the SEC one or more additional registration statements to register under the Securities Act the resale by the New Circle of any such additional shares of Common Stock we wish to sell from time to time under the ELOC Agreement, which the SEC must declare effective. We will need to obtain shareholder approval to issue Common Stock in excess of the Exchange Cap under the ELOC Agreement in accordance with the Nasdaq listing rules, unless the average per share purchase price paid by the New Circle for all shares of Common Stock sold under the ELOC Agreement equals or exceeds equal or exceed the average Nasdaq official closing price for the five (5) trading days immediately prior to the Effective Date of the ELOC Agreement, in which case, under the Nasdaq listing rules, the Exchange Cap limitation will not apply to issuances and sales of our Common Stock under the ELOC Agreement. In addition, the New Circle will not be required to purchase any shares of Common Stock if such sale would result in the New Circle’s beneficial ownership exceeding 4.99% of the then-outstanding voting power or shares of Common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upon delivery of a written notice to the Company, New Circle may from time to time increase (with such increase not effective until the sixty-first (61st) day after delivery of such notice) the Ownership Limitation to 9.99%. Any issuance and sale by us under the ELOC Agreement of a substantial amount of shares of our Common Stock in addition to the 5,524,624 shares of Common Stock being registered for resale by the New Circle under this prospectus could cause additional substantial dilution to our stockholders. The number of shares of Common Stock ultimately offered for resale by New Circle is dependent upon the number of shares of Common Stock we ultimately sell to New Circle under the ELOC Agreement. Our inability to access a portion or the full amount available under the ELOC Agreement, in the absence of any other financing sources,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shares at different times will likely pay different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ELOC Agreement, we will have discretion, subject to market demand, to vary the timing, prices, and numbers of shares sold to the New Circle. If and when we do elect to sell shares of Common Stock to the New Circle under the ELOC Agreement, after the New Circle has acquired such shares, the New Circle may resell all or a portion of such shares at any time or from time to time in its discretion and at different prices. As a result, investors who purchase shares from the New Circle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New Circle as a result of future sales made by us to the New Circle at prices lower than the prices such investors paid for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b/>
        </w:rPr>
      </w:pPr>
      <w:r>
        <w:rPr>
          <w:b/>
        </w:rPr>
        <w:t>We have identified material weaknesses in our internal control over financial reporting and may identify additional material weaknesses in the future or fail to maintain an effective system of internal control over financial reporting.</w:t>
      </w:r>
    </w:p>
    <w:p>
      <w:pPr>
        <w:pStyle w:val="TextBody"/>
        <w:bidi w:val="0"/>
        <w:jc w:val="both"/>
        <w:rPr/>
      </w:pPr>
      <w:r>
        <w:rPr/>
        <w:t> </w:t>
      </w:r>
    </w:p>
    <w:p>
      <w:pPr>
        <w:pStyle w:val="TextBody"/>
        <w:bidi w:val="0"/>
        <w:jc w:val="both"/>
        <w:rPr/>
      </w:pPr>
      <w:r>
        <w:rPr/>
        <w:t>Our management is responsible for establishing and maintaining adequate internal controls over financial reporting designed to provide reasonable assurance regarding the reliability of financial reporting and the preparation of financial statements for external purposes in accordance with U.S. GAAP. Our management is likewise required, on a quarterly basis, to evaluate the effectiveness of our internal controls and to disclose any changes and material weaknesses identified through such evaluation of those internal controls.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 For the quarter ended June 30, 2025, we identified the material weakness in our internal control over financial reporting related to the following as of June 30, 2025:</w:t>
      </w:r>
    </w:p>
    <w:p>
      <w:pPr>
        <w:pStyle w:val="TextBody"/>
        <w:bidi w:val="0"/>
        <w:jc w:val="both"/>
        <w:rPr/>
      </w:pPr>
      <w:r>
        <w:rPr/>
        <w:t> </w:t>
      </w:r>
    </w:p>
    <w:p>
      <w:pPr>
        <w:pStyle w:val="TextBody"/>
        <w:bidi w:val="0"/>
        <w:jc w:val="both"/>
        <w:rPr/>
      </w:pPr>
      <w:r>
        <w:rPr>
          <w:i/>
        </w:rPr>
        <w:t>Costs of Goods Sold</w:t>
      </w:r>
      <w:r>
        <w:rPr/>
        <w:t>. During the preparation of financial statements for the quarter ended June 30, 2025, management identified multiple costs that were improperly included in cost of goods sold in the prior quarter ended March 31, 2025. The root cause of the error was a lack of a preventative control designed to ensure proper categorization of expenses on purchase orders generated by our operating departments. Furthermore, the Company lacked a detective control designed to ensure finance department management analyzed the cost of goods sold period over period increases aligned with budgeted and actual level of production. Our failure to properly design and implement adequate controls over financial reporting resulted in a $310,160 overstatement of cost of goods sold and corresponding understatement of total operating expenses.</w:t>
      </w:r>
    </w:p>
    <w:p>
      <w:pPr>
        <w:pStyle w:val="TextBody"/>
        <w:bidi w:val="0"/>
        <w:jc w:val="both"/>
        <w:rPr/>
      </w:pPr>
      <w:r>
        <w:rPr/>
        <w:t> </w:t>
      </w:r>
    </w:p>
    <w:p>
      <w:pPr>
        <w:pStyle w:val="TextBody"/>
        <w:bidi w:val="0"/>
        <w:jc w:val="both"/>
        <w:rPr/>
      </w:pPr>
      <w:r>
        <w:rPr/>
        <w:t>‘</w:t>
      </w:r>
      <w:r>
        <w:rPr>
          <w:i/>
        </w:rPr>
        <w:t>Accounting Personnel and Financial Reporting Controls</w:t>
      </w:r>
      <w:r>
        <w:rPr/>
        <w:t>. Management also identified that the Company does not currently have adequate staffing in its accounting department and has not yet designed and implemented the appropriate processes and internal controls to support accurate and timely financial reporting, which (i) may restrict the Company’s ability to review and approve certain material journal entries which increases the likelihood that a material misstatement of interim or annual financial statements might not be prevented; and (ii) resulted in the Company’s inability to have proper segregation of duties between the preparation, review and approval of certain material reconciliations related to financial reporting in a timely manner.</w:t>
      </w:r>
    </w:p>
    <w:p>
      <w:pPr>
        <w:pStyle w:val="TextBody"/>
        <w:bidi w:val="0"/>
        <w:jc w:val="both"/>
        <w:rPr/>
      </w:pPr>
      <w:r>
        <w:rPr/>
        <w:t> </w:t>
      </w:r>
    </w:p>
    <w:p>
      <w:pPr>
        <w:pStyle w:val="TextBody"/>
        <w:bidi w:val="0"/>
        <w:jc w:val="both"/>
        <w:rPr/>
      </w:pPr>
      <w:r>
        <w:rPr>
          <w:i/>
        </w:rPr>
        <w:t>Fair Value Calculation Controls</w:t>
      </w:r>
      <w:r>
        <w:rPr/>
        <w:t>. In addition, management identified a material weakness in the design of internal controls related to the review of the fair value calculation of SAFE notes performed by a third-party valuation specialist. The controls lacked the precision needed to detect inappropriate inputs that could materially impact valuation.</w:t>
      </w:r>
    </w:p>
    <w:p>
      <w:pPr>
        <w:pStyle w:val="TextBody"/>
        <w:bidi w:val="0"/>
        <w:jc w:val="both"/>
        <w:rPr/>
      </w:pPr>
      <w:r>
        <w:rPr/>
        <w:t> </w:t>
      </w:r>
    </w:p>
    <w:p>
      <w:pPr>
        <w:pStyle w:val="TextBody"/>
        <w:bidi w:val="0"/>
        <w:jc w:val="both"/>
        <w:rPr/>
      </w:pPr>
      <w:r>
        <w:rPr/>
        <w:t>As a result of the identified material weakness, our management concluded that our internal controls over financial reporting was not effective as of June 30, 2025.</w:t>
      </w:r>
    </w:p>
    <w:p>
      <w:pPr>
        <w:pStyle w:val="TextBody"/>
        <w:bidi w:val="0"/>
        <w:jc w:val="both"/>
        <w:rPr/>
      </w:pPr>
      <w:r>
        <w:rPr/>
        <w:t> </w:t>
      </w:r>
    </w:p>
    <w:p>
      <w:pPr>
        <w:pStyle w:val="TextBody"/>
        <w:bidi w:val="0"/>
        <w:jc w:val="both"/>
        <w:rPr/>
      </w:pPr>
      <w:r>
        <w:rPr/>
        <w:t>To respond to the material weaknesses, we devoted significant effort and resources to the remediation and improvement of our internal controls over financial reporting, including enhancing the design and implementation of controls over the accounting for financial instruments and hiring additional qualified accounting personnel.</w:t>
      </w:r>
    </w:p>
    <w:p>
      <w:pPr>
        <w:pStyle w:val="TextBody"/>
        <w:bidi w:val="0"/>
        <w:jc w:val="both"/>
        <w:rPr/>
      </w:pPr>
      <w:r>
        <w:rPr/>
        <w:t> </w:t>
      </w:r>
    </w:p>
    <w:p>
      <w:pPr>
        <w:pStyle w:val="TextBody"/>
        <w:bidi w:val="0"/>
        <w:jc w:val="both"/>
        <w:rPr/>
      </w:pPr>
      <w:r>
        <w:rPr/>
        <w:t>Any failure to maintain such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ordinary shares is listed, the SEC or other regulatory authorities. In either case, there could result a material adverse effect on our business. Ineffective internal controls could also cause investors to lose confidence in our reported financial information, which could have a negative effect on the trading price of our ordinary shares.</w:t>
      </w:r>
    </w:p>
    <w:p>
      <w:pPr>
        <w:pStyle w:val="TextBody"/>
        <w:bidi w:val="0"/>
        <w:jc w:val="both"/>
        <w:rPr/>
      </w:pPr>
      <w:r>
        <w:rPr/>
        <w:t> </w:t>
      </w:r>
    </w:p>
    <w:p>
      <w:pPr>
        <w:pStyle w:val="TextBody"/>
        <w:bidi w:val="0"/>
        <w:jc w:val="both"/>
        <w:rPr/>
      </w:pPr>
      <w:r>
        <w:rPr/>
        <w:t>We can give no assurance that the measures we have taken will remediate the material weaknesses identified or that any additional material weaknesses will not arise in the future due to a failure to implement and maintain adequate internal controls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rapid growth makes it difficult to evaluate our future prospects and increases the risk that we will not continue to grow at or near historical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largely a pre-revenue company, with revenue of $172,661 and $439,640 for the fiscal years ended December 31, 2024 and 2023, respectively, and revenue of $1,257,813 and $183,631 for the nine-month periods ended September 30, 2025 and 2024, respectively. As a result, our ability to forecast our future results of operations is subject to a number of uncertainties, including our ability to effectively plan for and model future growth. Many factors may contribute to declines in our revenue growth rate, including increased competition, slowing demand for our solution from existing and new customers, a failure by us to continue capitalizing on growth opportunities, termination of contracts by our existing customers, and the maturation of our business, among others. Our recent and historical growth should not be considered indicative of our future performance. Even if our revenue continues to increase over the long term, we expect that our revenue growth rate will decline in the future as a result of a variety of factors, including the maturation of our business. We have encountered in the past, and will encounter in the future, risks and uncertainties frequently experienced by growing companies in rapidly changing industries.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financial condition, and results of operations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associated with the growth of our business in new use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most of our revenue has been derived from sales relating to research and development activities, including proof of concept demonstrations. For the first three quarters of 2025, we have invested in driving market demand through expansion of sales and marketing activities. We plan to expand the use cases of our solution, including those where we may have limited operating experience, and may be subject to increased business, technology, and economic risks that could affect our financial results. Entering new use cases and expanding in the use cases in which we are already operating will continue to require significant resources, and there is no guarantee that such efforts will be successful or beneficial to us. Historically, sales to a new customer have often led to additional sales to the same customer or similarly situated customers. To the extent we expand into and within new use cases that are regulated, we will likely face additional regulatory scrutiny, risks, and burdens from the governments and agencies which regulate those markets and industries. It is uncertain whether we will be able to achieve penetration and organic growth with respect to any new use cases that we pursue. Any failure to do so may harm our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manage our growth, our business and results of operations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and expect to continue to experience rapid growth, which has placed, and may continue to place, significant demands on our management, operational, and financial resources. For example, our headcount has grown from our 2 founding employees as of the last business day of the fiscal year ended December 31, 2020 to 30 employees as of the last business day of the fiscal quarter ended September 30, 2025. In addition, we have begun to cultivate channel partners to expand our operations globally and sell our products to customers in Asia and Europe in the short term, and we plan to continue to expand our operations internationally in the future. We have also experienced significant growth in the number of customers, connected assets, transactions, and data supported by our solution and our associated infrastructure, which has placed additional demands on our resources and operations. Our organizational structure is becoming more complex, and we need to scale and adapt our operational, financial, and management controls, as well as our reporting systems and procedures, to manage this complexity. We will require significant expenditures and the allocation of management resources to grow and change in these areas. If we fail to successfully manage our anticipated growth, the quality of our solutions may suffer, which could negatively affect our brand and reputation, harm our ability to retain and attract customers, and adversely impact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attract new customers, our future revenue and results of operations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in part, on our ability to attract new customers. Our ability to attract new customers will depend on the perceived benefits and pricing of our solution and the effectiveness of our sales and marketing efforts. Other factors, many of which are out of our control, may now or in the future impact our ability to attract new customers, including:</w:t>
      </w:r>
    </w:p>
    <w:p>
      <w:pPr>
        <w:pStyle w:val="TextBody"/>
        <w:bidi w:val="0"/>
        <w:spacing w:before="0" w:after="0"/>
        <w:ind w:left="760" w:right="0" w:hanging="480"/>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17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7295" w:type="dxa"/>
            <w:tcBorders/>
            <w:vAlign w:val="center"/>
          </w:tcPr>
          <w:p>
            <w:pPr>
              <w:pStyle w:val="TableContents"/>
              <w:bidi w:val="0"/>
              <w:spacing w:before="0" w:after="283"/>
              <w:jc w:val="both"/>
              <w:rPr/>
            </w:pPr>
            <w:r>
              <w:rPr/>
              <w:t>potential customers’ commitments to or preferences for their existing vendors</w:t>
            </w:r>
          </w:p>
        </w:tc>
      </w:tr>
    </w:tbl>
    <w:p>
      <w:pPr>
        <w:pStyle w:val="TextBody"/>
        <w:bidi w:val="0"/>
        <w:spacing w:before="0" w:after="0"/>
        <w:ind w:left="760" w:right="0" w:hanging="480"/>
        <w:jc w:val="both"/>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17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left"/>
              <w:rPr/>
            </w:pPr>
            <w:r>
              <w:rPr/>
              <w:t>actual or perceived switching costs</w:t>
            </w:r>
          </w:p>
        </w:tc>
      </w:tr>
    </w:tbl>
    <w:p>
      <w:pPr>
        <w:pStyle w:val="TextBody"/>
        <w:bidi w:val="0"/>
        <w:spacing w:before="0" w:after="0"/>
        <w:ind w:left="760" w:right="0" w:hanging="480"/>
        <w:jc w:val="left"/>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170"/>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pPr>
            <w:r>
              <w:rPr/>
              <w:t>potential customers’ inexperience with or reluctance to adopt our solutions in their physical operations;</w:t>
            </w:r>
          </w:p>
        </w:tc>
      </w:tr>
    </w:tbl>
    <w:p>
      <w:pPr>
        <w:pStyle w:val="TextBody"/>
        <w:bidi w:val="0"/>
        <w:spacing w:before="0" w:after="0"/>
        <w:ind w:left="760" w:right="0" w:hanging="480"/>
        <w:jc w:val="both"/>
        <w:rPr>
          <w:caps w:val="false"/>
          <w:smallCaps w:val="false"/>
        </w:rPr>
      </w:pPr>
      <w:r>
        <w:rPr>
          <w:caps w:val="false"/>
          <w:smallCaps w:val="false"/>
        </w:rPr>
        <w:t> </w:t>
      </w:r>
    </w:p>
    <w:tbl>
      <w:tblPr>
        <w:tblW w:w="7818" w:type="dxa"/>
        <w:jc w:val="left"/>
        <w:tblInd w:w="0" w:type="dxa"/>
        <w:tblLayout w:type="fixed"/>
        <w:tblCellMar>
          <w:top w:w="0" w:type="dxa"/>
          <w:left w:w="0" w:type="dxa"/>
          <w:bottom w:w="0" w:type="dxa"/>
          <w:right w:w="0" w:type="dxa"/>
        </w:tblCellMar>
      </w:tblPr>
      <w:tblGrid>
        <w:gridCol w:w="38"/>
        <w:gridCol w:w="170"/>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7610" w:type="dxa"/>
            <w:tcBorders/>
            <w:vAlign w:val="center"/>
          </w:tcPr>
          <w:p>
            <w:pPr>
              <w:pStyle w:val="TableContents"/>
              <w:bidi w:val="0"/>
              <w:spacing w:before="0" w:after="283"/>
              <w:jc w:val="both"/>
              <w:rPr/>
            </w:pPr>
            <w:r>
              <w:rPr/>
              <w:t>our failure to help potential customers successfully deploy and use our solutions;</w:t>
            </w:r>
          </w:p>
        </w:tc>
      </w:tr>
    </w:tbl>
    <w:p>
      <w:pPr>
        <w:pStyle w:val="TextBody"/>
        <w:bidi w:val="0"/>
        <w:spacing w:before="0" w:after="0"/>
        <w:ind w:left="760" w:right="0" w:hanging="480"/>
        <w:jc w:val="both"/>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38"/>
        <w:gridCol w:w="170"/>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8855" w:type="dxa"/>
            <w:tcBorders/>
            <w:vAlign w:val="center"/>
          </w:tcPr>
          <w:p>
            <w:pPr>
              <w:pStyle w:val="TableContents"/>
              <w:bidi w:val="0"/>
              <w:spacing w:before="0" w:after="283"/>
              <w:jc w:val="both"/>
              <w:rPr/>
            </w:pPr>
            <w:r>
              <w:rPr/>
              <w:t>our failure to develop or expand relationships with existing partners or to attract new partners;</w:t>
            </w:r>
          </w:p>
        </w:tc>
      </w:tr>
    </w:tbl>
    <w:p>
      <w:pPr>
        <w:pStyle w:val="TextBody"/>
        <w:bidi w:val="0"/>
        <w:spacing w:before="0" w:after="0"/>
        <w:ind w:left="760" w:right="0" w:hanging="480"/>
        <w:jc w:val="both"/>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3740" w:type="dxa"/>
            <w:tcBorders/>
            <w:vAlign w:val="center"/>
          </w:tcPr>
          <w:p>
            <w:pPr>
              <w:pStyle w:val="TableContents"/>
              <w:bidi w:val="0"/>
              <w:spacing w:before="0" w:after="283"/>
              <w:jc w:val="both"/>
              <w:rPr/>
            </w:pPr>
            <w:r>
              <w:rPr/>
              <w:t>our failure to expand into new markets;</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our failure to expand, retain, and motivate our engineering and research and development, sales and marketing, and other personnel;</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adoption of new, or the amendment of existing, laws, rules, or regulations that negatively impact the utility of, or that require difficult-to-implement changes to, our solutions; and</w:t>
            </w:r>
          </w:p>
        </w:tc>
      </w:tr>
    </w:tbl>
    <w:p>
      <w:pPr>
        <w:pStyle w:val="TextBody"/>
        <w:bidi w:val="0"/>
        <w:spacing w:before="0" w:after="0"/>
        <w:ind w:left="760" w:right="0" w:hanging="480"/>
        <w:jc w:val="both"/>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3380" w:type="dxa"/>
            <w:tcBorders/>
            <w:vAlign w:val="center"/>
          </w:tcPr>
          <w:p>
            <w:pPr>
              <w:pStyle w:val="TableContents"/>
              <w:bidi w:val="0"/>
              <w:spacing w:before="0" w:after="283"/>
              <w:jc w:val="both"/>
              <w:rPr/>
            </w:pPr>
            <w:r>
              <w:rPr/>
              <w:t>general macroeconomic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efforts to attract new customers are not successful, our business, financial condition, and results of operations will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retain and expand our relationships with existing customers, our financial position and results of operations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us to maintain or improve our results of operations, it is important that our customers renew their subscriptions to access our Dot Cloud SaaS platform when existing contract terms expire and that we expand our commercial relationships with our existing customers. Our contracts are typically for a subscription term of 3 to 5 years. However, our customers have no obligation to renew their subscriptions after the initial terms expire, and our customers might not renew their subscriptions for a similar contract period, with the same or greater economic terms, or at all. In the past, some of our customers have elected not to renew their subscriptions with us and it is difficult to accurately predict long-term customer retention, in part due to our limited experience with renewal cycles to date. Customers may choose not to renew their subscriptions for many reasons, including the belief that our solution is not required for their business needs or is otherwise not cost-effective, a desire to reduce discretionary spending, our discontinuation of a desired application or a belief that our competitors’ offerings provide better value. Additionally, our customers might not renew for reasons entirely out of our control, such as mergers and acquisitions affecting our customer base, the dissolution of their business or business segment utilizing our solution or an economic downturn affecting their industry. A decrease in our renewal rate would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 of our growth strategy is to sell subscriptions to our Dot Cloud SaaS platform and expand use cases with our existing customers. Our ability to sell subscriptions to our Dot Cloud SaaS platform will depend in significant part on our ability to anticipate industry evolution, practices and standards. Additionally, we will need to continue to enhance existing solutions and introduce new solutions and features on a timely basis to keep pace with technological developments both within our industry and in related industries, and to remain compliant with any federal, state, local, or foreign regulations that apply to us or our customers. However, we may prove unsuccessful either in developing new solutions or in expanding the set of third-party applications and devices with which our solutions integrate, particularly as we expand our solutions into use cases that have not been our historical focus and as we continue to refine our efforts to hire, develop, and retain engineering talent. In addition, the success of any enhancement or new solution depends on several factors, including the timely completion, introduction and market acceptance of the enhancement or solution. Any new solutions we develop or acquire might not be introduced in a timely or cost-effective manner and might not achieve the broad market acceptance necessary to generate significant revenue, particularly with respect to use cases that have not been our historical focus. If any of our competitors implements new technologies before we are able to implement them or better anticipates the innovation and integration opportunities in related industries, our business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part of our growth strategy is to sell additional subscriptions to existing customers as they increase their number of connected assets, such as vehicles, warehouses, and yards. However, our customers may not continue to grow and expand their operations, or may opt not to purchase additional subscriptions from us to cover their expanded operations. A decrease in our ability to sell additional subscriptions to our Dot Cloud SaaS platform to our existing customers could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estimates of market opportunity and forecasts of market growth included in this prospectus may prove to be inaccurate.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opportunity estimates and growth forecasts are subject to significant uncertainty and are based on assumptions and estimates that may not prove to be accurate. The estimates and forecasts in this prospectus relating to the size and expected growth of our target markets may prove to be inaccurate. Even if the markets in which we compete meet the size estimates and growth forecasted in this prospectus, we may not successfully penetrate these markets and our business could fail to grow at a similar pace,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successfully execute our strategic initiatives or meet our long-term financial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part of our business strategy is to focus on long-term growth over short-term financial results. We expect to continue making significant expenditures on engineering talent, sales, hiring and marketing efforts and expenditures to develop new features, integrations, capabilities, and enhancements to our solution and further expand the use cases addressed by our solutions. We have been engaged in strategic initiatives to expand the scope of our core business to improve long-term stockholder value, to improve our cost structure and efficiency, and to increase our selling efforts and develop new business. We may not be able to successfully execute these or other strategic initiatives or execute these initiatives on our expected timetable. If we are not successful in expanding our use cases and obtaining operational efficiencies, our business, financial condition, and results of operations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dependence on a limited number of joint design manufacturers and suppliers of manufacturing services and critical components within our supply chain for our IoT devices may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devices are made using an outsourced manufacturing business model that utilizes joint design manufacturers. We depend on a limited number of joint design manufacturers to allocate sufficient manufacturing capacity to meet our needs, to produce devices, or components thereof, of acceptable quality at acceptable yields, and to deliver those devices or components to us on a timely basis. We are subject to the risk of shortages and long lead times in the supply of these devices and components. In addition, the lead times associated with certain components are lengthy and preclude rapid changes in quantities and delivery schedules. We may in the future experience component shortages, and the predictability of the availability of these components may be limited. We cannot assure you that our inventory will be sufficient for our needs or that future disruptions to our supply of devices or materials will not occur. Any delay in the shipment of devices or any other necessary materials delays our ability to recognize revenue for subscriptions purchased by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some of our suppliers, joint design manufacturers, and logistics providers may have more established relationships with larger volume device manufacturers, and as a result of such relationships, such suppliers may choose to limit or terminate their relationship with us. Developing suitable alternate sources of supply for these devices and components may be time-consuming, difficult, and costly, and we may not be able to source these devices and components on terms that are favorable to us, or at all, which may adversely affect our ability to meet our requirements or provide our customers with needed devices in a timely or cost-effective manner. Because our customers often must install devices before being able to fully utilize our Dot Cloud SaaS platform, any interruption or delay in the supply of any of these devices or components, or the inability to obtain these devices or components from alternate sources at acceptable prices and within a reasonable amount of time, would harm our ability to onboard new customers. In addition, increased device or component costs would negatively impact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dependence on a key supplier in Israel and the possibility of having to switch suppliers may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key component for one of our products that is made and supported in Israel. While this supplier has remained stable for us to date, there is a risk that the situation may change. We have developed an alternative path that we can use to obtain similar functionality, but switching costs include delays in delivery and some feature disruption in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able to develop and timely introduce new solutions and features for our Dot Cloud SaaS platform that achieve market acceptance, keep pace with technological developments, and meet emerging regulatory requirements, our business, financial condition, and results of operations would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increase revenue from existing customers depends in large part on our ability to enhance and improve our existing solutions and to introduce compelling new solutions and features that reflect the changing nature of our customers’ needs and the regulations to which they are subject. The success of any enhancement to our Dot Cloud SaaS platform depends on several factors, including timely completion and delivery, competitive pricing, adequate quality testing, integration with existing technologies, and overall market acceptance. Factors outside of our control, such as developing laws and regulations, regulatory orders, competitive product offerings, and changes in demand for our solution may also materially impact the successful implementation of new solutions. Any new solution that we develop may not be introduced in a timely or cost-effective manner, may contain bugs or other defects, or may not achieve the market acceptance necessary to generate significant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development of new solutions can be difficult, time-consuming and costly. There are inherent risks and uncertainties associated with offering new solutions, especially when new markets are not fully developed, related technology standards are not mature, or when the laws and regulations regarding a new solution are evolving. If we are unable to successfully develop and timely introduce new solutions, enhance our existing Dot Cloud SaaS platform to meet customer requirements, or otherwise gain market acceptance, our business, financial condition, and results of operations would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sales pipeline is immature, and as such, revenue forecasts and projections are likely to be unstable through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typical sales cycles to be nine to twelve months for most of our opportunities and are only six months into an aggressive pivot to active sales and marketing. As such, revenue forecasts and projections are likely to be unstable through fiscal year 2025, as we mature our best opportunities and add depth to our pipeline. While we will provide our best forecast and communicate changes as they occur, investors should be warned that this instability in revenue is the nature of emerging from a startup mode into a more mature growth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length of our sales cycle can be unpredictable, particularly with respect to sales to large customers, and our sales efforts may require considerable time and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exactly when, or even if, we will make a sale to a potential customer or if we can increase sales to our existing customers. Customers with substantial or complex organizations may choose to deploy our solutions in large increments on a periodic basis. Accordingly, customers may purchase subscriptions for significant dollar amounts on an irregular and unpredictable basis. Because of our limited operating history and the nature of our business, we cannot predict the timing or cost of these sales and deployment cycles. Variations in the sales cycles among our customers based on the size and complexity of their operations, as well as the possibility that customers may purchase new subscriptions sporadically with short lead times, which may adversely impact our ability to anticipate the timing and amount of revenue and contract value from new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part of our strategy is to target sales to larger customers. Sales to larger customers involve risks that may not be present or that are present to a lesser extent with sales to smaller organizations, such as longer sales cycles (which typically last several months and in some cases have exceeded one year), more complex customer product requirements and expectations related to invoicing and payment terms, substantial upfront sales costs, and less predictability in completing some of our sales. For example, large customers may require considerable time to evaluate and test our solution prior to purchasing a subscription. A number of factors influence the length and variability of our sales cycle, including the need to educate potential customers about the uses and benefits of our solution, the discretionary nature of purchasing and budget cycles, the competitive nature of evaluation and purchasing approval processes, the customer’s contemplated use case, the specific deployment plan of each customer, the complexity of the customer’s organization, and the difficulty of such deployment, as well as whether a sale is made directly by us or through other partners. Moreover, large customers often begin to deploy our solution on a limited basis but nevertheless may require a greater level of support from our customer support personnel and negotiate pricing discounts, which increases our upfront investment in the sales effort with no guarantee that sales to these customers will justify our substantial upfront investment. If we fail to effectively manage these risks associated with sales cycles, sales timing uncertainty, sales to large customers and collection of payment from our customers, our business, financial condition, and results of operations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adapt and respond effectively to rapidly changing technology, evolving industry standards, changing regulations, or changing customer needs, requirements or preferences, our Dot Cloud SaaS platform may become less competitive.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industries in which we participate are subject to rapid technological change. The introduction of new technologies will continue to have a significant effect on competitive conditions to which we are subject. In order to continue to provide value for our customers, we must offer innovative solutions that allow our customers to track and manage their equipment, employees, sites and other connected assets on a timely basis. Certain technologies and industry developments may negatively impact our ability to compete within certain industry segments. If we are unable to develop new solutions that provide utility to our customers and provide enhancements and new features for our existing solutions that keep pace with rapid technological and regulatory change, our revenues and results of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keep pace with technological and competitive developments, we have in the past invested, and may continue to invest, in complementary businesses, technologies, products, services, and other assets that expand the solutions that we can offer our customers. We may make these investments without being certain that they will result in products or enhancements that will be accepted by existing or prospective customers or that will achieve market acceptance. If we are unable to successfully enhance our Dot Cloud SaaS platform to meet evolving customer requirements, increase adoption and use cases of our solution, and develop new solutions and features, then our business, financial condition, and results of operations would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industry standards and technology developed and maintained outside of our control. For example, many of our solutions depend on cellular, GPS, and Wi-Fi technology and are built upon such technologies. We do not control the development of such technologies, and so it may be possible in the future that the components of the underlying technologies that interface with or are built into our solution develop in ways that are not beneficial to our growth and technological capabilities. If these technologies do not continue to be improved or are replaced with alternative technologies that we do not effectively adapt to, our ability to innovate may be diminished and our market appeal and value to customers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intense and increasing competition, and we may not be able to compete effectively, which could reduce demand for our solution and adversely affect our business, revenue growth, and market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the solutions and use cases for which we compete are new and rapidly evolving. Our historical competition has been specific to the individual solution sets that we target, or specific to operational groupings. For example, certain of our solution compete with historical RFID and Barcode companies such as Zebra, Honeywell, Smartrac and HID Global.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these markets is based on several factors, including the comprehensiveness of a solution; feature set breadth and extensibility; analytical capability; ease of adoption; platform reliability, security and scalability; customer support; ability to realize cost savings; brand awareness and reputation; and the strength of sales, marketing and channel partnerships.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competitors may have greater financial resources, greater brand recognition, larger sales forces and marketing budgets than us, as well as broader distribution networks. Large corporations, in particular, may be able to utilize their distribution networks and existing relationships to offer new solutions, in addition to solutions in other verticals already being provided to customers. We expect additional competition as our market grows and rapidly changes, and we may choose to enter or expand into new markets as well. We expect competition to increase as other established and emerging companies enter the markets in which we compete, as customer requirements evolve and as new products and services and technologies are introduced. Certain of our current and potential competitors have longer operating histories, significantly greater financial, technical, marketing, distribution, professional services, or other resources and greater name recognition than we do. In addition, certain of our current and potential competitors have strong relationships with current and potential customers and extensive knowledge of industries with physical operations. As a result, our current and potential competitors may be able to respond more quickly and effectively than we can to new or changing opportunities, technologies, standards, or customer requirements or devote greater resources than we can to the development, promotion, and sale of their products and services. Moreover, certain of these companies are bundling their products and services into larger deals or subscription renewals, often at significant discounts as part of a larger sale. In addition, some current and potential competitors may offer products or services that address one or a limited number of functions at lower prices or with greater depth than our solution. Our current and potential competitors may develop and market new technologies with comparable functionality to our solution. As a result, we may experience reduced gross margins, longer sales cycles, and loss of market share. This could lead us to decrease prices, implement alternative pricing structures, or introduce products and services available for free or a nominal price in order to remain competitive. We may not be able to compete successfully against current and future competitors, and our business, financial condition, and results of operations will be harmed if we fail to meet these competitive pressures.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current and future competitors may also make strategic acquisitions or establish cooperative relationships among themselves or with others, including our current or future channel partners, OEM partners, and other strategic technology companies. By doing so, these competitors may increase their ability to meet the needs of our existing or potential customers. In addition, our current or prospective indirect sales channel partners may establish cooperative relationships with our current or future competitors. These relationships may limit our ability to sell or certify our solution through specific distributors, technology providers, database companies, and distribution channels and allow our competitors to rapidly gain significant market share. These developments could limit our ability to obtain revenue from existing and new customers. If we are unable to compete successfully against current and future competitors, our business, financial condition, and results of operations would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develop devices that are compatible with third-party hardware, software and infrastructure, including the many evolving wireless industry standards, our ability to introduce and sell new subscriptions to access our Dot Cloud SaaS platform could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support customers’ adoption of our Dot Cloud SaaS platform, we develop devices that are compatible with a wide variety of hardware, software and infrastructure. Not only must we ensure our devices are compatible with applications and technologies developed by our partners and vendors, but we must also ensure that our devices can interface with third-party hardware, software or infrastructure that our customers may choose to adopt. To the extent that a third party were to develop software applications or devices that compete with ours, that provider may choose not to support our solution. In particular, our ability to accurately anticipate evolving wireless technology standards and ensure that our devices comply with these standards in relevant respects is critical to the functionality of our devices. Any failure of our devices to be compatible or comply with the hardware, software, or infrastructure — including wireless communications standards — utilized by our customers could prevent or delay their implementation of our Dot Cloud SaaS platform and require costly and time-consuming engineering changes. Additionally, if an insufficient number of wireless operators or subscribers adopt the standards to which we design our devices, our ability to introduce and sell subscriptions to our Dot Cloud SaaS platform would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competitive position of our Dot Cloud SaaS platform depends in part on its ability to operate with a wide variety of data sources and infrastructure, and if we are not successful in maintaining and expanding the compatibility of our solutions with such data sources and infrastructure, our business, financial condition, and results of operations could be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competitive position of our Dot Cloud SaaS platform depends in part on its ability to operate with a wide array of physical sensors and devices — including devices manufactured by us and by third parties, other software and database technologies, and communications, networking, computing and other infrastructure. As such, we must continuously modify and enhance our Dot Cloud SaaS platform to be compatible with evolving hardware, software, and infrastructure that are used by our current and potential partners, vendors and customers. In the future, one or more technology companies may choose not to support the interoperation of their hardware, software, or infrastructure with solutions such as ours, or our solutions may not otherwise support the capabilities needed to operate with such hardware, software, or infrastructure. We intend to facilitate the compatibility of our Dot Cloud SaaS platform with a wide variety of hardware, software, and infrastructure by maintaining and expanding our business and technical relationships. If we are not successful in achieving this goal, our business, financial condition, and results of operations could be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grow our business is dependent in part on strategic relationships we develop and maintain with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ability to increase our sales depends in part on maintaining and strengthening relationships with parties such as channel partners, OEM partners, and other strategic technology companies. Once a relationship is established, we likely will dedicate significant time and resources to it in an effort to advance our business interests, and there is no assurance that any strategic relationship will achieve our business purposes or that the resources we use to develop the relationship will be cost-effective. Parties with whom we establish strategic relationships also work with companies that compete with us. We have limited, if any, control as to whether these parties devote adequate resources to our strategic relationships. Further, companies with whom we maintain strategic relationships may de-emphasize their dealings with us or become competitors in the future. We also have limited, if any, control as to other business activities of these parties and we could experience reputational harm because of our association with such parties if they fail to execute on business initiatives, are accused of breaking the law or suffer reputational harm for other reasons. All of these factors could materially and adversely impact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our subscription or pricing models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price for subscriptions to access our Dot Cloud SaaS platform may decline for a variety of reasons, including competitive pricing pressures, discounts, anticipation of the introduction of new solutions and features, changes in pricing models for existing solutions and access to our solutions (including changes as to the timing of customers’ payments over the course of their subscriptions) or promotional programs. As we expand our offerings, new competitors introduce new solutions or services that compete with ours, or we enter into new international markets, we may be unable to attract new customers using the same pricing models as we have historically used. Larger competitors, including new entrants to our market, may reduce the price of offerings that compete with ours or may bundle them with other offerings and provide them for free. Any decrease in the sales prices for access to our Dot Cloud SaaS platform, without a corresponding decrease in costs or increase in sales volume, would adversely affect our revenue and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have difficulty determining the appropriate price structure for new solutions. Regardless of the pricing model used, larger customers may demand higher price discounts than have been given in the past, or are given to other customers. As a result, we may be required to reduce our prices, offer shorter contract durations or offer alternative pricing models. If we do not maintain our prices and gross profits at levels that will allow us to achieve and maintain profitability, our business, financial condition, and results of operations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results of operations and our business metrics are likely to fluctuate significantly on a quarterly basis in future periods and may not fully reflect the underlying performance of our business, which makes our future results difficult to predict and could cause our results of operations to fall below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and business metrics have fluctuated from quarter-to-quarter in the past and may continue to vary significantly in the future so that period-to-period comparisons of our results of operations and business metrics may not be meaningful. Accordingly, our financial results in any one quarter should not be relied upon as indicative of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results of operations and business metrics may fluctuate as a result of a variety of factors, many of which are outside of our control, may be difficult to predict, and may or may not fully reflect the underlying performance of our business. Among the factors that may cause fluctuations in our quarterly financial results and our business metrics are those listed below:</w:t>
      </w:r>
    </w:p>
    <w:p>
      <w:pPr>
        <w:pStyle w:val="TextBody"/>
        <w:bidi w:val="0"/>
        <w:spacing w:before="0" w:after="0"/>
        <w:ind w:left="760" w:right="0" w:hanging="480"/>
        <w:jc w:val="left"/>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pPr>
            <w:r>
              <w:rPr/>
              <w:t>Our ability to attract new customers, particularly large customers;</w:t>
            </w:r>
          </w:p>
        </w:tc>
      </w:tr>
    </w:tbl>
    <w:p>
      <w:pPr>
        <w:pStyle w:val="TextBody"/>
        <w:bidi w:val="0"/>
        <w:spacing w:before="0" w:after="0"/>
        <w:ind w:left="760" w:right="0" w:hanging="480"/>
        <w:jc w:val="both"/>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17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6995" w:type="dxa"/>
            <w:tcBorders/>
            <w:vAlign w:val="center"/>
          </w:tcPr>
          <w:p>
            <w:pPr>
              <w:pStyle w:val="TableContents"/>
              <w:bidi w:val="0"/>
              <w:spacing w:before="0" w:after="283"/>
              <w:jc w:val="both"/>
              <w:rPr/>
            </w:pPr>
            <w:r>
              <w:rPr/>
              <w:t>Our ability to retain and expand our relationships with existing customers;</w:t>
            </w:r>
          </w:p>
        </w:tc>
      </w:tr>
    </w:tbl>
    <w:p>
      <w:pPr>
        <w:pStyle w:val="TextBody"/>
        <w:bidi w:val="0"/>
        <w:spacing w:before="0" w:after="0"/>
        <w:ind w:left="760" w:right="0" w:hanging="48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17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7595" w:type="dxa"/>
            <w:tcBorders/>
            <w:vAlign w:val="center"/>
          </w:tcPr>
          <w:p>
            <w:pPr>
              <w:pStyle w:val="TableContents"/>
              <w:bidi w:val="0"/>
              <w:spacing w:before="0" w:after="283"/>
              <w:jc w:val="both"/>
              <w:rPr/>
            </w:pPr>
            <w:r>
              <w:rPr/>
              <w:t>Our ability to successfully expand our business domestically and internationally;</w:t>
            </w:r>
          </w:p>
        </w:tc>
      </w:tr>
    </w:tbl>
    <w:p>
      <w:pPr>
        <w:pStyle w:val="TextBody"/>
        <w:bidi w:val="0"/>
        <w:spacing w:before="0" w:after="0"/>
        <w:ind w:left="760" w:right="0" w:hanging="480"/>
        <w:jc w:val="both"/>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170"/>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7280" w:type="dxa"/>
            <w:tcBorders/>
            <w:vAlign w:val="center"/>
          </w:tcPr>
          <w:p>
            <w:pPr>
              <w:pStyle w:val="TableContents"/>
              <w:bidi w:val="0"/>
              <w:spacing w:before="0" w:after="283"/>
              <w:jc w:val="both"/>
              <w:rPr/>
            </w:pPr>
            <w:r>
              <w:rPr/>
              <w:t>Our ability to gain new channel partners and retain existing channel partners;</w:t>
            </w:r>
          </w:p>
        </w:tc>
      </w:tr>
    </w:tbl>
    <w:p>
      <w:pPr>
        <w:pStyle w:val="TextBody"/>
        <w:bidi w:val="0"/>
        <w:spacing w:before="0" w:after="0"/>
        <w:ind w:left="760" w:right="0" w:hanging="480"/>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7250" w:type="dxa"/>
            <w:tcBorders/>
            <w:vAlign w:val="center"/>
          </w:tcPr>
          <w:p>
            <w:pPr>
              <w:pStyle w:val="TableContents"/>
              <w:bidi w:val="0"/>
              <w:spacing w:before="0" w:after="283"/>
              <w:jc w:val="both"/>
              <w:rPr/>
            </w:pPr>
            <w:r>
              <w:rPr/>
              <w:t>Our ability to attract and retain key employees and other qualified personnel;</w:t>
            </w:r>
          </w:p>
        </w:tc>
      </w:tr>
    </w:tbl>
    <w:p>
      <w:pPr>
        <w:pStyle w:val="TextBody"/>
        <w:bidi w:val="0"/>
        <w:spacing w:before="0" w:after="0"/>
        <w:ind w:left="760" w:right="0" w:hanging="480"/>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17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7535" w:type="dxa"/>
            <w:tcBorders/>
            <w:vAlign w:val="center"/>
          </w:tcPr>
          <w:p>
            <w:pPr>
              <w:pStyle w:val="TableContents"/>
              <w:bidi w:val="0"/>
              <w:spacing w:before="0" w:after="283"/>
              <w:jc w:val="both"/>
              <w:rPr/>
            </w:pPr>
            <w:r>
              <w:rPr/>
              <w:t>Fluctuations in the growth rate of the overall market that our solution addresses;</w:t>
            </w:r>
          </w:p>
        </w:tc>
      </w:tr>
    </w:tbl>
    <w:p>
      <w:pPr>
        <w:pStyle w:val="TextBody"/>
        <w:bidi w:val="0"/>
        <w:spacing w:before="0" w:after="0"/>
        <w:ind w:left="760" w:right="0" w:hanging="480"/>
        <w:jc w:val="both"/>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17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310" w:type="dxa"/>
            <w:tcBorders/>
            <w:vAlign w:val="center"/>
          </w:tcPr>
          <w:p>
            <w:pPr>
              <w:pStyle w:val="TableContents"/>
              <w:bidi w:val="0"/>
              <w:spacing w:before="0" w:after="283"/>
              <w:jc w:val="both"/>
              <w:rPr/>
            </w:pPr>
            <w:r>
              <w:rPr/>
              <w:t>Our ability to effectively manage our growth;</w:t>
            </w:r>
          </w:p>
        </w:tc>
      </w:tr>
    </w:tbl>
    <w:p>
      <w:pPr>
        <w:pStyle w:val="TextBody"/>
        <w:bidi w:val="0"/>
        <w:spacing w:before="0" w:after="0"/>
        <w:ind w:left="760" w:right="0" w:hanging="480"/>
        <w:jc w:val="both"/>
        <w:rPr>
          <w:caps w:val="false"/>
          <w:smallCaps w:val="false"/>
        </w:rPr>
      </w:pPr>
      <w:r>
        <w:rPr>
          <w:caps w:val="false"/>
          <w:smallCaps w:val="false"/>
        </w:rPr>
        <w:t> </w:t>
      </w:r>
    </w:p>
    <w:tbl>
      <w:tblPr>
        <w:tblW w:w="3903" w:type="dxa"/>
        <w:jc w:val="left"/>
        <w:tblInd w:w="0" w:type="dxa"/>
        <w:tblLayout w:type="fixed"/>
        <w:tblCellMar>
          <w:top w:w="0" w:type="dxa"/>
          <w:left w:w="0" w:type="dxa"/>
          <w:bottom w:w="0" w:type="dxa"/>
          <w:right w:w="0" w:type="dxa"/>
        </w:tblCellMar>
      </w:tblPr>
      <w:tblGrid>
        <w:gridCol w:w="38"/>
        <w:gridCol w:w="17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3695" w:type="dxa"/>
            <w:tcBorders/>
            <w:vAlign w:val="center"/>
          </w:tcPr>
          <w:p>
            <w:pPr>
              <w:pStyle w:val="TableContents"/>
              <w:bidi w:val="0"/>
              <w:spacing w:before="0" w:after="283"/>
              <w:jc w:val="both"/>
              <w:rPr/>
            </w:pPr>
            <w:r>
              <w:rPr/>
              <w:t>Fluctuations in the mix of our revenue;</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amount and timing of operating expenses related to the maintenance and expansion of our business and operations, including continued investments in sales and marketing, research and development and general and administrative resources;</w:t>
            </w:r>
          </w:p>
        </w:tc>
      </w:tr>
    </w:tbl>
    <w:p>
      <w:pPr>
        <w:pStyle w:val="TextBody"/>
        <w:bidi w:val="0"/>
        <w:spacing w:before="0" w:after="0"/>
        <w:ind w:left="760" w:right="0" w:hanging="480"/>
        <w:jc w:val="both"/>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17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6320" w:type="dxa"/>
            <w:tcBorders/>
            <w:vAlign w:val="center"/>
          </w:tcPr>
          <w:p>
            <w:pPr>
              <w:pStyle w:val="TableContents"/>
              <w:bidi w:val="0"/>
              <w:spacing w:before="0" w:after="283"/>
              <w:jc w:val="both"/>
              <w:rPr/>
            </w:pPr>
            <w:r>
              <w:rPr/>
              <w:t>Network outages or performance degradation of our cloud service;</w:t>
            </w:r>
          </w:p>
        </w:tc>
      </w:tr>
    </w:tbl>
    <w:p>
      <w:pPr>
        <w:pStyle w:val="TextBody"/>
        <w:bidi w:val="0"/>
        <w:spacing w:before="0" w:after="0"/>
        <w:ind w:left="760" w:right="0" w:hanging="480"/>
        <w:jc w:val="both"/>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17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460" w:type="dxa"/>
            <w:tcBorders/>
            <w:vAlign w:val="center"/>
          </w:tcPr>
          <w:p>
            <w:pPr>
              <w:pStyle w:val="TableContents"/>
              <w:bidi w:val="0"/>
              <w:spacing w:before="0" w:after="283"/>
              <w:jc w:val="both"/>
              <w:rPr/>
            </w:pPr>
            <w:r>
              <w:rPr/>
              <w:t>Information security or cybersecurity breaches;</w:t>
            </w:r>
          </w:p>
        </w:tc>
      </w:tr>
    </w:tbl>
    <w:p>
      <w:pPr>
        <w:pStyle w:val="TextBody"/>
        <w:bidi w:val="0"/>
        <w:spacing w:before="0" w:after="0"/>
        <w:ind w:left="760" w:right="0" w:hanging="480"/>
        <w:jc w:val="both"/>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17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850" w:type="dxa"/>
            <w:tcBorders/>
            <w:vAlign w:val="center"/>
          </w:tcPr>
          <w:p>
            <w:pPr>
              <w:pStyle w:val="TableContents"/>
              <w:bidi w:val="0"/>
              <w:spacing w:before="0" w:after="283"/>
              <w:jc w:val="both"/>
              <w:rPr/>
            </w:pPr>
            <w:r>
              <w:rPr/>
              <w:t>General economic, industry and market conditions;</w:t>
            </w:r>
          </w:p>
        </w:tc>
      </w:tr>
    </w:tbl>
    <w:p>
      <w:pPr>
        <w:pStyle w:val="TextBody"/>
        <w:bidi w:val="0"/>
        <w:spacing w:before="0" w:after="0"/>
        <w:ind w:left="760" w:right="0" w:hanging="480"/>
        <w:jc w:val="both"/>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170"/>
        <w:gridCol w:w="9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545" w:type="dxa"/>
            <w:tcBorders/>
            <w:vAlign w:val="center"/>
          </w:tcPr>
          <w:p>
            <w:pPr>
              <w:pStyle w:val="TableContents"/>
              <w:bidi w:val="0"/>
              <w:spacing w:before="0" w:after="283"/>
              <w:jc w:val="both"/>
              <w:rPr/>
            </w:pPr>
            <w:r>
              <w:rPr/>
              <w:t>Changes in law and regulations affecting our and our customers’ businesses or product requirements;</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Increases or decreases in the number of subscriptions or pricing changes upon any renewals of customer agreements;</w:t>
            </w:r>
          </w:p>
        </w:tc>
      </w:tr>
    </w:tbl>
    <w:p>
      <w:pPr>
        <w:pStyle w:val="TextBody"/>
        <w:bidi w:val="0"/>
        <w:spacing w:before="0" w:after="0"/>
        <w:ind w:left="760" w:right="0" w:hanging="480"/>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17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5630" w:type="dxa"/>
            <w:tcBorders/>
            <w:vAlign w:val="center"/>
          </w:tcPr>
          <w:p>
            <w:pPr>
              <w:pStyle w:val="TableContents"/>
              <w:bidi w:val="0"/>
              <w:spacing w:before="0" w:after="283"/>
              <w:jc w:val="both"/>
              <w:rPr/>
            </w:pPr>
            <w:r>
              <w:rPr/>
              <w:t>Changes in our pricing policies or those of our competitors;</w:t>
            </w:r>
          </w:p>
        </w:tc>
      </w:tr>
    </w:tbl>
    <w:p>
      <w:pPr>
        <w:pStyle w:val="TextBody"/>
        <w:bidi w:val="0"/>
        <w:spacing w:before="0" w:after="0"/>
        <w:ind w:left="760" w:right="0" w:hanging="480"/>
        <w:jc w:val="both"/>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38"/>
        <w:gridCol w:w="170"/>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5765" w:type="dxa"/>
            <w:tcBorders/>
            <w:vAlign w:val="center"/>
          </w:tcPr>
          <w:p>
            <w:pPr>
              <w:pStyle w:val="TableContents"/>
              <w:bidi w:val="0"/>
              <w:spacing w:before="0" w:after="283"/>
              <w:jc w:val="both"/>
              <w:rPr/>
            </w:pPr>
            <w:r>
              <w:rPr/>
              <w:t>The budgeting cycles and purchasing practices of customers;</w:t>
            </w:r>
          </w:p>
        </w:tc>
      </w:tr>
    </w:tbl>
    <w:p>
      <w:pPr>
        <w:pStyle w:val="TextBody"/>
        <w:bidi w:val="0"/>
        <w:spacing w:before="0" w:after="0"/>
        <w:ind w:left="760" w:right="0" w:hanging="480"/>
        <w:jc w:val="both"/>
        <w:rPr>
          <w:caps w:val="false"/>
          <w:smallCaps w:val="false"/>
        </w:rPr>
      </w:pPr>
      <w:r>
        <w:rPr>
          <w:caps w:val="false"/>
          <w:smallCaps w:val="false"/>
        </w:rPr>
        <w:t> </w:t>
      </w:r>
    </w:p>
    <w:tbl>
      <w:tblPr>
        <w:tblW w:w="8343" w:type="dxa"/>
        <w:jc w:val="left"/>
        <w:tblInd w:w="0" w:type="dxa"/>
        <w:tblLayout w:type="fixed"/>
        <w:tblCellMar>
          <w:top w:w="0" w:type="dxa"/>
          <w:left w:w="0" w:type="dxa"/>
          <w:bottom w:w="0" w:type="dxa"/>
          <w:right w:w="0" w:type="dxa"/>
        </w:tblCellMar>
      </w:tblPr>
      <w:tblGrid>
        <w:gridCol w:w="38"/>
        <w:gridCol w:w="170"/>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8135" w:type="dxa"/>
            <w:tcBorders/>
            <w:vAlign w:val="center"/>
          </w:tcPr>
          <w:p>
            <w:pPr>
              <w:pStyle w:val="TableContents"/>
              <w:bidi w:val="0"/>
              <w:spacing w:before="0" w:after="283"/>
              <w:jc w:val="both"/>
              <w:rPr/>
            </w:pPr>
            <w:r>
              <w:rPr/>
              <w:t>Decisions by potential customers to purchase alternative solutions from other vendors;</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Insolvency or credit difficulties confronting our customers, which could adversely affect their ability to purchase or pay for a subscription to use our solution;</w:t>
            </w:r>
          </w:p>
        </w:tc>
      </w:tr>
    </w:tbl>
    <w:p>
      <w:pPr>
        <w:pStyle w:val="TextBody"/>
        <w:bidi w:val="0"/>
        <w:spacing w:before="0" w:after="0"/>
        <w:ind w:left="760" w:right="0" w:hanging="480"/>
        <w:jc w:val="both"/>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6515" w:type="dxa"/>
            <w:tcBorders/>
            <w:vAlign w:val="center"/>
          </w:tcPr>
          <w:p>
            <w:pPr>
              <w:pStyle w:val="TableContents"/>
              <w:bidi w:val="0"/>
              <w:spacing w:before="0" w:after="283"/>
              <w:jc w:val="both"/>
              <w:rPr/>
            </w:pPr>
            <w:r>
              <w:rPr/>
              <w:t>The cost and potential outcomes of future litigation or other disputes;</w:t>
            </w:r>
          </w:p>
        </w:tc>
      </w:tr>
    </w:tbl>
    <w:p>
      <w:pPr>
        <w:pStyle w:val="TextBody"/>
        <w:bidi w:val="0"/>
        <w:spacing w:before="0" w:after="0"/>
        <w:ind w:left="760" w:right="0" w:hanging="480"/>
        <w:jc w:val="both"/>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17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6995" w:type="dxa"/>
            <w:tcBorders/>
            <w:vAlign w:val="center"/>
          </w:tcPr>
          <w:p>
            <w:pPr>
              <w:pStyle w:val="TableContents"/>
              <w:bidi w:val="0"/>
              <w:spacing w:before="0" w:after="283"/>
              <w:jc w:val="both"/>
              <w:rPr/>
            </w:pPr>
            <w:r>
              <w:rPr/>
              <w:t>Future accounting pronouncements or changes in our accounting policies;</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Our overall effective tax rate, including impacts caused by any reorganization in our corporate tax structure and any new legislation or regulatory developments;</w:t>
            </w:r>
          </w:p>
        </w:tc>
      </w:tr>
    </w:tbl>
    <w:p>
      <w:pPr>
        <w:pStyle w:val="TextBody"/>
        <w:bidi w:val="0"/>
        <w:spacing w:before="0" w:after="0"/>
        <w:ind w:left="760" w:right="0" w:hanging="480"/>
        <w:jc w:val="both"/>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17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850" w:type="dxa"/>
            <w:tcBorders/>
            <w:vAlign w:val="center"/>
          </w:tcPr>
          <w:p>
            <w:pPr>
              <w:pStyle w:val="TableContents"/>
              <w:bidi w:val="0"/>
              <w:spacing w:before="0" w:after="283"/>
              <w:jc w:val="both"/>
              <w:rPr/>
            </w:pPr>
            <w:r>
              <w:rPr/>
              <w:t>Fluctuations in stock-based compensation expense;</w:t>
            </w:r>
          </w:p>
        </w:tc>
      </w:tr>
    </w:tbl>
    <w:p>
      <w:pPr>
        <w:pStyle w:val="TextBody"/>
        <w:bidi w:val="0"/>
        <w:spacing w:before="0" w:after="0"/>
        <w:ind w:left="760" w:right="0" w:hanging="480"/>
        <w:jc w:val="both"/>
        <w:rPr>
          <w:caps w:val="false"/>
          <w:smallCaps w:val="false"/>
        </w:rPr>
      </w:pPr>
      <w:r>
        <w:rPr>
          <w:caps w:val="false"/>
          <w:smallCaps w:val="false"/>
        </w:rPr>
        <w:t> </w:t>
      </w:r>
    </w:p>
    <w:tbl>
      <w:tblPr>
        <w:tblW w:w="9483" w:type="dxa"/>
        <w:jc w:val="left"/>
        <w:tblInd w:w="0" w:type="dxa"/>
        <w:tblLayout w:type="fixed"/>
        <w:tblCellMar>
          <w:top w:w="0" w:type="dxa"/>
          <w:left w:w="0" w:type="dxa"/>
          <w:bottom w:w="0" w:type="dxa"/>
          <w:right w:w="0" w:type="dxa"/>
        </w:tblCellMar>
      </w:tblPr>
      <w:tblGrid>
        <w:gridCol w:w="38"/>
        <w:gridCol w:w="170"/>
        <w:gridCol w:w="9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275" w:type="dxa"/>
            <w:tcBorders/>
            <w:vAlign w:val="center"/>
          </w:tcPr>
          <w:p>
            <w:pPr>
              <w:pStyle w:val="TableContents"/>
              <w:bidi w:val="0"/>
              <w:spacing w:before="0" w:after="283"/>
              <w:jc w:val="both"/>
              <w:rPr/>
            </w:pPr>
            <w:r>
              <w:rPr/>
              <w:t>Trade protection measures (such as tariffs and duties) and import or export licensing requirements;</w:t>
            </w:r>
          </w:p>
        </w:tc>
      </w:tr>
    </w:tbl>
    <w:p>
      <w:pPr>
        <w:pStyle w:val="TextBody"/>
        <w:bidi w:val="0"/>
        <w:spacing w:before="0" w:after="0"/>
        <w:ind w:left="760" w:right="0" w:hanging="480"/>
        <w:jc w:val="both"/>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170"/>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565" w:type="dxa"/>
            <w:tcBorders/>
            <w:vAlign w:val="center"/>
          </w:tcPr>
          <w:p>
            <w:pPr>
              <w:pStyle w:val="TableContents"/>
              <w:bidi w:val="0"/>
              <w:spacing w:before="0" w:after="283"/>
              <w:jc w:val="both"/>
              <w:rPr/>
            </w:pPr>
            <w:r>
              <w:rPr/>
              <w:t>Fluctuations in foreign currency exchange rates;</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Our timing and success in introducing new features and Applications to the market, including integrations of our solution with additional third-party software and devices;</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actions of our competitors or any other change in the competitive dynamics of our industry, including consolidation among competitors, customers or strategic partners;</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successfully manage and realize the anticipated benefits of any future acquisitions of businesses, solutions, or technologies;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timing of expenses related to the development or acquisition of businesses, solutions, or technologies and potential future charges for impairment of goodwill from acquired companies; or</w:t>
            </w:r>
          </w:p>
        </w:tc>
      </w:tr>
    </w:tbl>
    <w:p>
      <w:pPr>
        <w:pStyle w:val="TextBody"/>
        <w:bidi w:val="0"/>
        <w:spacing w:before="0" w:after="0"/>
        <w:ind w:left="760" w:right="0" w:hanging="480"/>
        <w:jc w:val="left"/>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17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both"/>
              <w:rPr/>
            </w:pPr>
            <w:r>
              <w:rPr/>
              <w:t>Other risk factors described in this prospectus.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achieve and sustain a level of liquidity sufficient to support our operations and fulfill our obligations, our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actively monitor and manage our cash and cash equivalents so that sufficient liquidity is available to fund our operations and other corporate purposes. In the future, increased levels of liquidity may be required to adequately support our operations and initiatives and to mitigate the effects of business challenges or unforeseen circumstances. If we are unable to achieve and sustain such increased levels of liquidity, we may suffer adverse consequences, including reduced investment in our platform development, difficulties in executing our business plan and fulfilling our obligations, and other operational challenges. Any of these developments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exposed to risks related to third-party financing of our customers’ subscriptions to our Dot Cloud SaaS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some of our customers have relied on third parties to finance their purchase of subscriptions to our Dot Cloud SaaS platform. This need to arrange third-party credit may lengthen our sales cycles or otherwise lengthen the amount of time required to negotiate customer agreements. Our channel may provide customers seeking financing with contact information for lenders that are known to them through their financing of other customers’ subscriptions. These arrangements can create challenging dynamics for us when disputes arise between a customer and a lender to whom we have introduced a customer. In the event that financing is not available to those of our customers who require it, on commercially reasonable terms or at all, we could experience reduced sales, extended sales cycles, and increased churn. In the event of a dispute between a customer and a lender, we could suffer reputational harm and damage to our relationships with customers and those that provide financing to our customers. The occurrence of any of these would adversely impact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maintain and expand our business if we are not able to hire, retain and manage qualified personnel, and in particular, our key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the success of any future acquisitions depends in part on our retention and integration of key personnel from the acquired company or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may enter into employment agreements with members of our senior management and other key personnel, these arrangements are at-will and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rely in part on direct sales employees to sell our products in the United States and internationally. We are focused on increasing the size and effectiveness of our sales force, marketing activities, sales management team and corporate infrastructure, as well as exploring further relationships with third-party resellers. At present, we intend to significantly increase the size of our current direct sales organization and to more efficiently leverage our expanded sales force to increase sales coverage for our solution and to support significant channel growth. We cannot assure you that we will be able to attract and retain the additional personnel necessary to grow and expand our business and operations. Further, we expect that the onboarding of new sales and marketing personnel will take considerable time to enable new employees to ramp up to full productivity. If we are unable to expand our sales force at sufficiently high levels and onboard new sales personnel successfully, our ability to attract new customers may be harmed, and our business, financial condition and results of operations would be adversely affected. In addition, any failure to adequately train our employees on how to communicate the uses and benefits of our solution to potential and existing customers may prevent us from increasing our market share and revenue. If we fail to identify, attract, retain and motivate these highly skilled personnel, we will be unable to achieve our growth expectations, and our business, financial condition, and results of operations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achieve customer renewals and increase sales of our products is dependent on the quality of our customer success and support teams, and our failure to offer high quality support would have an adverse effect on our business, reputation,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depend on our customer support team to resolve issues and our customer success team to realize the full benefits relating to our Dot Cloud SaaS platform. If we do not succeed in helping our customers quickly resolve post-deployment issues or provide effective ongoing support and education on our Dot Cloud SaaS platform, our ability to sell additional subscriptions to, or renew subscriptions with, existing customers or expand the value of existing customers’ subscriptions would be adversely affected and our reputation with potential customers could be damaged. Many large customers have more complex IT environments and require higher levels of support than smaller customers. If we fail to meet the requirements of these larger customers, it may be more difficult to grow sales with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it can take several months to recruit, hire, and train qualified engineering-level customer support employees. We may not be able to hire such employees fast enough to keep up with demand, particularly if the sales of our products exceed our internal forecasts. To the extent that we are unsuccessful in hiring, training, and retaining adequate customer support employees, our ability to provide adequate and timely support to our customers, and our customers’ satisfaction with our products, will be adversely affected. Our failure to provide and maintain high-quality support services would have an adverse effect on our business, reputation,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able to maintain and enhance our brand, our business, financial condition, and results of operations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maintaining and enhancing our reputation as a differentiated and category-defining company is critical to our relationships with our existing customers and to our ability to attract new customers. We also believe that the importance of brand recognition will increase as competition in our market increases, and that brand and reputation are particularly important in the physical operations industry given the potential impact of any failure of our solution on the physical operations of our customers. The successful promotion of our brand attributes will depend on a number of factors, including our and our channel partners’ marketing efforts, our ability to continue to develop high-quality solutions and our ability to successfully differentiate our solutions and devices from those of competitors. In addition, independent industry analysts may provide reviews of our solution and our competitors’ products, which could influence the perception of the relative value of our Dot Cloud SaaS platform in the marketplace. If these reviews are negative, or less positive as compared to those of our competitors’ products, our brand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promotion of our brand requires us to make substantial expenditures, and we anticipate that the expenditures will increase as our market becomes more competitive, as we expand into new markets, and as more sales are generated through our channel partners. Our brand promotion activities may not generate customer awareness or yield increased revenue, and even if they do, any increased revenue may not offset the expenses we incur in building our brand. If we do not successfully maintain and enhance our brand, our business may not grow, we may have reduced pricing power relative to competitors, and we could lose customers or fail to attract potential customers, any of which would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cannot maintain our company culture as we grow, our success and our business and competitive position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success to date has been driven in part by our company’s cultural principles of focusing on customer success, building for the long term, adopting a growth mindset, being inclusive and winning as a team. As we grow and develop the infrastructure of a public company, we may find it difficult to maintain these important aspects of our culture. Any failure to preserve our culture could negatively affect our ability to retain and recruit personnel, which is critical to our growth, and to effectively focus on and pursue our corporate objectives. As a result, if we fail to maintain our company culture, our business and competitive position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subscription agreements typically contain service-level commitments, and our agreements with larger customers may carry higher service-level commitments than those provided to customers generally.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We offer multiple tiers of subscriptions to our products and, as such, our service-level commitments will increase if more customers choose higher tier subscriptions. Any service-level failures could also damage our reputation, which could also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real or perceived defect, security vulnerability, error, or performance failure in our Dot Cloud SaaS platform could cause us to lose revenue, damage our reputation, and expose us to liability, and our product liability insurance may not adequately protect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Dot Cloud SaaS platform is inherently complex and, despite extensive testing and quality control, has in the past contained and may in the future contain defects or errors, especially when first introduced, or not perform as contemplated. These defects, security vulnerabilities, errors, or performance failures could cause damage to our reputation, loss of customers or revenue, order cancellations, service terminations, or lack of market acceptance of our software. Our customers within the physical operations industry are particularly sensitive to the reliability of our products because a failure of a vehicle or piece of machinery connected to our solution could have a significant impact on their business or employees, including leading to death or serious bodily injury. As the use of our solution, including features and solutions that were recently developed, continues to expand to even more sensitive, secure, or mission-critical uses by our customers, we may be subject to increased scrutiny, potential reputational risk, or potential liability should our solution fail to perform as intended in such deployments. We have in the past needed, and may in the future need, to issue corrective releases to fix these defects, security vulnerabilities, errors or performance failures, which could require us to allocate significant research and development and customer support resources to address these problems. When required to correct device bugs or to implement proactive firmware updates to our devices, we have implemented over-the-air firmware updates to devices that are deployed in the field. If such updates do not perform as anticipated, they may prolong interruptions and performance problems and otherwise impact our reputation and relationship with our customers. Additionally, an improperly configured or deployed update may cause performance issues or disable certain devices in the field, as has occurred in the past. Such an error would require us to fix or replace such devices and may harm our relationship with the impacted customer or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data that we license from third parties for potential use in our solution may contain errors or defects, which could negatively impact the analytics that our customers perform on or with such data. This may have a negative impact on how our solution is perceived by our current and potential customers and could materially damage our reputation and brand.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 of liability provisions that may be contained in our customer, user, third-party vendor, service provider, and partner agreements may not be enforceable or adequate or effective as a result of existing or future applicable laws or unfavorable judicial decisions, and they may not function to limit our liability arising from regulatory enforcement or otherwise. The sale and support of our solution entail the risk of liability claims, which could be substantial in light of the use of our solution in enterprise-wide environments.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insurance against this liability may not be adequate to cover a potential claim and may be subject to exclusions, including the possibility that the insurer will deny coverage as to any future claim or exclude from our coverage such claims in policy renewals. The denial of our claims by our insurers or the successful assertion of claims by others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reputation. Further, there are no assurances that adequate product liability insurance will continue to be available to us in the future on commercially reasonable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Challenges in implementation or incorrect use of, or our customers’ failure to update, our solution could result in customer dissatisfaction and negatively affect our business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 is often operated in large scale, distributed IT environments, including across a wide array of devices and connected assets. Implementing our solutions in such environments can be a complex and lengthy process, particularly for certain of our customers who are less experienced with respect to the implementation of cloud-based platforms such as ours. Our customers and some partners require training and experience in the proper use of and the benefits that can be derived from our solution to maximize its potential. If users of our Dot Cloud SaaS platform do not implement, use, or update our Dot Cloud SaaS platform correctly or as intended, then inadequate performance and/or security vulnerabilities may result. Because our customers rely on our software and hardware to manage a wide range of operations, the incorrect implementation, use of, or our customers’ failure to update, our software and hardware or our failure to train customers on how to use our solution productively may result in customer dissatisfaction and negative publicity and may adversely affect our reputation and brand. Our failure to effectively provide training and implementation services to our customers could result in lost opportunities for follow-on sales to these customers and decreased subscriptions by new customers, which would adversely affect our business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and may in the future seek to acquire or invest in businesses, joint ventures, and technologies that we believe could complement or expand our Dot Cloud SaaS platform, enhance our technology, or otherwise offer growth opportunities. Further, our anticipated proceeds from this offering increase the likelihood that we will devote resources to exploring larger and more complex acquisitions and investments than we have previously attempted.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their software is not easily adapted to work with our solution,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or the incurrence of debt, which could adversely affect our financial position, costs, and financial flexibility.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additional capital to fund our business and support our growth, and any inability to generate or obtain such capital may adversely affect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support our growth and respond to business challenges, such as developing new solutions or devices to stay competitive, acquiring new technologies, and improving our infrastructure, we have made significant financial investments in our business and we intend to continue to make such investments. As a result, we may or debt financings to provide the funds required for these investments and other business endeavors. If we raise additional funds through equity or convertible debt issuances, our existing stockholders may suffer significant dilution and these securities could have rights, preferences, and privileges that are superior to that of holders of our common stock. If we obtain additional funds through debt financing, the terms of such indebtedness may involve restrictive covenants making it difficult to engage in capital raising activities and pursue business opportunities, including potential acquisitions. If we are unable to obtain adequate financing or financing on terms satisfactory to us when we require it, our ability to continue to support our business growth and to respond to business challenges could be significantly impaired and our business and financial condition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product liability, warranty and recall claims that may increase the costs of doing business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risk of product liability or warranty claims if our Dot Cloud SaaS platform and our devices actually or allegedly fail to perform as expected or result, or are alleged to result, in bodily injury and/or property damage. Certain technologies incorporated in our devices may increase the risk profile of such devices. While we maintain what we believe to be reasonable insurance coverage to appropriately respond to such liability exposures, large product liability claims, if made, could exceed our insurance coverage limits and insurance may not continue to be available on commercially acceptable terms, if at all. There can be no assurance that we will not incur significant costs to defend these claims or that we will not experience any product liability losses in the future. In addition, if any of our devices are, or are alleged to be, defective, we may be required to participate in recalls and exchanges of such devices or customer claims against us. The future cost associated with providing product warranties and/or bearing the cost of repair or replacement of our products, or a refund of customer expenses, could exceed our historical experience and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launch our first family of hardware products, there is a heightened risk of product quality issues. As such, we are subject to a risk of product liability or warranty claims if our Dot Cloud Saas platform and our devices actually or allegedly fail to perform as expected or result, or are alleged to result, in bodily injury and/or property damage. Certain technologies incorporated in our devices may increase the risk profile of such devices. Our experienced team is working to mitigate any product quality issues but despite best efforts, it is historically most likely that issues will arise during this initial launch and stabilization period which extends through fiscal year 2025. While we maintain what we believe to be reasonable insurance coverage to appropriately respond to such liability exposures, large product liability claims, if made, could exceed our insurance coverage limits and insurance may not continue to be available on commercially acceptable terms, if at all. There can be no assurance that we will not incur significant costs to defend these claims or that we will not experience any product liability losses in the future. In addition, if any of our devices are, or are alleged to be, defective, we may be required to participate in recalls and exchanges of such devices or customer claims against us. The future cost associated with providing product warranties and/or bearing the cost of repair or replacement of our products, or a refund of customer expenses, could exceed our historical experience and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currency exchange rates fluctuate substantially in the future, the results of our operations, which are reported in U.S. dollars,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expand our international operations, we become more exposed to the effects of fluctuations in currency exchange rates. Our international customer contracts are denominated in currencies other than the U.S. dollar. Changes in currency exchange rates over the course of customers’ contract terms may impact the amount of revenue we recognize from a customer from period to period, even in the absence of changes to that customer’s subscriptions. Additionally, currency fluctuations in certain countries and regions may negatively impact actual prices that customers and partners are willing to pay in those countries and regions. Further, we incur expenses for employee compensation and other operating expenses at our non-U.S. locations in the local currency. Fluctuations in the exchange rates between the U.S. dollar and other currencies could result in the dollar equivalent of such expenses being higher, which could have a negative impact on our results of operations. Although we may in the future decide to undertake foreign exchange hedging transactions to cover a portion of our foreign currency exchange exposure, we currently do not hedge our exposure to foreign currency exchange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Managing the supply of our devices is complex. Insufficient supply and inventory may result in lost sales opportunities or delayed revenue, while excess inventory may harm our gross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third-party manufacturers and suppliers procure components for our devices based on our forecasts, and we generally do not hold significant inventory for extended periods of time. These forecasts are based on estimates of future demand for our products, which can be adjusted based on historical trends and analysis and for overall market conditions, and we cannot guarantee the accuracy of our forecasts. In order to reduce manufacturing lead times and plan for adequate component supply, from time to time we may issue forecasts for components and products that are non cancelable and nonreturnable.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inventory management systems and related supply chain visibility tools may be inadequate to enable us to forecast accurately and effectively manage supply of our devices. Supply management remains an increased area of focus as we balance the need to maintain supply levels that are sufficient to ensure competitive lead times against the risk of obsolescence because of rapidly changing technology and end-customer requirements. If we ultimately determine that we have excess supply, we may have to record a reserve for excess manufacturing costs or reduce our prices and write-down inventory, either of which in turn could result in lower gross margins. Alternatively, insufficient supply levels may lead to shortages that result in delayed revenue or loss of sales opportunities altogether as potential end customers are unable to access our Dot Cloud SaaS platform and, as a result, turn to competitors’ products that are readily available. Additionally, any increases in the time required to manufacture our devices or ship these devices could result in supply shortfalls. If we are unable to effectively manage our supply and inventory, our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materially and adversely impacted by U.S. and global market and economic conditions adverse to industries that depend on physical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our revenue from selling subscriptions to our solutions to industries that depend on physical operations. These industries include transportation, wholesale and retail trade, healthcare, transportation, aviation, construction, field services, logistics, utilities and energy, government, manufacturing, and others. Given the concentration of our business activities in these industries, we will be particularly exposed to certain economic downturns affecting these industries, in particular with respect to our fleet-focused solutions. U.S. and global market and economic conditions have been, and continue to be, disrupted and volatile. General business and economic conditions that could affect us and our customers include fluctuations in economic growth, debt and equity capital markets, liquidity of the global financial markets, the availability and cost of credit, investor and consumer confidence, and the strength of the economies in which we and our customers operate. A poor economic environment could result in significant decreases in demand for our Dot Cloud SaaS platform, including the delay or cancellation of current or anticipated customer engagements.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challenges and volatile economic conditions have presented and may in the future present difficulties in our ability to timely collect accounts receivables from our customers due to their deteriorating financial condition. In addition, our existing customers may be acquired by or merged into other entities that use our competitors’ products, they may decide to terminate their relationships with us for other reasons, or they may go out of business, each of which would have an adverse effect on our future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disruptions could have serious adverse consequences on our future revenue and financial condition and result in losses that may not be covered by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particularly our operations in Puerto Rico, could be subject to the impact of natural or man-made disasters or other business disruptions, which include, but are not limited to, earthquakes, hurricanes, typhoons, floods, water shortages, wildfires and fires, blizzards and other extreme weather conditions as well as power outages, telecommunications, transportation or infrastructure failure, cybersecurity incidents or physical security breaches related to such catastrophes, public health crises, such as pandemics and epidemics, and geopolitical conflicts, including acts of terrorism, war and civil disorder. We carry insurance against certain risks and in such amounts as we believe are customary for businesses of our kind. However, as the costs and availability of insurance change, we may decide not to be covered against certain losses, including losses resulting from such natural and man-made disasters or environmental liabilities where, in the judgment of management, the insurance is not warranted due to cost or availability of coverage or the remoteness of perceived risk. Furthermore, there are certain types of losses that are generally not insured because they are either uninsurable or not economically insurable. Moreover, the cost of insurance has increased significantly, including as a result of the impact of climate change and inflation, and we may not be able to obtain sufficient coverage at a reasonable cost to protect us against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operations are international in scope, and we plan further geographic expansion, creating a variety of operational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component of our growth strategy involves the further expansion of our operations and customer base internationally.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We intend to increase the scope of our international activities as we continue to pursue opportunities in existing and new international markets, which will require significant dedication of management attention and financial resources.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future international business and operations involve a variety of risks, including:</w:t>
      </w:r>
    </w:p>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slower than anticipated availability and adoption of cloud and hybrid infrastructures by international businesses;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changes in a specific country’s or region’s political, economic, or legal and regulatory environment, including Brexit, pandemics, tariffs, export quotas, custom duties, trade disputes, tax laws and treaties, particularly due to economic tensions and trade negotiations or other trade restrictions, trade wars, or long-term environmental risks;</w:t>
            </w:r>
          </w:p>
        </w:tc>
      </w:tr>
    </w:tbl>
    <w:p>
      <w:pPr>
        <w:pStyle w:val="TextBody"/>
        <w:bidi w:val="0"/>
        <w:spacing w:before="0" w:after="0"/>
        <w:ind w:left="760" w:right="0" w:hanging="480"/>
        <w:jc w:val="left"/>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170"/>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95" w:type="dxa"/>
            <w:tcBorders/>
            <w:vAlign w:val="center"/>
          </w:tcPr>
          <w:p>
            <w:pPr>
              <w:pStyle w:val="TableContents"/>
              <w:bidi w:val="0"/>
              <w:spacing w:before="0" w:after="283"/>
              <w:jc w:val="both"/>
              <w:rPr/>
            </w:pPr>
            <w:r>
              <w:rPr/>
              <w:t>the need to adapt and localize our solution for specific countries;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greater difficulty collecting accounts receivable, longer sales and payment cycles, and different pricing environments;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new, evolving, potentially inconsistent and often more stringent regulations relating to privacy, data protection and data security and the unauthorized use of, or access to, commercial, biometric, and/or personal information, particularly in Europe;</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differing labor regulations, including with respect to wage and hour laws, that make it harder to do business in certain regions such as Europe;</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difficulties in managing a business in new markets with diverse cultures, languages, customs, legal systems, alternative dispute systems, and regulatory systems;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increased travel, real estate, infrastructure, legal and compliance costs associated with international operations;</w:t>
            </w:r>
          </w:p>
        </w:tc>
      </w:tr>
    </w:tbl>
    <w:p>
      <w:pPr>
        <w:pStyle w:val="TextBody"/>
        <w:bidi w:val="0"/>
        <w:spacing w:before="0" w:after="0"/>
        <w:ind w:left="760" w:right="0" w:hanging="480"/>
        <w:jc w:val="left"/>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17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both"/>
              <w:rPr/>
            </w:pPr>
            <w:r>
              <w:rPr/>
              <w:t>increased financial accounting and reporting burdens and complexities;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currency exchange rate fluctuations and the resulting effect on our revenue and expenses, and the cost and risk of entering into hedging transactions if we chose to do so in the future;</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limitations on our ability to reinvest earnings from operations in one country to fund the capital needs of our operations in other countries;</w:t>
            </w:r>
          </w:p>
        </w:tc>
      </w:tr>
    </w:tbl>
    <w:p>
      <w:pPr>
        <w:pStyle w:val="TextBody"/>
        <w:bidi w:val="0"/>
        <w:spacing w:before="0" w:after="0"/>
        <w:ind w:left="760" w:right="0" w:hanging="480"/>
        <w:jc w:val="left"/>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170"/>
        <w:gridCol w:w="3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both"/>
              <w:rPr/>
            </w:pPr>
            <w:r>
              <w:rPr/>
              <w:t>new and different sources of competition;</w:t>
            </w:r>
          </w:p>
        </w:tc>
      </w:tr>
    </w:tbl>
    <w:p>
      <w:pPr>
        <w:pStyle w:val="TextBody"/>
        <w:bidi w:val="0"/>
        <w:spacing w:before="0" w:after="0"/>
        <w:ind w:left="760" w:right="0" w:hanging="480"/>
        <w:jc w:val="left"/>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170"/>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pPr>
            <w:r>
              <w:rPr/>
              <w:t>laws and business practices favoring local competitors or general market preferences for local vendors;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limited or insufficient intellectual property protection or difficulties obtaining, maintaining, protecting, or enforcing our intellectual property rights, including our trademarks and patents, or obtaining necessary intellectual property licenses from third parties;</w:t>
            </w:r>
          </w:p>
        </w:tc>
      </w:tr>
    </w:tbl>
    <w:p>
      <w:pPr>
        <w:pStyle w:val="TextBody"/>
        <w:bidi w:val="0"/>
        <w:spacing w:before="0" w:after="0"/>
        <w:ind w:left="760" w:right="0" w:hanging="480"/>
        <w:jc w:val="left"/>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both"/>
              <w:rPr/>
            </w:pPr>
            <w:r>
              <w:rPr/>
              <w:t>political instability or terrorist activities;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pandemics or epidemics that could result in decreased economic activity in certain markets, decreased use of our products and services, or in our decreased ability to import, export, or sell our products and services to existing or new customers in international markets;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exposure to liabilities under anti-corruption and anti-money laundering laws, including the U.S. Foreign Corrupt Practices Act (FCPA), U.S. domestic bribery laws, the UK Bribery Act, and similar laws and regulations in other jurisdictions;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burdens of complying with U.S. and non-U.S. export control laws and regulations, including Export Administration Regulations (EAR); or</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burdens of complying with laws and regulations related to taxation; and regulations, adverse tax burdens, and foreign exchange controls that could make it difficult to repatriate earnings and cash.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invest substantial time and resources to further expand our international operations and are unable to do so successfully and in a timely manner, our business and results of operations will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wholly-owned subsidiary in Puerto Rico has been granted certain incentives under Act 60 (described below), and the validity of these incentives are conditioned on our continuous compliance with the terms and conditions of the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Puerto Rican subsidiary has been granted various incentives under Act 60, including a reduced 1% income tax rate on its industrial development income and a 15 year exemption term from (i) December 23, 2024 for income tax purposes, (ii) January 1, 2024 for real and personal property tax purposes, and (iii) January 1, 2025 for municipal license tax purposes.  The validity of these tax incentives is conditioned on our Puerto Rican subsidiary’s continuous compliance with the terms and conditions of the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entered into, or expect to enter into, various arrangements with our subsidiary in Puerto Rico regarding the intercompany provision of services. Applicable taxing authorities could challenge the prices for these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or intend to enter into, several contractual arrangements with our Puerto Rican subsidiary. We have made, or intend to make, loans to our Puerto Rican subsidiary and charge market-rate interest on those loans. Our Puerto Rican subsidiary is expected to pay us for corporate services and to pay us royalties in exchange for the use of certain intellectual property. We intend to use valid pricing methodologies to establish arm’s length prices for these arrangements. However, a taxing authority could challenge whether the terms of these arrangements are arm’s length and could require us to make a “transfer pricing” adjustment and assess us for additional taxes. Additionally, under applicable United States tax laws, income of the Puerto Rican subsidiary may be taxable to us on a current basis, even if cash is not distributed from the subsidiary. If our “transfer pricing” is challenged, it could increase the amount of such taxable income. Similar concerns should be expected to apply to our planned subsidiaries in Europe and India, if and when established.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Regulatory or Compliance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applicable tax laws, regulations or administrative interpretations thereof may materially adversely affect our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adversely affected by changes in applicable tax laws, regulations, or administrative interpretations thereof. For example, the U.S. federal tax legislation commonly referred to as the Tax Cuts and Jobs Act (the “</w:t>
      </w:r>
      <w:r>
        <w:rPr>
          <w:rFonts w:ascii="Times New Roman;Times;Serif" w:hAnsi="Times New Roman;Times;Serif"/>
          <w:b/>
          <w:i/>
          <w:caps w:val="false"/>
          <w:smallCaps w:val="false"/>
          <w:sz w:val="20"/>
        </w:rPr>
        <w:t>TCJA</w:t>
      </w:r>
      <w:r>
        <w:rPr>
          <w:rFonts w:ascii="Times New Roman;Times;Serif" w:hAnsi="Times New Roman;Times;Serif"/>
          <w:b w:val="false"/>
          <w:i w:val="false"/>
          <w:caps w:val="false"/>
          <w:smallCaps w:val="false"/>
          <w:sz w:val="20"/>
        </w:rPr>
        <w:t>”), enacted in December 2017, resulted in fundamental changes to the Code, including, among many other things, a reduction to the federal corporate income tax rate, a limitation on the deductibility of business interest expense, a limitation on the deductibility of certain director and officer compensation expense, limitations on the use of net operating loss carrybacks and carryovers and changes relating to the scope and timing of U.S. taxation on earnings from international business operations. Subsequent legislation, the Coronavirus Aid, Relief, and Economic Security Act (the “</w:t>
      </w:r>
      <w:r>
        <w:rPr>
          <w:rFonts w:ascii="Times New Roman;Times;Serif" w:hAnsi="Times New Roman;Times;Serif"/>
          <w:b/>
          <w:i/>
          <w:caps w:val="false"/>
          <w:smallCaps w:val="false"/>
          <w:sz w:val="20"/>
        </w:rPr>
        <w:t>CARES Act</w:t>
      </w:r>
      <w:r>
        <w:rPr>
          <w:rFonts w:ascii="Times New Roman;Times;Serif" w:hAnsi="Times New Roman;Times;Serif"/>
          <w:b w:val="false"/>
          <w:i w:val="false"/>
          <w:caps w:val="false"/>
          <w:smallCaps w:val="false"/>
          <w:sz w:val="20"/>
        </w:rPr>
        <w:t>”), enacted on March 27, 2020, relaxed certain of the limitations imposed by the TCJA for certain taxable years, including the limitation on the use and carryback of net operating losses and the limitation on the deductibility of business interest expense. The exact impact of the TCJA and the CARES Act for future years is difficult to quantify, but these changes could materially adversely affect holders of our Common Stock or the Company. In addition, on August 16, 2022, President Biden signed into law the Inflation Reduction Act of 2022, which among other things, imposes a 1% excise tax on the fair market value of stock repurchased by “covered corporations” beginning in 2023. Other changes could be enacted in the future to increase the corporate tax rate, limit further the deductibility of interest or effect other changes that could have a material adverse effect on the Company’s business, results of operations and financial condition. Such changes could also include increases in state taxes and other changes to state tax laws to replenish state and local government finances depleted by costs attributable to the COVID-19 pandemic and the reduction in tax revenues due to the accompanying economic downturn.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effective tax rate and tax liability are based on the application of current income tax laws, regulations, and treaties. These laws, regulations and treaties are complex, and the manner in which they apply to us and our diverse set of business arrangements is often open to interpretation. Significant management judgment is required in determining the Company’s provision for income taxes, its deferred tax assets and liabilities and any valuation allowance recorded against its net deferred tax assets. The tax authorities could challenge our interpretation of laws, regulations, and treaties, resulting in additional tax liability or adjustment to its income tax provision that could increase its effective tax rate. Changes to tax laws may also adversely affect our ability to attract and retain key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anti-corruption and anti-money laundering laws, including the FCPA and similar laws associated with our activities outside of the United States, could subject us to penalties and other adverse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 global business and may have direct or indirect interactions with officials and employees of government agencies or state-owned or affiliated entities. We are subject to the Foreign Corrupt Practices Act, or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parties or representatives fail to comply with these laws and governmental authorities in the United States and elsewhere could seek to impose substantial civil and/or criminal fines and penalties which could have a material adverse effect on our business, reputation,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begun to implement an anti-corruption compliance program and policies, procedures and training designed to foster compliance with these laws; however, our employees, contractors, and agents, and companies to which we outsource some of our business operations, may take actions in violation of our policies or applicable law. Any such violation could have an adverse effect on our reputation, business, operating results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federal government or independent standards organizations may implement significant regulations or standards that could adversely affect our ability to produce or market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transmit radio frequency waves, the transmission of which is governed by the rules and regulations of the Federal Communications Commission (FCC), as well as other federal and state agencies. Our ability to design, develop and sell our products will continue to be subject to these rules and regulations, as well as many other federal, state, local and foreign rules and regulations,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Dot Cloud SaaS platform may become subject to independent industry standards. The implementation of unfavorable regulations or industry standards, or unfavorable interpretations of existing regulations by courts or regulatory bodies, could require us to incur significant compliance costs, cause the development of the affected products to become impractical, or otherwise adversely affect our ability to produce or market our solution. The adoption of new industry standards applicable to our products may require us to engage in rapid product development efforts that would cause us to incur higher expenses than we anticipated. In some circumstances, we may not be able to comply with such standards, which could materially and adversely affect our ability to generate revenues through the sale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laws and regulations applicable to our business could subject us to fines and penalties and could also cause us to lose customers or otherwise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regulation by various federal, state, local, and foreign governmental agencies, including agencies responsible for monitoring and enforcing compliance with various legal obligations, covering topics including privacy and data protection, telecommunications, intellectual property, employment and labor, workplace safety, the environment, consumer protection, governmental trade sanctions, import and export controls, anti-corruption and anti-bribery, securities, and tax. In certain jurisdictions, these regulatory requirements may be more stringent than in the United States. These laws and regulations impose added costs on our business. Noncompliance with applicable regulations or requirements could subject us to:</w:t>
      </w:r>
    </w:p>
    <w:p>
      <w:pPr>
        <w:pStyle w:val="TextBody"/>
        <w:bidi w:val="0"/>
        <w:spacing w:before="0" w:after="0"/>
        <w:ind w:left="760" w:right="0" w:hanging="480"/>
        <w:jc w:val="left"/>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170"/>
        <w:gridCol w:w="4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283"/>
              <w:jc w:val="both"/>
              <w:rPr/>
            </w:pPr>
            <w:r>
              <w:rPr/>
              <w:t>investigations, enforcement actions, and sanctions;</w:t>
            </w:r>
          </w:p>
        </w:tc>
      </w:tr>
    </w:tbl>
    <w:p>
      <w:pPr>
        <w:pStyle w:val="TextBody"/>
        <w:bidi w:val="0"/>
        <w:spacing w:before="0" w:after="0"/>
        <w:ind w:left="760" w:right="0" w:hanging="48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7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pPr>
            <w:r>
              <w:rPr/>
              <w:t>mandatory changes to our solutions and services;</w:t>
            </w:r>
          </w:p>
        </w:tc>
      </w:tr>
    </w:tbl>
    <w:p>
      <w:pPr>
        <w:pStyle w:val="TextBody"/>
        <w:bidi w:val="0"/>
        <w:spacing w:before="0" w:after="0"/>
        <w:ind w:left="760" w:right="0" w:hanging="48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17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both"/>
              <w:rPr/>
            </w:pPr>
            <w:r>
              <w:rPr/>
              <w:t>disgorgement of profits, fines, and damages;</w:t>
            </w:r>
          </w:p>
        </w:tc>
      </w:tr>
    </w:tbl>
    <w:p>
      <w:pPr>
        <w:pStyle w:val="TextBody"/>
        <w:bidi w:val="0"/>
        <w:spacing w:before="0" w:after="0"/>
        <w:ind w:left="760" w:right="0" w:hanging="480"/>
        <w:jc w:val="left"/>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38"/>
        <w:gridCol w:w="17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283"/>
              <w:jc w:val="both"/>
              <w:rPr/>
            </w:pPr>
            <w:r>
              <w:rPr/>
              <w:t>civil and criminal penalties or injunctions;</w:t>
            </w:r>
          </w:p>
        </w:tc>
      </w:tr>
    </w:tbl>
    <w:p>
      <w:pPr>
        <w:pStyle w:val="TextBody"/>
        <w:bidi w:val="0"/>
        <w:spacing w:before="0" w:after="0"/>
        <w:ind w:left="760" w:right="0" w:hanging="48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17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both"/>
              <w:rPr/>
            </w:pPr>
            <w:r>
              <w:rPr/>
              <w:t>claims for damages by our customers or channel partners;</w:t>
            </w:r>
          </w:p>
        </w:tc>
      </w:tr>
    </w:tbl>
    <w:p>
      <w:pPr>
        <w:pStyle w:val="TextBody"/>
        <w:bidi w:val="0"/>
        <w:spacing w:before="0" w:after="0"/>
        <w:ind w:left="760" w:right="0" w:hanging="480"/>
        <w:jc w:val="left"/>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170"/>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15" w:type="dxa"/>
            <w:tcBorders/>
            <w:vAlign w:val="center"/>
          </w:tcPr>
          <w:p>
            <w:pPr>
              <w:pStyle w:val="TableContents"/>
              <w:bidi w:val="0"/>
              <w:spacing w:before="0" w:after="283"/>
              <w:jc w:val="both"/>
              <w:rPr/>
            </w:pPr>
            <w:r>
              <w:rPr/>
              <w:t>termination of contracts;</w:t>
            </w:r>
          </w:p>
        </w:tc>
      </w:tr>
    </w:tbl>
    <w:p>
      <w:pPr>
        <w:pStyle w:val="TextBody"/>
        <w:bidi w:val="0"/>
        <w:spacing w:before="0" w:after="0"/>
        <w:ind w:left="760" w:right="0" w:hanging="480"/>
        <w:jc w:val="left"/>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38"/>
        <w:gridCol w:w="17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35" w:type="dxa"/>
            <w:tcBorders/>
            <w:vAlign w:val="center"/>
          </w:tcPr>
          <w:p>
            <w:pPr>
              <w:pStyle w:val="TableContents"/>
              <w:bidi w:val="0"/>
              <w:spacing w:before="0" w:after="283"/>
              <w:jc w:val="both"/>
              <w:rPr/>
            </w:pPr>
            <w:r>
              <w:rPr/>
              <w:t>loss of intellectual property rights; and</w:t>
            </w:r>
          </w:p>
        </w:tc>
      </w:tr>
    </w:tbl>
    <w:p>
      <w:pPr>
        <w:pStyle w:val="TextBody"/>
        <w:bidi w:val="0"/>
        <w:spacing w:before="0" w:after="0"/>
        <w:ind w:left="760" w:right="0" w:hanging="480"/>
        <w:jc w:val="left"/>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17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283"/>
              <w:jc w:val="both"/>
              <w:rPr/>
            </w:pPr>
            <w:r>
              <w:rPr/>
              <w:t>temporary or permanent debarment from sales to government organizations.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governmental sanctions are imposed, or if we do not prevail in any possible civil or criminal litigation, our business, financial condition, and results of operations could be adversely affected. In addition, responding to any action will likely result in a significant diversion of our management’s attention and resources and an increase in professional fees. Enforcement actions and sanctions could materially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companies in the technology industry have recently experienced increased regulatory scrutiny. Any reviews by regulatory agencies or legislatures may result in substantial regulatory fines, changes to our business practices, and other penalties, which could negatively affect our business and results of operations. Changes in social, political, and regulatory conditions or in laws and policies governing a wide range of topics may cause us to change our business practices. Further, our expansion into a variety of new use cases for our solutions could also raise a number of new regulatory issues. These factors could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comply with the requirements of applicable environmental legislation and regulation could have a material adverse effect on our revenue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and marketing of products in certain states and countries may subject us to environmental and other regulations. In addition, certain states and countries may pass new regulations requiring our products to meet certain requirements to use environmentally friendly components. For example, the European Union has issued two directives relating to chemical substances in electronic products. The Waste Electrical and Electronic Equipment Directive (WEEE) makes producers of certain electrical and electronic equipment financially responsible for the collection, reuse, recycling, treatment and disposal of equipment placed in the European Union market. The Restrictions of Hazardous Substances Directive (RoHS) bans the use of certain hazardous materials in electrical and electronic equipment which are put on the market in the European Union. In the future, various countries, including the United States or other state or local governments, may adopt further environmental compliance programs and requirements. If we fail to comply with these regulations in connection with the manufacture of our devices, we may face regulatory fines, changes to our business practices, and other penalties, and may not be able to sell our devices in jurisdictions where these regulations apply, which could have a material adverse effect on our revenue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stringent and changing laws, regulations, standards, and contractual obligations related to privacy, data protection, and data security. Any actual or perceived failure to comply with such obligations could harm our business. We receive, collect, store, process, transfer, and use personal information and other data relating to users of our solutions, our employees and contractors, and other persons. For example, certain of our solutions collect and store facial recognition data, which is subject to heightened sensitivity and regulation. We have legal and contractual obligations regarding the protection of confidentiality and appropriate use of certain data, including facial recognition data and other personal information. We are subject to numerous federal, state, local, and international laws, directives, and regulations regarding privacy, data protection, and data security and the collection, storing, sharing, use, processing, transfer, disclosure, and protection of personal information and other data, the scope of which are changing, subject to differing interpretations, and may be inconsistent across jurisdictions or conflict with other legal and regulatory requirements. We are also subject to certain contractual obligations to third parties related to privacy, data protection and data security. We strive to comply with our applicable policies and applicable laws, regulations, contractual obligations, and other legal obligations relating to privacy, data protection, and data security to the extent possible. However, the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legal obligations or our practices. Further, any significant change to applicable laws, regulations or industry practices regarding the collection, use, retention, security or disclosure of data, or their interpretation, or any changes regarding the manner in which the consent of users or other data subjects for the collection, use, retention or disclosure of such data must be obtained, could increase our costs and require us to modify our solutions, possibly in a material manner, which we may be unable to complete, and may limit our ability to store and process user data or develop new solutions and features.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that there will continue to be new laws, regulations, and industry standards concerning privacy, data protection, and information security proposed and enacted in various jurisdictions. For example, the data protection landscape in Europe is currently evolving, resulting in possible significant operational costs for internal compliance and risks to our business. The European Union adopted the General Data Protection Regulation (GDPR), which became effective in May 2018, and contains numerous requirements and changes from previously existing European Union laws, including more robust obligations on data processors and heavier documentation requirements for data protection compliance programs by companies. Among other requirements, the GDPR regulates the transfer of personal data subject to the GDPR to third countries that have not been found to provide adequate protection to such personal data, including the United States. Failure to comply with the GDPR could result in penalties for noncompliance. The United Kingdom enacted legislation that substantially implements the GDPR and provides for substantial penalties in a manner similar to the GDPR. It is unclear how United Kingdom data protection laws or regulations will develop in the medium to longer term and how data transfers to and from the United Kingdom will be regulated. Further, some countries also are considering or have enacted legislation requiring local storage and processing of data that could increase the cost and complexity of delivering our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United States privacy laws are potentially relevant to our business, including the Federal Trade Commission Act, Controlling the Assault of Non-Solicited Pornography and Marketing Act (CAN-SPAM Act), and the Telephone Consumer Protection Act. Any actual or perceived failure to comply with these laws could result in a costly investigation or litigation resulting in potentially significant liability, loss of trust by our users, and a material and adverse impact on our reputation and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June 2018, California passed the California Consumer Privacy Act (CCPA), which provides new data privacy rights for California consumers and new operational requirements for covered companies. Specifically, the CCPA provides that covered companies must provide new disclosures to California consumers and afford such consumers new data privacy rights that include the right to request a copy from a covered company of the personal information collected about them, the right to request deletion of such personal information, and the right to request to opt-out of certain sales of such personal information. The CCPA became operative on January 1, 2020. The California Attorney General can enforce the CCPA, including seeking an injunction and civil penalties for violations. The CCPA also provides a private right of action for certain data breaches that is expected to increase data breach litigation. The CCPA may require us to modify our data practices and policies and to incur substantial costs and expenses in an effort to comply. A new privacy law, the California Privacy Rights Act (CPRA), was approved by California voters in the November 3, 2020 election and went into effect on January 1, 2023. The CPRA significantly modified the CCPA, resulting in further uncertainty and requiring us to incur additional costs and expenses in an effort to comply. A number of other states, such as Illinois, Texas, Washington, Virginia and Colorado, have implemented, or are considering implementing, their own versions of privacy legislation, which could increase our potential liability and cause us to incur substantial costs and expenses in an effort to comply and otherwise adversely affect our business. Some of those laws, including Illinois’ Biometric Information Privacy Act, also provide consumers with a private right of action for certain violations and large potential statutory damages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or perceived failure by us to comply with our posted privacy policies, our privacy-related obligations to users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users to lose trust in us, and otherwise materially and adversely affect our reputation and business. Furthermore, the costs of compliance with, and other burdens imposed by, the laws, regulations, other obligations, and policies that are applicable to the businesses of our users may limit the adoption and use of, and reduce the overall demand for, our solution.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laws, regulations, or contractual provisions applicable to our business could cause us to lose government customers or our ability to contract with the U.S. and other governments.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government 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audits and internal investigations which may prove costly to our business financially, divert management time, or limit our ability to continue selling subscriptions to our solution to our government customers. These laws and regulations may impose other added costs on our business, and failure to comply with these or other applicable regulations and requirements, including non-compliance in the past, could lead to claims for damages from our channel partners, penalties, and termination of contracts and suspension or debarment from government contracting for a period of time with government agencies. Any such damages, penalties, disruption, or limitation in our ability to do business with a government could materially and adversely impact our business, results of operations, financial condition, public perception,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required to comply with governmental export control, economic sanctions and import laws and regulations. Our failure to comply with these laws and regulations could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Exports, reexports and certain transfers of our solution, including the underlying technology and source code and products, may be subject to governmental, including United States and European Union, export control and economic sanctions laws and regulations. Certain of our products, technologies, and services are, and may in the future be, subject to the EAR. U.S. export control laws and regulations and economic sanctions include various restrictions and license requirements, including prohibiting the shipment of certain products, technology, software and services to U.S. embargoed or sanctioned countries, governments, and persons. Complying with export control, economic sanctions and import laws and regulations for a particular sale may be time-consuming and may result in the delay or loss of sales opportunities. While we take precautions to prevent our platform, products, services, technology and software from being exported, reexported or transferred in violation of these laws,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privileges.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export control laws and regulations impose licensing, filing and reporting requirements on encryption and products, technologies and software that incorporate or use certain encryption. We incorporate encryption technology into certain of our products and our products, software and technology may require export authorization including by license, a license exception or other appropriate government authorization for export, reexport or transfer outside of the United States.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We cannot assure you that inadvertent violations of such laws have not occurred or will not occur in connection with the distribution of our products and services despite the precautions we take. Governmental regulation of encryption technology and regulation of imports or exports, or our failure to obtain any required import or export approval for our products, technology, software, services or platform could harm our international sales and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our channel or other partners fail to obtain any appropriate import, export, or re-export licenses or permits, we may also be harmed, become the subject of government investigations or penalties, and incur reputational harm. In addition, access to our supply chain in China may be further restricted by future U.S. actions taken against China, such as Chinese suppliers being targeted by U.S. sanctions or being added to lists of denied persons maintained by the U.S. Department of Commerce Bureau of Industry and Security (BIS). Changes in our platform, products, services, technology and software or changes in export and import regulations may create delays in the introduction of our Dot Cloud SaaS platform in international markets, prevent our customers with international operations from deploying our platform globally or, in some cases, prevent the export or import of our platform to certain countries, governments, or persons altogether. Any change in export or import laws or regulations, economic sanctions, or related legislation, shift in the enforcement or scope of existing laws and regulations, or change in the countries, governments, persons, or technologies targeted by such laws and regulations, could result in decreased use of our platform by, or in our decreased ability to export or sell subscriptions to our platform to, existing or potential customers with international operations. Any decreased use of our platform, products, services, technology and software or limitation on our ability to export or sell our platform would likely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related to conflict minerals may cause us to incur additional expenses and could limit the supply and increase the costs of certain metals used in the manufacturing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requirements under the Dodd-Frank Wall Street Reform and Consumer Protection Act of 2010 that require us to conduct due diligence on and disclose whether or not our products contain conflict minerals as defined under these provisions. The implementation of these requirements could adversely affect the sourcing, availability, and pricing of the materials used in the manufacture of components used in our devices. In addition, we incur additional costs to comply with the disclosure requirements, including costs related to conducting diligence procedures to determine the sources of minerals that may be used in or necessary for the production of our devices and, if applicable, potential changes to devices, processes, or sources of supply as a consequence of such due diligence activities. It is also possible that we may face reputational harm if we determine that certain of our devices contain minerals not determined to be conflict-free or if we are unable to alter our products, processes, or sources of supply to avoid such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 changes in the use of artificial intelligence are unpredictable and therefore we are not able to accurately predict how potential regulatory changes in artificial intelligence space may affect our current and future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Artificial intelligence (“AI”) is enabled by or integrated into some of our existing solutions and may play an increased role in our future offerings. The use of AI is a topic that has attracted the attention of lawmakers and regulators recently. It is hard to predict, especially in a presidential election year, what changes may come in this area in the near future. We encourage all investors to be vigilant to public policy developments in this area and will report on applicable constraints as they potentially emerge.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fines, penalties, or other costs, either directly or vicariously, if any of our partners, resellers, contractors, vendors or other third parties fail to adhere to their compliance obligations under our policies and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 number of third parties to perform services or act on our behalf in areas like sales, network infrastructure, administration, research, and marketing. It may be the case that one or more of those third parties fail to adhere to our policies or violate applicable federal, state, local, and international laws, including but not limited to, those related to corruption, bribery, economic sanctions, and export/import controls. Despite the significant efforts in asserting and maintaining control and compliance by these third parties, we may be held fully liable for third parties’ actions as fully as if they were a direct employee of ours. Such liabilities may create harm to our reputation, inhibit our plans for expansion, or lead to extensive liability either to private parties or government regulators, which could adversely impact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Cybersecurity and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incidents or real or perceived errors, failures or bugs in our systems or our website could impair our operations, result in loss of personal customer information, damage our reputation, and brand, and harm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success is dependent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may contain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online app shutdowns, or could cause loss of critical data or the unauthorized disclosure, access, acquisition, alteration or use of personal or other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compromises to our security that result in technology performance, integrity, or availability problems, the complete shutdown of our website or the loss or unauthorized disclosure, access, acquisition, alteration or use of confidential information, customers may lose trust and confidence in us, and customers may decrease the use of our website or stop using our website entirely. Because the techniques used to obtain unauthorized access, disable, or degrade service, or sabotage systems change frequently, often they are not recognized until launched against a target, and may originate from less regulated and remote areas around the world, we may be unable to proactively address these techniques or to implement adequate preventative measures. Even if we take steps that we believe are adequate to protect us from cyber threats, hacking against our competitors or other companies could create the perception among our customers or potential customers that our website is not safe to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impact on the performance, reliability, security, and availability of our systems, software, or services may harm our reputation, impair our ability to operate, retain existing customers or attract new customers, and expose us to legal claims and government action, each of which could have a material adverse impact on our financial condition, results of operations,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fundamentally in the data business, and as such have taken steps to use leading edge encryption and security measures in our IT deployments. However, the risk is real that our systems could be penetrated and cause business disruption and damage our brand in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success is dependent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may contain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online app shutdowns, or could cause loss of critical data or the unauthorized disclosure, access, acquisition, alteration or use of personal or other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compromises to our security that result in technology performance, integrity, or availability problems, the complete shutdown of our website or the loss or unauthorized disclosure, access, acquisition, alteration or use of confidential information, customers may lose trust and confidence in us, and customers may decrease the use of our website or stop using our website entirely. Because the techniques used to obtain unauthorized access, disable, or degrade service, or sabotage systems change frequently, often they are not recognized until launched against a target, and may originate from less regulated and remote areas around the world, we may be unable to proactively address these techniques or to implement adequate preventative measures. Even if we take steps that we believe are adequate to protect us from cyber threats, hacking against our competitors or other companies could create the perception among our customers or potential customers that our website is not safe to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impact on the performance, reliability, security, and availability of our systems, software, or services may harm our reputation, impair our ability to operate, retain existing customers or attract new customers, and expose us to legal claims and government action, each of which could have a material adverse impact on our financial condition, results of operations,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experience a security breach or incident affecting our customers’ assets or data, our data or devices, our Dot Cloud SaaS platform, or other systems, our Dot Cloud SaaS platform may be perceived as not being secure, our reputation may be harmed and our business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business, we process, store, and transmit our customers’ information and data as well as our own, including in our Dot Cloud SaaS platform, networks, and other systems, and we rely on third parties that are not directly under our control to do so as well. We and many of our third-party partners, including our service providers, have security measures and disaster response plans in place to help protect our customers’ data, our data, our solution, and other systems against unauthorized access. However, we cannot assure you that these security measures and disaster response plans will be adequate or effective against all security threats, including those from malicious insiders, ransomware and other malware, denial of service and other attacks, and natural disasters and other sources of disruptions to the operation of our Dot Cloud SaaS platform or our or our third-party partners’ other operations, including power outages and telecommunications and other failures. Our or our third-party partners’ systems and security measures may be breached or otherwise fail as a result of malicious insiders or third-party action, including intentional misconduct by computer hackers, phishing and other means of social engineering, including fraudulent inducement of employees or customers to disclose sensitive information such as usernames or passwords, and employee error or malfeasance. Advances in computer capabilities, new technological discoveries or other developments may result in cyberattacks becoming more sophisticated and more difficult to detect. Any such breach or failure could result in the loss, corruption, or unavailability of data or someone acquiring our or our customers’ data or obtaining unauthorized access to our customers’ data, our data, our Dot Cloud SaaS platform, or other systems. Because a security breach could materialize and techniques used by malicious actors continue to evolve, we and our third-party partners may be unable to anticipate security breaches and implement adequate preventative measures. We incur significant costs in our efforts to detect and prevent security breaches and other security-related incidents and we expect to incur additional costs in connection with improvements to our systems and processes to prevent further breaches and incidents. In the event of a future breach or incident, we could be required to expend additional significant capital and other resources in an effort to prevent further breaches or incidents, which may require us to divert substantial resources. Moreover, we could be required or otherwise find it appropriate to expend significant capital and other resources to respond to, notify third parties of, and otherwise address the incident or breach and its root cause. Each of these could require us to divert substantial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also conduct attacks designed to temporarily deny customers access to our Dot Cloud SaaS platform or to disrupt or otherwise impede such access or our solutions’ performance. Any actual or perceived security breach or incident affecting our Dot Cloud SaaS platform or operations, or data we or our service providers process or maintain, denial of service attack or other disruption to our Dot Cloud SaaS platform could result in a loss of customer confidence in the security or integrity of our solution and damage to our brand and reputation, reduce the demand for our solution, disrupt our normal business operations, require us to spend material resources to correct the breach or incident and otherwise respond to it, expose us to legal liabilities including claims and litigation by private parties, regulatory investigations and other proceedings, and indemnity obligations, and materially and adversely affect our financial condition and results of operations. These risks will increase as we continue to grow the scale and functionality of our Dot Cloud SaaS platform and as we process, store, and transmit increasingly large amounts of information and data, which may include proprietary or confidential data or personal or identifying information. Our liability in connection with any security breaches, incidents, cyberattacks or other disruptions to our solution or operations may not be adequately covered by insurance, and such events may result in an increase in our costs for insurance or insurance not being available to us on economically feasible terms, or at all. Insurers may also deny us coverage as to any future claim. Any of these results could harm our growth prospects, financial condition,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Abuse or misuse of our internal platform controls and system tools could cause significant harm to our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provide real-time support to our customers, we have created internal platform controls and system tools that are used by our employees to diagnose and correct customer issues. If our employees were to intentionally abuse these platform controls and system tools, for example, by interfering with or altering our devices or our customers’ connected assets and accessing our customers’ data, or otherwise violate company policies, our customers could be significantly harmed. For example, our employees have historically had access to customers’ data, and although we have implemented greater access controls over time, such controls may not ensure that our employees’ use of customers’ data is in all cases appropriate. Any abuse or misuse by our employees of our internal platform controls and system tools, even if inadvertent, could result in potential legal liability and reputational damage to both our customers and us. Accordingly, any improper conduct, abuse or misuse, intentional or otherwise, of our platform controls and system tools could significantly and adversely harm our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disruptions or performance problems associated with our technology and infrastructure, including interruptions, delays, or failures in service from our third-party data center hosting facilities and other third-party services, could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adoption of our solution depends in part on the ability of our existing and potential customers to access our solution within a reasonable amount of time. We have experienced, and may in the future experience, disruptions, data loss, outages, and other performance problems with our solution and infrastructure due to a variety of factors, including infrastructure changes, introductions of new functionality, human or software errors, capacity constraints, or other security-related incidents. If our solution is unavailable or if our users and customers are unable to access our solution within a reasonable amount of time, or at all, we may experience a decline in renewals, damage to our brand, or other harm to our business. The impact upon our customers may be further heightened by the nature of our solution connecting to their physical infrastructure, which may impede or harm their fleet, equipment, sites or other physical operations.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critical business operations are concentrated in the United States and are supported by third-party hosting facilities. We are an automated business, and a disruption or failure of our systems, or of the third-party hosting facilities and other third-party services that we use, could cause delays in completing sales and providing services. For example, from time to time, our data center hosting facilities have experienced outages. Such disruptions or failures could also include a major earthquake, blizzard, fire, cyber-attack, act of terrorism, or other catastrophic event, or a decision by one of our third-party service providers to close facilities that we use without adequate notice, or other unanticipated problems with the third-party services that we use, including a failure to meet service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Interruptions or performance problems with either our technology and infrastructure or our data center hosting facilities could, among other things:</w:t>
      </w:r>
    </w:p>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result in the destruction or disruption of any of our critical business operations, controls, or procedures or information technology systems;</w:t>
            </w:r>
          </w:p>
        </w:tc>
      </w:tr>
    </w:tbl>
    <w:p>
      <w:pPr>
        <w:pStyle w:val="TextBody"/>
        <w:bidi w:val="0"/>
        <w:spacing w:before="0" w:after="0"/>
        <w:ind w:left="760" w:right="0" w:hanging="480"/>
        <w:jc w:val="left"/>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17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pPr>
            <w:r>
              <w:rPr/>
              <w:t>severely affect our ability to conduct normal business operations;</w:t>
            </w:r>
          </w:p>
        </w:tc>
      </w:tr>
    </w:tbl>
    <w:p>
      <w:pPr>
        <w:pStyle w:val="TextBody"/>
        <w:bidi w:val="0"/>
        <w:spacing w:before="0" w:after="0"/>
        <w:ind w:left="760" w:right="0" w:hanging="480"/>
        <w:jc w:val="left"/>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17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pPr>
            <w:r>
              <w:rPr/>
              <w:t>result in a material weakness in our internal control over financial reporting;</w:t>
            </w:r>
          </w:p>
        </w:tc>
      </w:tr>
    </w:tbl>
    <w:p>
      <w:pPr>
        <w:pStyle w:val="TextBody"/>
        <w:bidi w:val="0"/>
        <w:spacing w:before="0" w:after="0"/>
        <w:ind w:left="760" w:right="0" w:hanging="480"/>
        <w:jc w:val="left"/>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17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both"/>
              <w:rPr/>
            </w:pPr>
            <w:r>
              <w:rPr/>
              <w:t>cause our customers to terminate their subscriptions;</w:t>
            </w:r>
          </w:p>
        </w:tc>
      </w:tr>
    </w:tbl>
    <w:p>
      <w:pPr>
        <w:pStyle w:val="TextBody"/>
        <w:bidi w:val="0"/>
        <w:spacing w:before="0" w:after="0"/>
        <w:ind w:left="760" w:right="0" w:hanging="480"/>
        <w:jc w:val="left"/>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result in our issuing credits or paying penalties or fines;</w:t>
            </w:r>
          </w:p>
        </w:tc>
      </w:tr>
    </w:tbl>
    <w:p>
      <w:pPr>
        <w:pStyle w:val="TextBody"/>
        <w:bidi w:val="0"/>
        <w:spacing w:before="0" w:after="0"/>
        <w:ind w:left="760" w:right="0" w:hanging="480"/>
        <w:jc w:val="left"/>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17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283"/>
              <w:jc w:val="both"/>
              <w:rPr/>
            </w:pPr>
            <w:r>
              <w:rPr/>
              <w:t>harm our brand and reputation;</w:t>
            </w:r>
          </w:p>
        </w:tc>
      </w:tr>
    </w:tbl>
    <w:p>
      <w:pPr>
        <w:pStyle w:val="TextBody"/>
        <w:bidi w:val="0"/>
        <w:spacing w:before="0" w:after="0"/>
        <w:ind w:left="760" w:right="0" w:hanging="480"/>
        <w:jc w:val="left"/>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pPr>
            <w:r>
              <w:rPr/>
              <w:t>adversely affect our renewal rates or our ability to attract new customers; or</w:t>
            </w:r>
          </w:p>
        </w:tc>
      </w:tr>
    </w:tbl>
    <w:p>
      <w:pPr>
        <w:pStyle w:val="TextBody"/>
        <w:bidi w:val="0"/>
        <w:spacing w:before="0" w:after="0"/>
        <w:ind w:left="760" w:right="0" w:hanging="480"/>
        <w:jc w:val="left"/>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17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pPr>
            <w:r>
              <w:rPr/>
              <w:t>cause our solution to be perceived as not being secure.</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above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prevent or address the misappropriation of our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third parties may misappropriate our data through website scraping, robots or other means and aggregate this data on their websites with data from other companies. In addition, copycat websites or online apps may misappropriate data and attempt to imitate our brand or the functionality of our website. If we become aware of such websites or online apps, we intend to employ technological or legal measures in an attempt to halt their operations. However, we may be unable to detect all such websites or online apps in a timely manner and, even if we could, technological and legal measures may be insufficient to halt their operations. In some cases, particularly in the case of websites or online apps operating outside of the United States, our available remedies may not be adequate to protect us against the effect of the operation of such websites or online apps. Regardless of whether we can successfully enforce our rights against the operators of these websites or online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third-party software for certain essential financial and operational services, and a failure or disruption in these services could materially and adversely affect our ability to manage our business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software to provide many essential financial and operational services to support our business, including enterprise resource planning, customer relationship management, and human capital management. Many of these vendors are less established and have shorter operating histories than traditional software vendors. Moreover, many of these vendors provide their services to us via a cloud-based model instead of software that is installed on our premises. As a result, we depend upon these vendors to provide us with services that are always available and are free of errors or defects that could cause disruptions in our business processes. Any failure by these vendors to do so, or any disruption in our ability to access the Internet, would materially and adversely affect our ability to effectively manage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protect our proprietary technology and intellectual property rights could substantially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to a significant degree on our ability to protect our proprietary technology, methodologies, know-how, and branding. We rely on a combination of trademarks, copyrights, patents, trade secrets and other intellectual property laws, contractual restrictions, and technical organizational security and confidentiality procedures to establish and protect our proprietary rights. However, the steps we take to protect our intellectual property rights may be limited or inadequate. For instance, we will not be able to protect our intellectual property rights if we are unable to enforce our rights or if we do not detect unauthorized use of our intellectual property rights, or unauthorized or unlawful use of our software, technology or intellectual property rights. We also cannot guarantee that our intellectual property rights will provide competitive advantages to us, that our ability to assert our intellectual property rights against potential competitors or to settle current or future disputes will not be limited by our relationships with third parties, that any of our pending or future patent applications will have the coverage originally sought, or that we will not lose the ability to assert our intellectual property rights against or to license our technology to others and collect royalties or other payments. Further, the laws of some countries may not be as protective of intellectual property rights as those in the United States, and mechanisms for enforcement of intellectual property rights may be inadequate.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despite our precautions, it may be possible for unauthorized third parties to copy our products, use information that we regard as proprietary to create offerings that compete with ours, or infringe upon or misappropriate our intellectual property. There is also no guarantee that third parties will abide by the terms of our agreements or that we will be able to adequately enforce our contractual rights. We may also be unable to prevent third parties from acquiring or using domain names or trademarks that are similar to, infringe upon, or diminish the value of our trademarks and other proprietary rights, thereby impeding our ability to build brand identity and possibly leading to potential confusion in the market and damage to our reputation and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protect our intellectual property rights adequately, our competitors or other third parties may gain access to our proprietary technology and our business may be harmed. In addition, defending our intellectual property rights might entail significant resources and expenses, as detailed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assurance that our patents or patent applications will be enforceable or otherwise upheld as valid.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patents, trademarks, or other intellectual property rights that we have obtained or may obtain may be challenged by others or invalidated, circumvented, abandoned or lapse. As of September 30, 2024, our patent portfolio consisted of 2 issued U.S. patents, and 1 U.S. patent applications pending for examination. As of September 30, 2024, we did not have any non-U.S. patents or patent applications. There can be no assurance that our patent applications will result in issued patents. Even if we continue to seek patent protection in the future, we may be unable to obtain further patent protection for our technology. There can also be no assurance that our patents or application will be equally enforceable or otherwise protected by the laws of non-U.S.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given the costs, effort, risks and downside of obtaining patent protection, including the requirement to ultimately disclose the invention to the public, we may choose not to seek patent protection for certain innovations; however, such patent protection could later on prove to be important to our business. Further, any patents may not provide us with competitive advantages, or may be successfully challenged by third parties. Furthermore, legal standards relating to the validity, enforceability, and scope of protection of intellectual property rights are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Confidentiality agreements with employees and others may not adequately prevent disclosure of trade secrets and other proprietary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protect our trade secrets, confidential information and distribution of our proprietary information, we generally enter into confidentiality, non-compete, proprietary, and invention assignment agreements with our employees and consultants and enter into confidentiality agreements with other parties. We also have entered into confidentiality agreements to protect our confidential information delivered to third parties for research and other purposes. No assurance can be given that these agreements will be effective in controlling access to trade secrets, confidential information and distribution of our proprietary information, especially in certain U.S. states and countries that are less willing to enforce such agreements. Further, these agreements may not prevent our competitors from independently developing technologies that are substantially equivalent or superior to our products. In addition, others may independently discover our trade secrets and confidential information, and in such cases we could not assert any trade secret rights against such parties. Costly and time-consuming litigation could be necessary to enforce and determine the scope of our trade secret rights and related confidentiality and nondisclosure provisions, and failure to obtain or maintain trade secret protection, or our competitors’ obtainment of our trade secrets or independent development of unpatented technology similar to ours or competing technologies, could adversely affect our competitive business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protect our intellectual property rights and proprietary technology,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intellectual property rights and proprietary technology against unauthorized copying or use, as well as any costly litigation or diversion of our management’s attention and resources, could delay further sales or the implementation of our products, impair the functionality of our products, delay introductions of new products, result in our substituting inferior or more costly technologies into our products, or injure our brand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intellectual property disputes, which are costly and may subject us to significant liability and increased costs of doing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in the future claim that our operations and solutions infringe their intellectual property rights, and such claims may result in legal claims against our customers and us. These claims may damage our brand and reputation, harm our customer relationships, and result in liability for us. We expect the number of such claims will increase as the number of solutions and the level of competition in our market grows, the functionality of our solution overlaps with that of other products and services, and the volume of issued patents and patent applications continues to increase. We may have agreed in certain customer contracts to indemnify customers, and have accepted tenders for indemnification from certain of such customers, for expenses or liabilities they incur as a result of third-party intellectual property infringement claims associated with our solution. To the extent that any claim arises as a result of third-party technology we use in our solutions, we may be unable to recover from the appropriate third party any expenses or other liabilities that we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in the software and technology industries, including some of our current and potential competitors, own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than we do. Furthermore, patent holding companies, non-practicing entities, and other patent owners that are not deterred by our existing intellectual property protections may seek to assert patent claims against us. Third parties may assert patent, copyright, trademark, or other intellectual property rights against us, our channel partners, our technology partners, or our customers. We may be subject to litigation in the future, that claims we have misappropriated, misused, or infringed other parties’ intellectual property rights, and, to the extent we gain greater market visibility, we face a higher risk of being the subject of intellectual property infringement claims, which is not uncommon in our industry. These and other possible disagreements could lead to delays in the collaborative research, development or commercialization of our solutions, or could require or result in costly and time-consuming litigation that may not be decided in our favor. Any such event could materially and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third-party intellectual property rights, including issued or pending patents, that cover significant aspects of our technologies or business methods. In addition, if we acquire or license technologies from third parties, we may be exposed to increased risk of being the subject of intellectual property infringement due to, among other things, our lower level of visibility into the development process with respect to such technology and the care taken to safeguard against infringement risks. These claims may damage our brand and reputation, harm our customer relationships, and create liability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and may require us to indemnify our customers for liabilities they incur as a result of such claims. These claims could also result in our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solution. If we cannot license or develop alternative non-infringing substitutes for any infringing technology used in any aspect of our business, we would be forced to limit or stop sales of our solution and may be unable to compete effectively. Any of these results would adversely affect our business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exposure to risks associated with the use of intellectual property may be increased as a result of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risks associated with the use of intellectual property may be increased as a result of acquisitions, as we have a lower level of visibility into the development process with respect to acquired technology or the care taken to safeguard against infringement risks. Third parties may make infringement and similar or related claims after we have acquired technology that had not been asserted prior to our acquisition. Any of these results would harm our business, results of operations and financial condition. These risks have been amplified by the increase in third parties whose sole or primary business is to assert such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Issues in the use of artificial intelligence (“AI”) in our solution may result in reputational harm or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is enabled by or integrated into some of our existing solutions and may play an increased role in our future offerings. As with many developing technologies, AI presents risks and challenges that could affect its further development, adoption, and use, and therefore our business. AI algorithms may be flawed. Datasets may be insufficient, of poor quality, or contain biased information. Inappropriate or controversial data practices by data scientists, engineers, and end-users of our systems could impair the acceptance of AI solutions. If the recommendations, forecasts, or analyses that AI applications assist in producing are or are alleged to be deficient or inaccurate, we could be subjected to competitive harm, potential legal liability, and brand or reputational harm. Some AI scenarios may also present ethical issues. Though our business practices are designed to mitigate many of these risks, if we enable or offer AI solutions that are controversial because of their purported or real impact on human rights, privacy, employment, or other social issues, we may experience brand or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use of open source software could negatively affect our ability to sell subscriptions to our Dot Cloud SaaS platform and subject us to possible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Dot Cloud SaaS platform incorporates open source software, and we expect to continue to incorporate open source software in our Dot Cloud SaaS platform in the future. Few of the licenses applicable to open source software have been interpreted by courts, and there is a risk that these licenses could be construed in a manner that could impose unanticipated conditions or restrictions on our ability to commercialize our solution or other products we may develop in the future. We also rely upon third-party, non-employee contractors to perform certain development services on our behalf, and we cannot be certain that such contractors will comply with our review processes or not incorporate software code made available under open source licenses into our proprietary code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found to have used open source software in our software in a manner that is inconsistent with the terms of the applicable license or our current policies and procedures. For example, certain kinds of open source licenses may require that any person who creates a product or service that contains, links to, or is derived from software that was subject to an open source license must also make their own product or service subject to the same open source license. If these requirements are found to apply to our products and we fail to comply with them, we may be subject to certain requirements, including requirements that we offer additional portions of our solutions for no cost, that we make available additional source code for modifications or derivative works we create based upon, incorporating or using the open source software, and that we license such modifications or derivative works under the terms of applicable open source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or required to comply with onerous conditions or restrictions on these products, which could disrupt the distribution and sale of these products. In addition, there have been claims challenging the ownership rights in open source software against companies that incorporate open source software into their products, and the licensors of such open source software provide no warranties or indemnities with respect to such claims. Moreover, we cannot assure you that our processes for controlling our use of open source software in our solution will be effective. In any of these events, we and our customers could be required to seek licenses from third parties in order to continue offering our products, to re-engineer our products, or to discontinue the sale of our products in the event re-engineering cannot be accomplished on a timely basis. We and our customers may also be subject to suits by parties claiming infringement, misappropriation or violation due to the reliance by our solutions on certain open source software, and such litigation could be costly for us to defend or subject us to an injunction.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open source projects provided on an “as-is” basis have known vulnerabilities and architectural instabilities which, if used in our product and not properly addressed, could negatively affect the security or performance of our product. Any of the foregoing could require us to devote additional research and development resources to re-engineer our solutions, could result in customer dissatisfaction, and may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Indemnity provisions in various agreements potentially expose us to substantial liability for intellectual property infringement, misappropriation, violation, and other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agreements with customers and other third parties have in some cases included indemnification provisions under which we agree to indemnify them for losses suffered or incurred as a result of claims of intellectual property infringement, misappropriation or violation, damages caused by us to property or persons, or other liabilities relating to or arising from our solution or other contractual obligations. Large indemnity payments could harm our business, financial condition, and results of operations. Pursuant to certain agreements, we do not have a cap on our liability and any payments under such agreements would harm our business, financial condition, and results of operations. Although we normally contractually limit our liability with respect to some of these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the availability of licenses to third-party technology that may be difficult to replace or that may cause errors or delay implementation of our solution should we not be able to continue or obtain a commercially reasonable license to such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Dot Cloud SaaS platform relies on software or other intellectual property licensed from third parties. It may be necessary in the future to renew licenses relating to various aspects of these solutions or to seek new licenses for existing or new solutions. There can be no assurance that the necessary licenses would be available on commercially acceptable terms, if at all. Third parties may terminate their licenses with us for a variety of reasons, including actual or perceived failures or breaches of contractual commitments, or they may choose not to renew their licenses with us. In addition, we may be subject to liability if third-party software that we license is found to infringe, misappropriate, or otherwise violate intellectual property or privacy rights of others. The loss of, or inability to obtain, certain third-party licenses or other rights or to obtain such licenses or rights on favorable terms, or the need to engage in litigation regarding these matters, could result in product roll-backs or delays in product releases until equivalent technology can be identified, licensed or developed, if at all, and integrated into our solutions, and it may have a material adverse effect on our business, financial condition, and results of operations. Moreover, the use by our solution of software or other intellectual property licensed from third parties on a nonexclusive basis could limit our ability to differentiate our solution from products of our competitors and could inhibit our ability to provide the current level of service to existing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or the loss of third-party licenses could lead to our solutions becoming inoperable or the performance of our solutions being materially reduced, resulting in the potential need to incur additional research and development costs to ensure continued performance of our solutions or a material increase in the costs of licensing, and we may experience decreased demand for our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and trading volume of our Common Stock and Public Warrants may be highly volatile and could decline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markets worldwide experience significant price and volume fluctuations. This market volatility, as well as general economic, market or political conditions, could reduce the market price of our Common Stock and Public Warrants in spite of our operating performance. We cannot assure you that the market price of our Common Stock and Public Warrants will not fluctuate widely or decline significantly in the future in response to a number of factors, including any of the risks presented under this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or presented elsewhere in this proxy statement/prospectus, and, among others, the following:</w:t>
      </w:r>
    </w:p>
    <w:p>
      <w:pPr>
        <w:pStyle w:val="TextBody"/>
        <w:bidi w:val="0"/>
        <w:spacing w:before="0" w:after="0"/>
        <w:ind w:left="760" w:right="0" w:hanging="480"/>
        <w:jc w:val="left"/>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17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pPr>
            <w:r>
              <w:rPr/>
              <w:t>our operating and financial performance, quarterly or annual earnings relative to similar companies;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publication of research reports or news stories about the us, our competitors or our industry, or positive or negative recommendations or withdrawal of research coverage by securities analysts;</w:t>
            </w:r>
          </w:p>
        </w:tc>
      </w:tr>
    </w:tbl>
    <w:p>
      <w:pPr>
        <w:pStyle w:val="TextBody"/>
        <w:bidi w:val="0"/>
        <w:spacing w:before="0" w:after="0"/>
        <w:ind w:left="760" w:right="0" w:hanging="48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17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both"/>
              <w:rPr/>
            </w:pPr>
            <w:r>
              <w:rPr/>
              <w:t>the public’s reaction to our press-releases, other public announcements and filings with the SEC;</w:t>
            </w:r>
          </w:p>
        </w:tc>
      </w:tr>
    </w:tbl>
    <w:p>
      <w:pPr>
        <w:pStyle w:val="TextBody"/>
        <w:bidi w:val="0"/>
        <w:spacing w:before="0" w:after="0"/>
        <w:ind w:left="760" w:right="0" w:hanging="480"/>
        <w:jc w:val="left"/>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17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both"/>
              <w:rPr/>
            </w:pPr>
            <w:r>
              <w:rPr/>
              <w:t>announcements by us or our competitors of acquisitions, business plans or commercial relationships;</w:t>
            </w:r>
          </w:p>
        </w:tc>
      </w:tr>
    </w:tbl>
    <w:p>
      <w:pPr>
        <w:pStyle w:val="TextBody"/>
        <w:bidi w:val="0"/>
        <w:spacing w:before="0" w:after="0"/>
        <w:ind w:left="760" w:right="0" w:hanging="480"/>
        <w:jc w:val="left"/>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17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pPr>
            <w:r>
              <w:rPr/>
              <w:t>any major change in the Board or senior management;</w:t>
            </w:r>
          </w:p>
        </w:tc>
      </w:tr>
    </w:tbl>
    <w:p>
      <w:pPr>
        <w:pStyle w:val="TextBody"/>
        <w:bidi w:val="0"/>
        <w:spacing w:before="0" w:after="0"/>
        <w:ind w:left="760" w:right="0" w:hanging="480"/>
        <w:jc w:val="left"/>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38"/>
        <w:gridCol w:w="170"/>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both"/>
              <w:rPr/>
            </w:pPr>
            <w:r>
              <w:rPr/>
              <w:t>sales of Common Stock by the Company, our directors, executive officers, principal shareholders;</w:t>
            </w:r>
          </w:p>
        </w:tc>
      </w:tr>
    </w:tbl>
    <w:p>
      <w:pPr>
        <w:pStyle w:val="TextBody"/>
        <w:bidi w:val="0"/>
        <w:spacing w:before="0" w:after="0"/>
        <w:ind w:left="760" w:right="0" w:hanging="480"/>
        <w:jc w:val="left"/>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38"/>
        <w:gridCol w:w="17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pPr>
            <w:r>
              <w:rPr/>
              <w:t>adverse market reaction to any indebtedness we may incur or securities we may issue in the future;</w:t>
            </w:r>
          </w:p>
        </w:tc>
      </w:tr>
    </w:tbl>
    <w:p>
      <w:pPr>
        <w:pStyle w:val="TextBody"/>
        <w:bidi w:val="0"/>
        <w:spacing w:before="0" w:after="0"/>
        <w:ind w:left="760" w:right="0" w:hanging="480"/>
        <w:jc w:val="left"/>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17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pPr>
            <w:r>
              <w:rPr/>
              <w:t>short sales, hedging and other derivative transactions in our Common Stock;</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exposure to capital market risks related to changes in interest rates, realized investment losses, credit spreads, equity prices, foreign exchange rates and performance of insurance-linked investments;</w:t>
            </w:r>
          </w:p>
        </w:tc>
      </w:tr>
    </w:tbl>
    <w:p>
      <w:pPr>
        <w:pStyle w:val="TextBody"/>
        <w:bidi w:val="0"/>
        <w:spacing w:before="0" w:after="0"/>
        <w:ind w:left="760" w:right="0" w:hanging="480"/>
        <w:jc w:val="left"/>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pPr>
            <w:r>
              <w:rPr/>
              <w:t>our creditworthiness, financial condition, performance and prospects;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dividend policy and whether dividends on our Common Stock have been, and are likely to be, declared and paid from time to time;</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perceptions of the investment opportunity associated with our Common Stock relative to other investment alternatives;</w:t>
            </w:r>
          </w:p>
        </w:tc>
      </w:tr>
    </w:tbl>
    <w:p>
      <w:pPr>
        <w:pStyle w:val="TextBody"/>
        <w:bidi w:val="0"/>
        <w:spacing w:before="0" w:after="0"/>
        <w:ind w:left="760" w:right="0" w:hanging="480"/>
        <w:jc w:val="left"/>
        <w:rPr>
          <w:caps w:val="false"/>
          <w:smallCaps w:val="false"/>
        </w:rPr>
      </w:pPr>
      <w:r>
        <w:rPr>
          <w:caps w:val="false"/>
          <w:smallCaps w:val="false"/>
        </w:rPr>
        <w:t> </w:t>
      </w:r>
    </w:p>
    <w:tbl>
      <w:tblPr>
        <w:tblW w:w="3393" w:type="dxa"/>
        <w:jc w:val="left"/>
        <w:tblInd w:w="0" w:type="dxa"/>
        <w:tblLayout w:type="fixed"/>
        <w:tblCellMar>
          <w:top w:w="0" w:type="dxa"/>
          <w:left w:w="0" w:type="dxa"/>
          <w:bottom w:w="0" w:type="dxa"/>
          <w:right w:w="0" w:type="dxa"/>
        </w:tblCellMar>
      </w:tblPr>
      <w:tblGrid>
        <w:gridCol w:w="38"/>
        <w:gridCol w:w="17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85" w:type="dxa"/>
            <w:tcBorders/>
            <w:vAlign w:val="center"/>
          </w:tcPr>
          <w:p>
            <w:pPr>
              <w:pStyle w:val="TableContents"/>
              <w:bidi w:val="0"/>
              <w:spacing w:before="0" w:after="283"/>
              <w:jc w:val="both"/>
              <w:rPr/>
            </w:pPr>
            <w:r>
              <w:rPr/>
              <w:t>regulatory or legal developments;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changes in general market, economic, and political conditions, such as inflationary pressures, rising interest rates, potential recession, local and national elections, fuel prices, international currency fluctuations, corruption, political instability and acts of war or terrorism;</w:t>
            </w:r>
          </w:p>
        </w:tc>
      </w:tr>
    </w:tbl>
    <w:p>
      <w:pPr>
        <w:pStyle w:val="TextBody"/>
        <w:bidi w:val="0"/>
        <w:spacing w:before="0" w:after="0"/>
        <w:ind w:left="760" w:right="0" w:hanging="480"/>
        <w:jc w:val="left"/>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38"/>
        <w:gridCol w:w="17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both"/>
              <w:rPr/>
            </w:pPr>
            <w:r>
              <w:rPr/>
              <w:t>conditions or trends in our industry, geographies or customers;</w:t>
            </w:r>
          </w:p>
        </w:tc>
      </w:tr>
    </w:tbl>
    <w:p>
      <w:pPr>
        <w:pStyle w:val="TextBody"/>
        <w:bidi w:val="0"/>
        <w:spacing w:before="0" w:after="0"/>
        <w:ind w:left="760" w:right="0" w:hanging="480"/>
        <w:jc w:val="left"/>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17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pPr>
            <w:r>
              <w:rPr/>
              <w:t>changes in accounting standards, policies, guidance, interpretations, or principles; and</w:t>
            </w:r>
          </w:p>
        </w:tc>
      </w:tr>
    </w:tbl>
    <w:p>
      <w:pPr>
        <w:pStyle w:val="TextBody"/>
        <w:bidi w:val="0"/>
        <w:spacing w:before="0" w:after="0"/>
        <w:ind w:left="760" w:right="0" w:hanging="480"/>
        <w:jc w:val="left"/>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170"/>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both"/>
              <w:rPr/>
            </w:pPr>
            <w:r>
              <w:rPr/>
              <w:t>threatened or actual litigation or government investigations.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broad market and industry factors may negatively affect the market price of our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results of operations or prospects. Any adverse determination in litigation could also subject us to significant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following the business combination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limited experience managing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our business, if they adversely change their recommendations regarding our shares or if our results of operations do not meet their expectations, our share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industry or securities analysts publish about us or our business. We do not have any control over these analysts. Securities and industry analysts do not currently, and may never, publish research on us. If no securities or industry analysts commence coverage of us, the trading price of our shares would likely be negatively impacted. In the event securities or industry analysts-initiated coverage, and one or more of these analysts cease coverage of us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public company, we are subject to additional laws, regulations, and stock exchange listing standards, which impose additional costs on us and may strain our resources and divert our management’s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publicly traded securities, we are subject to the reporting requirements of the Exchange Act, the Sarbanes-Oxley Act, the Dodd-Frank Wall Street Reform and Consumer Protection Act of 2010, the listing requirements of the Nasdaq and other applicable securities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rules and regulations require that we adopt additional controls and procedures and disclosure, corporate governance and other practices thereby significantly increasing our legal, financial, and other compliance costs. These obligations make other aspects of our business more difficult, time-consuming, or costly and increase demand on our personnel, systems, and other resources. For example, to maintain and improve the effectiveness of our disclosure controls and procedures and internal control over financial reporting, we need to commit significant resources, hire additional staff, and provide additional management oversight. Furthermore, as a result of the disclosure of information in this prospectus and in our Exchange Act and other filings required of a public company, our business and financial condition will become more visible, which we believe may give some of our competitors who may not be similarly required to disclose this type of information a competitive advantage. In addition to these added costs and burdens, if we are unable to satisfy our obligations as a public company, we could be subject to delisting of our Common Stock, fines, sanctions, other regulatory actions, and civil litigation, any of which could negatively affect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provides that the Court of Chancery of the State of Delaware, or the federal district courts within the State of Delaware if the Court of Chancery does not have jurisdiction, will be the exclusive forum for substantially all disputes between us and our stockholders, which could limit our stockholders’ ability to obtain a favorable judicial forum for disputes with us or our directors, officers, or employees. These exclusive-forum provisions do not apply to claims under the Securities Act or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provide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directors, officers, employees or agents or our stockholders, (3) any action asserting a claim against us or any director or officer arising pursuant to any provision of the DGCL, our Charter or Bylaws, or (4) any other action asserting a claim that is governed by the internal affairs doctrine shall be the Court of Chancery of the State of Delaware or federal court located within the State of Delaware if the Court of Chancery does not have jurisdiction, in all cases subject to the court’s having jurisdiction over indispensable parties named as defendants. Section 22 of the Securities Act creates concurrent jurisdiction for federal and state courts over all suits brought to enforce any duty or liability created by the Securities Act, and accordingly, both state and federal courts have jurisdiction to entertain such Securities Act claims. To prevent having to litigate claims in multiple jurisdictions and the threat of inconsistent or contrary rulings by different courts, among other considerations, unless we consent in writing to the selection of an alternate forum, the federal courts will be the exclusive forum for the resolution of any complaint asserting a cause of action arising under the Securities Act. Our Charter does not address or apply to claims that arise under the Exchange Act; however, Section 27 of the Exchange Act creates exclusive federal jurisdiction over all suits brought to enforce any duty or liability created by the Exchange Act or the rules and regulations thereunder. The enforceability of similar choice of forum provisions in other companies’ certificates of incorporation and bylaws has been challenged in legal proceedings, and it is possible that, in connection with any action, a court could find the choice of forum provisions contained in our Charter and Bylaws to be inapplicable or unenforceable in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Charter and Bylaws to be inapplicable or unenforceable in an action, we may incur additional costs associated with resolving such action in other jurisdictions, which could harm our business, financial condition, and operating results.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portion of our total outstanding shares of Common Stock are restricted from immediate resale but may be sold into the market in the near future. This could cause the market price of our Common Stock to drop significantly, even if our business is doing 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we entered into the Registration Rights and Lock-Up Agreement with each of SEE ID and certain of the holders party thereto, pursuant to, and on the terms and conditions of which, subject to certain exceptions, such holders shall not transfer or make any announcement of any intention to effect a transfer of any of the equity interests of securities of the Company beneficially owned by the holder during the period ending 180 days following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applicable expiration of the lock-up period, the holders subject to the Registration Rights and Lock-Up Agreement will not be restricted from selling shares of our Common Stock held by them, other than by applicable securities laws. As such,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restrictions on resale end and registration statements for the sale of shares of Common Stock by the parties to the registration rights agreement are available for use, the sale or possibility of sale of these shares of Common Stock, could have the effect of increasing the volatility in the market price of our Common Stock, or decreasing the market price itself.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Warrants will become exercisable for Common Stock, which will increase the number of shares eligible for future resale in the public market and result in dilution 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15,654,983 outstanding Warrants to purchase 15,654,983 shares of Common Stock at an exercise price of $11.50 per share, which Warrants became exercisable 30 days after the completion of the Business Combination. To the extent such Warrants are exercised, additional shares of Common Stock will be issued, which will result in dilution to the holders of our Common Stock and increase the number of shares eligible for resale in the public market. Sales of substantial numbers of such shares of Common Stock in the public market or the fact that such Warrants may be exercised could adversely affect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quarterly operating results and other operating metrics may fluctuate from quarter to quarter, which makes these metrics difficult to predict.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operating results and other operating metrics have fluctuated in the past and may continue to fluctuate from quarter to quarter.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pStyle w:val="TextBody"/>
        <w:bidi w:val="0"/>
        <w:spacing w:before="0" w:after="0"/>
        <w:ind w:left="760" w:right="0" w:hanging="480"/>
        <w:jc w:val="left"/>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17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both"/>
              <w:rPr/>
            </w:pPr>
            <w:r>
              <w:rPr/>
              <w:t>our ability to maintain and attract new customers;</w:t>
            </w:r>
          </w:p>
        </w:tc>
      </w:tr>
    </w:tbl>
    <w:p>
      <w:pPr>
        <w:pStyle w:val="TextBody"/>
        <w:bidi w:val="0"/>
        <w:spacing w:before="0" w:after="0"/>
        <w:ind w:left="760" w:right="0" w:hanging="480"/>
        <w:jc w:val="left"/>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38"/>
        <w:gridCol w:w="17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pPr>
            <w:r>
              <w:rPr/>
              <w:t>the continued development and upgrading of our technology platform;</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timing and success of new product, service, feature, and content introductions by us or our competitors or any other change in the competitive landscape of our market;</w:t>
            </w:r>
          </w:p>
        </w:tc>
      </w:tr>
    </w:tbl>
    <w:p>
      <w:pPr>
        <w:pStyle w:val="TextBody"/>
        <w:bidi w:val="0"/>
        <w:spacing w:before="0" w:after="0"/>
        <w:ind w:left="760" w:right="0" w:hanging="480"/>
        <w:jc w:val="left"/>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38"/>
        <w:gridCol w:w="17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pPr>
            <w:r>
              <w:rPr/>
              <w:t>pricing pressure as a result of competition or otherwise;</w:t>
            </w:r>
          </w:p>
        </w:tc>
      </w:tr>
    </w:tbl>
    <w:p>
      <w:pPr>
        <w:pStyle w:val="TextBody"/>
        <w:bidi w:val="0"/>
        <w:spacing w:before="0" w:after="0"/>
        <w:ind w:left="760" w:right="0" w:hanging="480"/>
        <w:jc w:val="left"/>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38"/>
        <w:gridCol w:w="17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pPr>
            <w:r>
              <w:rPr/>
              <w:t>delays or disruptions in our supply chain;</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errors in our forecasting of the demand for our products and services, which could lead to lower revenue or increased costs, or both;</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increases in marketing, sales, and other operating expenses that we may incur to grow and expand our operations and to remain competitive;</w:t>
            </w:r>
          </w:p>
        </w:tc>
      </w:tr>
    </w:tbl>
    <w:p>
      <w:pPr>
        <w:pStyle w:val="TextBody"/>
        <w:bidi w:val="0"/>
        <w:spacing w:before="0" w:after="0"/>
        <w:ind w:left="760" w:right="0" w:hanging="480"/>
        <w:jc w:val="left"/>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17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pPr>
            <w:r>
              <w:rPr/>
              <w:t>successful expansion into international markets;</w:t>
            </w:r>
          </w:p>
        </w:tc>
      </w:tr>
    </w:tbl>
    <w:p>
      <w:pPr>
        <w:pStyle w:val="TextBody"/>
        <w:bidi w:val="0"/>
        <w:spacing w:before="0" w:after="0"/>
        <w:ind w:left="760" w:right="0" w:hanging="480"/>
        <w:jc w:val="left"/>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38"/>
        <w:gridCol w:w="170"/>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pPr>
            <w:r>
              <w:rPr/>
              <w:t>the diversification and growth of our revenue sources;</w:t>
            </w:r>
          </w:p>
        </w:tc>
      </w:tr>
    </w:tbl>
    <w:p>
      <w:pPr>
        <w:pStyle w:val="TextBody"/>
        <w:bidi w:val="0"/>
        <w:spacing w:before="0" w:after="0"/>
        <w:ind w:left="760" w:right="0" w:hanging="480"/>
        <w:jc w:val="left"/>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17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pPr>
            <w:r>
              <w:rPr/>
              <w:t>our ability to maintain gross margins and operating margins;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constraints on the availability of consumer financing or increased down payment requirements to finance purchases of our products;</w:t>
            </w:r>
          </w:p>
        </w:tc>
      </w:tr>
    </w:tbl>
    <w:p>
      <w:pPr>
        <w:pStyle w:val="TextBody"/>
        <w:bidi w:val="0"/>
        <w:spacing w:before="0" w:after="0"/>
        <w:ind w:left="760" w:right="0" w:hanging="480"/>
        <w:jc w:val="left"/>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17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pPr>
            <w:r>
              <w:rPr/>
              <w:t>system failures or breaches of security or privacy;</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adverse litigation judgments, settlements, or other litigation-related costs, including content costs for past use;</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changes in the legislative or regulatory environment, including with respect to insurance and consumer product regulations;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fluctuations in currency exchange rates and changes in the proportion of our revenue and expenses denominated in foreign currencies;</w:t>
            </w:r>
          </w:p>
        </w:tc>
      </w:tr>
    </w:tbl>
    <w:p>
      <w:pPr>
        <w:pStyle w:val="TextBody"/>
        <w:bidi w:val="0"/>
        <w:spacing w:before="0" w:after="0"/>
        <w:ind w:left="760" w:right="0" w:hanging="480"/>
        <w:jc w:val="left"/>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17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283"/>
              <w:jc w:val="both"/>
              <w:rPr/>
            </w:pPr>
            <w:r>
              <w:rPr/>
              <w:t>changes in our effective tax rate;</w:t>
            </w:r>
          </w:p>
        </w:tc>
      </w:tr>
    </w:tbl>
    <w:p>
      <w:pPr>
        <w:pStyle w:val="TextBody"/>
        <w:bidi w:val="0"/>
        <w:spacing w:before="0" w:after="0"/>
        <w:ind w:left="760" w:right="0" w:hanging="480"/>
        <w:jc w:val="left"/>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17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pPr>
            <w:r>
              <w:rPr/>
              <w:t>changes in accounting standards, policies, guidance, interpretations, or principles; and</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changes in business or macroeconomic conditions, including lower consumer confidence, recessionary conditions, increased unemployment rates, or stagnant or declining wages.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of the factors above or the cumulative effect of some of the factors above may result in significant fluctuations in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Common Stock could fall substantially, and we could face costly lawsuits, including securities class action 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establish and maintain effective internal controls in accordance with Section 404 of the Sarbanes-Oxley Act could have a material adverse effect on our business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required to disclose changes made in our internal controls and procedures on a quarterly basis, we are be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will is not required to formally attest to the effectiveness of our internal control over financial reporting pursuant to Section 404 until the later of (i) the year following our first annual report required to be filed with the SEC or (ii) the date we are no longer an emerging growth company. At such time, our independent registered public accounting firm may issue a report that is adverse in the event it is not satisfied with the level at which our controls are documented, designed, or operating.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We could also become subject to investigations by the SEC, the stock exchange on which our securities are listed or other regulatory authorities, which could require additional financial and management resources. In addition, if we fail to remedy any material weakness, our financial statements could be inaccurate, and we could face restricted access to capital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Taking advantage of the reduced disclosure requirements applicable to “emerging growth companies” may make our Common Stock less attractive to investors.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JOBS Act provides that, so long as a company qualifies as an “emerging growth company,” it will, among other things:</w:t>
      </w:r>
    </w:p>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be exempt from the provisions of Section 404(b) of the Sarbanes-Oxley Act requiring that its independent registered public accounting firm provide an attestation report on the effectiveness of its internal control over financial reporting;</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be exempt from the “say on pay” and “say on golden parachute” advisory vote requirements of the Dodd-Frank Wall Street Reform and Consumer Protection Act (the “</w:t>
            </w:r>
            <w:r>
              <w:rPr>
                <w:b/>
                <w:i/>
              </w:rPr>
              <w:t>Dodd-Frank Act</w:t>
            </w:r>
            <w:r>
              <w:rPr/>
              <w:t>”);</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be exempt from certain disclosure requirements of the Dodd-Frank Act relating to compensation of its executive officers and be permitted to omit the detailed compensation discussion and analysis from proxy statements and reports filed under the Exchange Act; and</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be exempt from any requirement that may be adopted by the PCAOB regarding mandatory audit firm rotation or be required to deliver a supplement to the auditor’s report providing additional information about the audit and the financial statements (i.e., an auditor discussion and analysis).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take advantage of each of the exemptions described above.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 We could be an emerging growth company for up to five years following the effectiveness of the registration statement for the Business Combination, though we may cease to be an emerging growth company earlier if (1) we have more than $1.07 billion in annual gross revenue, (2) we qualify as a “large accelerated filer” as defined in Rule 12b-2 under the Exchange Act, or (3) we issue, in any three-year period, more than $1.0 billion in non-convertible debt securities held by non-affiliates. We cannot predict if investors will find our Common Stock less attractive if we elect to rely on these exemptions, or if taking advantage of these exemptions would result in less active trading or more volatility in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incur significant legal, accounting, and other expenses that we did not incur as a private company. We are currently subject to or may become subject to the reporting requirements of the Exchange Act, the Sarbanes-Oxley Act of 2002, or the Sarbanes-Oxley Act, the rules subsequently implemented by the SEC, the rules and regulations of the listing standards of the Nasdaq, and other applicable securities rules and regulations. Compliance with these rules and regulations will likely strain our financial and management systems, internal controls,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If we have material weaknesses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will be required to comply with the auditor attestation requirements of Section 404 of the Sarbanes-Oxley Act when we cease to be an emerging growth company.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engaged additional resources to assist us in complying with these requirements, our finance team is small and we may need to hire more employees in the future, or engage outside consultants, which will increase our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These factors could also make it more difficult for us to attract and retain qualified members of the Board and qualified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raise capital in the future may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operations may consume resources faster than we anticipate. In the future, we may need to raise additional funds through the issuance of new equity securities, debt, or a combination of both. However, the lapse or waiver of any lock up restrictions or any sale or perception of a possible sale by our stockholders, and any related decline in the market price of our Common Stock, could impair our ability to raise capital. Separately, additional financing may not be available on favorable terms, or at all. If adequate funds are not available on acceptable terms, we may be unable to fund our capital requirements. If we issue new debt securities, the debt holders would have rights senior to our Common Stock stockholders to make claims on our assets, and the terms of any debt could restrict our operations, including our ability to pay dividends on our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forecasts of market growth and other projections included in this proxy statement/prospectus may prove to be inaccurate, and even if the markets in which we compete achieve the forecasted growth, we cannot assure you that our business will grow at a similar rate,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 forecasts and projections are subject to significant uncertainty and are based on assumptions and estimates that may not prove to be accurate. The forecasts in this proxy statement/prospectus relating to the expected growth in the direct to consumer vehicle and consumer product protection plan market, including estimates based on our own internal survey data, as well as any corresponding projections related to our potential performance, may prove to be inaccurate. Even if the markets experience the forecasted growth described in this proxy statement/prospectus, we may not grow our business at a similar rate,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operations could be negatively affected if it becomes subject to any securities litigation or stockholder activism, which could cause us to incur significant expense, hinder execution of business and growth strategy and impact its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its relationships with service providers and make it more difficult to attract and retain qualified personnel. Also, we may be required to incur significant legal fees and other expenses related to any securities litigation and activist stockholder matters. Further, its stock price could be subject to significant fluctuation or otherwise be adversely affected by the events, risks and uncertainties of any securities litigation and stockholder activism.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amend the terms of the Public Warrants in a manner that may be adverse to holders of our Public Warrants with the approval by the holders of at least 50% of the then outstanding Public Warrants. As a result, the exercise price of your warrants could be increased, the exercise period could be shortened and the number of shares of Common Stock purchasable upon exercise of a Public Warrant could be decreased, all without a warrant holder’s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issued in registered form under a warrant agreement, which provides that the terms of the Public Warrants may be amended without the consent of any holder to cure any ambiguity or correct any defective provision, and that all other modifications or amendments will require the vote or written consent of the holders of at least 50% of the then outstanding Public Warrants, and, solely with respect to any amendment to the terms of the Private Placement Warrants, a majority of the then outstanding Private Placement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Public Warrants, convert the Public Warrants into cash or Common Stock, shorten the exercise period or decrease the number of shares of Common Stock purchasable upon exercise of a Public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Your unexpired Public Warrants may be redeemed prior to their exercise at a time that is disadvantageous to you, thereby making your Public Warrants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Public Warrants may be redeemed at any time after they become exercisable and prior to their expiration, at a price of $0.01 per Public Warrant, provided that the last reported sales price of the Common Stock equals or exceeds $18.00 per share for any 20 trading days within a 30 trading-day period ending on the third trading day prior to the date we send the notice of Redemption to the Public Warrantholders. If and when the Public Warrants become redeemable by us, we may not exercise its Redemption Rights if the issuance of shares of Common Stock upon exercise of the Public Warrants is not exempt from registration or qualification under applicable state blue sky laws or we are unable to effect such registration or qualification, subject to our obligation in such case to use our best efforts to register or qualify the shares of Common Stock under the blue sky laws of the state of residence in those states in which the Public Warrants were initially offered. Redemption of the outstanding Public Warrants could force you to (i) exercise your Public Warrants and pay the exercise price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Public Warrants. None of the Private Placement Warrants will be redeemable by us so long as they are held by their initial purchasers or their permitted transferees.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we will not receive any proceeds from the sale of securities by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exercise of all outstanding Public Warrants for cash, we will receive an aggregate of approximately $172,499,805 but will not receive any proceeds from the sale of the shares of Common Stock issuable upon such exercise. We expect to use the net proceeds from the exercise of the Public Warrants, if any, for general corporate purposes. We will have broad discretion over the use of any proceeds from the exercise of the Public Warrants. There is no assurance that the holders of the Public Warrants will elect to exercise for cash any or all of such Public Warrants. To the extent that any Public Warrants are exercised on a “cashless basis,” the amount of cash we would receive from the exercise of the Public Warrants will decrease.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DETERMINATION OF OFFERING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of the shares of Common Stock underlying the Public Warrants offered hereby is determined by reference to the exercise price of the Warrants of $11.50 per share. The Public Warrants are listed on the Nasdaq under the symbol “DAICW.”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currently determine the price or prices at which shares of our Common Stock or Warrants may be sold by the Selling Securityholders under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MARKET INFORMATION FOR SECURITIES AND 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Warrants are currently listed on the Nasdaq under the symbols “DAIC” and “DAICW,” respectively. Prior to the consummation of the Business Combination, SUAC’s Common Stock and warrants were listed on the Markets Group, Inc. stock exchange under the symbols “SUAC” and “SUAC.WS,” respectively. As of December 1, 2025, there were 27,773,322 shares of Common Stock issued and outstanding held of record by 284 holders, and warrants to purchase an aggregate of 15,654,983 shares of Common Stock outstanding held of record by 4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Common Stock to date. The payment of cash dividends in the future will be dependent upon our revenues and earnings, if any, capital requirements and general financial condition. The payment of any cash dividends will be within the discretion of our Board at such time. In addition, we are not currently contemplating and do not anticipate declaring any stock dividends in the foreseeable future as it is currently expected that available cash resources will be utilized in connection with our ongoing operations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read the following discussion and analysis of our financial condition and results of operations together with our consolidated financial statements and related notes included in this filing. Some of the information contained in the following discussion and analysis, including information with respect to our plans and strategy for our business, includes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“Risks Relating to CID HoldCo, Inc.” or included elsewhere in this Report.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These statements, like all statements in this report, speak only as of their date (unless another date is indicated), and we undertake no obligation to update or revise these statements in light of future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section generally discusses our financial condition and results of operations for fiscal years 2023 and 2024, and year-to-year comparisons between Q3 results in 2024 and 2025 in accordance with U.S. Generally Accepted Accounting Principles (“GAAP”). A discussion of our financial condition and results of operations and our liquidity and capital resources for fiscal year 2024, and year-to-year comparisons between fiscal years 2023 and 2024 can be found under the heading “Management’s Discussion and Analysis of Financial Condition and Results of Operations” for the fiscal year ended December 31, 2024 and for the three and nine months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(the “Company”, “CID” or “CID Holdco”), formerly known as SEE ID Inc, dba Dot AI (the “Legacy Company” or “SEE ID”), was incorporated in Delaware with the headquarters in Las Vegas, Nevada. CID helps businesses digitally transform their operations using IoT and AI technology. With significant innovations in radio frequency networking, use of vision system overlays and a cloud-based AI engine, the Company offers a differentiated asset tracking and workflow management solutions for industrial enterprises. Through its technological solutions, CID serves multiple industries including aviation, construction, delivery, military, mining, retail, seaports, medical logistics, warehousing and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(“DFM”) capability is built around our CTO in Worcester, MA and our core software team is in Bangalore, India.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the notes to the condensed consolidated financial statements, unless otherwise noted or otherwise suggested by context, the “Company”, “we”, “us”, “our” refers to the Legacy Company prior to the consummation of the Business Combination, and the Company after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“Closing Date”) the Company consummated the Business Combination transactions by and among the Company, ShoulderUp Technology Acquisition Corp (“SUAC” or “ShoulderUp”),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CID Holdco filed a registration statement on Form S-4 (File No. 333-282600) (as amended, the “Registration Statement”) with the U.S. Securities and Exchange Commission (the “SEC”). On June 18, 2025, the Registration Statement was declared effective by the SEC. At Closing, the assets and liabilities of Legacy Company were combined with the assets and liabilities ShoulderUp Technology Acquisition Corp on a historical cost basis. All Legacy Company common stock was exchanged for common stock of the Company based upon the exchange ratio as defined in the Business Combination Agreement as Aggregate Merger Consideration (13,000,000 CID Holdco shares) divided by the Company Fully Diluted Common Stock (160,015,641) or 8.124% Stock options of Legacy Company were not exercised and remain outstanding after giving into effect the exchange ratio. In connection with the Business Combination, we incurred transaction costs, settled certain SUAC related party notes through the issuance of common shares, converted SAFE notes into common stock of the Company, and raised cash proceeds from PIPE investors. Additional information regarding the Business Combination and Reverse Recapitalization is provided in Note 3 to the unaudited condensed consolidated financial statements for the three and nine months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Our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Acquiring New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have a substantial opportunity to grow our customer base. We intend to drive new customer acquisition by continuing to invest significantly in sales and marketing to engage our prospective customers, increase brand awareness, and drive adoption of our Dot Cloud platform. Our ability to attract new customers depends on a number of factors, including the effectiveness of our sales and marketing efforts, macroeconomic factors and their impact on our customers’ businesses, and the success of our efforts to expand internationally.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Expanding Within Our Existing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is a significant opportunity to expand sales to existing customers following their initial adoption of our Dot Cloud. We will expand our customer base by selling more applications and expanding use of existing applications across geographies and divisions. Our ability to expand within our customer base will depend on a number of factors, including our customers’ satisfaction, pricing, competition, macroeconomic factors, and changes in our customers’ spending levels. While there are many factors involved in this expansion, the Customer Success department will be the key internal driver to retention and expansion of customer revenue. At this juncture, it is not a significant part of our operational expense but will be built out as our bookings increase and our channel support requirements come online.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 Innovation and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 leadership is supported by continuous innovation in our Dot Cloud, our inventions in IoT data collection and our advances in applying AI to our customer problem sets. We continuously invest in adding new applications and methods to our solution. As such, spending on research and development will always be an important part of our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driving force that will fuel our company is market growth. Our recent pivot to move most of our spending to Sales and Marketing shows a commitment to our go-to-market strategy. We recognize the need to grow adoption and expand brand awareness as we rise in the space. This fiscal year is a critical period to add productive resources to ensure success is sustained.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Adding additional compliance and oversight resources as we grow and especially as we make a public offering, is a natural and essential step. In addition, our small operations team will continue to grow as the demand increases from our maturing sales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Revenue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access to our Dot Cloud through subscription arrangements, where the customer is charged a per-subscription fee for access for a specified term. Subscription agreements will contain multiple service elements for one or more of our cloud-based Applications via mobile app(s) or a website that enable data collection and provide access to the cellular network, IoT devices (which we also refer to as connected devices), and support services delivered over the term of the arrangement. Our subscription contracts will typically have an initial term of three to five years and are generally non-cancellable and non-refundable, subject to limited exceptions under our standard terms of service and other exceptions for public sector customers, who are often subject to annual budget appropriations cycles. Our Connected Dot Cloud and IoT devices are highly integrated with the subscription service and together will represent a single performance obligation. Revenues attributable to this combined performance obligation are recognized over time as the services are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provide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revenues are primarily related to the delivery of feasibility study reports to customers seeking to gain insight into how data driven tracking could improve their business, which is recognized upon acceptance of the feasibility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Allocation of Overhead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Overhead costs that are not substantially dedicated for use by a specific functional group are allocated based on headcount. Such costs include costs associated with office facilities, depreciation of property and equipment, IT and security expenses, and other expenses, such as corporate software, subscription services, and insurance. Manufacturing overheads are allocated to production based on volume.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will consists primarily of cellular-related costs, third-party cloud infrastructure expenses, customer support costs, warranty charges, employee-related costs directly associated with our customer support and operations, including salaries, employee benefits and stock-based compensation, amortization of internal-use software development, certain cloud computing implementation costs, expenses related to shipping and handling, packaging, fulfillment, warehousing, write-downs of excess and obsolete inventory, and allocated overhead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customers expand and increase, the use of our Dot Cloud driven by additional IoT devices and Applications, our cost of revenue may vary from quarter to quarter as a percentage of our revenue due to the timing and extent of these expenses. We intend to continue to invest additional resources in our Dot Cloud and customer support and operations personnel as we grow our business. The level and timing of investment in these areas will affect our cost of revenue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employee-related costs, including salaries, employee benefits and stock-based compensation, depreciation and other expenses related to prototyping IoT devices, product initiatives, software subscriptions, hosting used in research and development, and allocated overhead costs. We continue to focus our research and development efforts on adding new features and products and enhancing the utility of our Dot Cloud. We capitalize the portion of our internal-use software development costs that meets the criteria for capitalization. We expect our research and development expenses to generally increase in absolute dollars for the foreseeable future as we continue to invest in research and development efforts to enhance our Dot Cloud. Our research and development expenses may fluctuate as a percentage of our revenue from period to period due to the timing and extent of these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consist primarily of employee-related costs directly associated with our sales and marketing activities, including salaries, employee benefits and stock-based compensation, and sales commissions. Sales and marketing expenses also include expenditures related to advertising, media, marketing, promotional costs, free trial expenses, brand awareness activities, business development, corporate partnerships, travel, conferences and events, professional services, and allocated overhead costs. We also have a heavy reliance on contracted services in these areas which are reflected in the department spend. We plan to continue to invest in sales and marketing to grow our customer base and increase our brand awareness. As a result, we expect our sales and marketing expenses to increase in absolute dollars for the foreseeable future. Our sales and marketing expenses may fluctuate as a percentage of our revenue from period to period due to the timing and extent of these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of employee-related costs for executive, finance, legal, human resources, facilities, and certain IT personnel, including salaries, employee benefits and stock-based compensation, professional fees for external legal, accounting, recruiting and other consulting services, bad debt, allocated overhead costs, and unallocated lease costs. We expect our general and administrative expenses to continue to increase in absolute dollars for the foreseeable future to support our growth and because of additional costs associated with legal, accounting, compliance, insurance, investor relations, and other areas associated with being a public company. Our general and administrative expenses may fluctuate as a percentage of our revenue from period to period due to the timing and extent of these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primarily of interest incurred for our short term bridge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SAFE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the fair value of SAFE agreements represents the unrealized gains or losses resulting from the fluctuations in the estimated value of the outstanding SAFE agreements, or reevaluation of updated market conditions and company-specific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costs expensed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transaction costs incurred in connection with the Business Combination that occurred in June 2025, and therefore transaction costs expensed were not a component of our results of operations during 2024. Costs that are directly attributable to the issuance of equity instruments, such as legal, accounting, and advisory fees related to the merger and recapitalization, are recorded as a reduction to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from extinguishment of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one lender elected to convert a portion of its outstanding principal and accrued interest into shares of Common Stock. In connection with the bridge loan conversion, the Company derecognized the liability, issued shares of Common Stock and recognized a loss on debt extinguishment, based on the fair value of the Common Stock at the date of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Three and Nine Months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Cost of Revenue, Gross Profit, and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revenue, cost of revenue, gross profit, and gross margin for the three and nine months ended September 30, 2025 and 2024 are summarized as follows:</w:t>
      </w:r>
    </w:p>
    <w:p>
      <w:pPr>
        <w:pStyle w:val="TextBody"/>
        <w:bidi w:val="0"/>
        <w:spacing w:before="0" w:after="0"/>
        <w:ind w:left="0" w:right="0" w:hanging="0"/>
        <w:jc w:val="both"/>
        <w:rPr>
          <w:caps w:val="false"/>
          <w:smallCaps w:val="false"/>
        </w:rPr>
      </w:pPr>
      <w:r>
        <w:rPr>
          <w:caps w:val="false"/>
          <w:smallCaps w:val="false"/>
        </w:rPr>
        <w:t> </w:t>
      </w:r>
    </w:p>
    <w:tbl>
      <w:tblPr>
        <w:tblW w:w="7833" w:type="dxa"/>
        <w:jc w:val="left"/>
        <w:tblInd w:w="0" w:type="dxa"/>
        <w:tblLayout w:type="fixed"/>
        <w:tblCellMar>
          <w:top w:w="0" w:type="dxa"/>
          <w:left w:w="0" w:type="dxa"/>
          <w:bottom w:w="0" w:type="dxa"/>
          <w:right w:w="0" w:type="dxa"/>
        </w:tblCellMar>
      </w:tblPr>
      <w:tblGrid>
        <w:gridCol w:w="1805"/>
        <w:gridCol w:w="60"/>
        <w:gridCol w:w="195"/>
        <w:gridCol w:w="1116"/>
        <w:gridCol w:w="300"/>
        <w:gridCol w:w="83"/>
        <w:gridCol w:w="236"/>
        <w:gridCol w:w="1148"/>
        <w:gridCol w:w="215"/>
        <w:gridCol w:w="60"/>
        <w:gridCol w:w="148"/>
        <w:gridCol w:w="847"/>
        <w:gridCol w:w="215"/>
        <w:gridCol w:w="60"/>
        <w:gridCol w:w="83"/>
        <w:gridCol w:w="1032"/>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0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2024 </w:t>
              <w:br/>
              <w:t>(As Restated)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116" w:type="dxa"/>
            <w:tcBorders/>
            <w:shd w:fill="CCEEFF" w:val="clear"/>
            <w:vAlign w:val="center"/>
          </w:tcPr>
          <w:p>
            <w:pPr>
              <w:pStyle w:val="TableContents"/>
              <w:bidi w:val="0"/>
              <w:spacing w:before="0" w:after="283"/>
              <w:jc w:val="right"/>
              <w:rPr/>
            </w:pPr>
            <w:r>
              <w:rPr/>
              <w:t>778,482</w:t>
            </w:r>
          </w:p>
        </w:tc>
        <w:tc>
          <w:tcPr>
            <w:tcW w:w="30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81,636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696,846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853.6</w:t>
            </w:r>
          </w:p>
        </w:tc>
        <w:tc>
          <w:tcPr>
            <w:tcW w:w="23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FFFFFF" w:val="clear"/>
            <w:tcMar>
              <w:bottom w:w="28" w:type="dxa"/>
            </w:tcMar>
            <w:vAlign w:val="center"/>
          </w:tcPr>
          <w:p>
            <w:pPr>
              <w:pStyle w:val="TableContents"/>
              <w:bidi w:val="0"/>
              <w:spacing w:before="0" w:after="283"/>
              <w:jc w:val="right"/>
              <w:rPr/>
            </w:pPr>
            <w:r>
              <w:rPr/>
              <w:t>488,286</w:t>
            </w:r>
          </w:p>
        </w:tc>
        <w:tc>
          <w:tcPr>
            <w:tcW w:w="30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single" w:sz="12" w:space="0" w:color="000000"/>
            </w:tcBorders>
            <w:shd w:fill="FFFFFF" w:val="clear"/>
            <w:tcMar>
              <w:bottom w:w="28" w:type="dxa"/>
            </w:tcMar>
            <w:vAlign w:val="center"/>
          </w:tcPr>
          <w:p>
            <w:pPr>
              <w:pStyle w:val="TableContents"/>
              <w:bidi w:val="0"/>
              <w:spacing w:before="0" w:after="283"/>
              <w:jc w:val="right"/>
              <w:rPr/>
            </w:pPr>
            <w:r>
              <w:rPr/>
              <w:t>7,997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480,289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FFFFFF" w:val="clear"/>
            <w:tcMar>
              <w:bottom w:w="28" w:type="dxa"/>
            </w:tcMar>
            <w:vAlign w:val="center"/>
          </w:tcPr>
          <w:p>
            <w:pPr>
              <w:pStyle w:val="TableContents"/>
              <w:bidi w:val="0"/>
              <w:spacing w:before="0" w:after="283"/>
              <w:jc w:val="right"/>
              <w:rPr/>
            </w:pPr>
            <w:r>
              <w:rPr/>
              <w:t>6,005.9</w:t>
            </w:r>
          </w:p>
        </w:tc>
        <w:tc>
          <w:tcPr>
            <w:tcW w:w="230"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16" w:type="dxa"/>
            <w:tcBorders>
              <w:bottom w:val="single" w:sz="12" w:space="0" w:color="000000"/>
            </w:tcBorders>
            <w:shd w:fill="CCEEFF" w:val="clear"/>
            <w:tcMar>
              <w:bottom w:w="28" w:type="dxa"/>
            </w:tcMar>
            <w:vAlign w:val="center"/>
          </w:tcPr>
          <w:p>
            <w:pPr>
              <w:pStyle w:val="TableContents"/>
              <w:bidi w:val="0"/>
              <w:spacing w:before="0" w:after="283"/>
              <w:jc w:val="right"/>
              <w:rPr/>
            </w:pPr>
            <w:r>
              <w:rPr/>
              <w:t>290,196</w:t>
            </w:r>
          </w:p>
        </w:tc>
        <w:tc>
          <w:tcPr>
            <w:tcW w:w="30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48" w:type="dxa"/>
            <w:tcBorders>
              <w:bottom w:val="single" w:sz="12" w:space="0" w:color="000000"/>
            </w:tcBorders>
            <w:shd w:fill="CCEEFF" w:val="clear"/>
            <w:tcMar>
              <w:bottom w:w="28" w:type="dxa"/>
            </w:tcMar>
            <w:vAlign w:val="center"/>
          </w:tcPr>
          <w:p>
            <w:pPr>
              <w:pStyle w:val="TableContents"/>
              <w:bidi w:val="0"/>
              <w:spacing w:before="0" w:after="283"/>
              <w:jc w:val="right"/>
              <w:rPr/>
            </w:pPr>
            <w:r>
              <w:rPr/>
              <w:t>73,639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216,557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CCEEFF" w:val="clear"/>
            <w:tcMar>
              <w:bottom w:w="28" w:type="dxa"/>
            </w:tcMar>
            <w:vAlign w:val="center"/>
          </w:tcPr>
          <w:p>
            <w:pPr>
              <w:pStyle w:val="TableContents"/>
              <w:bidi w:val="0"/>
              <w:spacing w:before="0" w:after="283"/>
              <w:jc w:val="right"/>
              <w:rPr/>
            </w:pPr>
            <w:r>
              <w:rPr/>
              <w:t>294.1</w:t>
            </w:r>
          </w:p>
        </w:tc>
        <w:tc>
          <w:tcPr>
            <w:tcW w:w="23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Gross margin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37.3</w:t>
            </w:r>
          </w:p>
        </w:tc>
        <w:tc>
          <w:tcPr>
            <w:tcW w:w="300"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90.2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31.1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34.5</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7905" w:type="dxa"/>
        <w:jc w:val="left"/>
        <w:tblInd w:w="0" w:type="dxa"/>
        <w:tblLayout w:type="fixed"/>
        <w:tblCellMar>
          <w:top w:w="0" w:type="dxa"/>
          <w:left w:w="0" w:type="dxa"/>
          <w:bottom w:w="0" w:type="dxa"/>
          <w:right w:w="0" w:type="dxa"/>
        </w:tblCellMar>
      </w:tblPr>
      <w:tblGrid>
        <w:gridCol w:w="1805"/>
        <w:gridCol w:w="60"/>
        <w:gridCol w:w="164"/>
        <w:gridCol w:w="1154"/>
        <w:gridCol w:w="253"/>
        <w:gridCol w:w="70"/>
        <w:gridCol w:w="205"/>
        <w:gridCol w:w="1179"/>
        <w:gridCol w:w="215"/>
        <w:gridCol w:w="60"/>
        <w:gridCol w:w="140"/>
        <w:gridCol w:w="980"/>
        <w:gridCol w:w="215"/>
        <w:gridCol w:w="60"/>
        <w:gridCol w:w="83"/>
        <w:gridCol w:w="1032"/>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nine months ended</w:t>
              <w:b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5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2024 </w:t>
              <w:br/>
              <w:t>(As Restated)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1,257,813</w:t>
            </w:r>
          </w:p>
        </w:tc>
        <w:tc>
          <w:tcPr>
            <w:tcW w:w="25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183,631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1,074,182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585.0</w:t>
            </w:r>
          </w:p>
        </w:tc>
        <w:tc>
          <w:tcPr>
            <w:tcW w:w="23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FFFFFF" w:val="clear"/>
            <w:tcMar>
              <w:bottom w:w="28" w:type="dxa"/>
            </w:tcMar>
            <w:vAlign w:val="center"/>
          </w:tcPr>
          <w:p>
            <w:pPr>
              <w:pStyle w:val="TableContents"/>
              <w:bidi w:val="0"/>
              <w:spacing w:before="0" w:after="283"/>
              <w:jc w:val="right"/>
              <w:rPr/>
            </w:pPr>
            <w:r>
              <w:rPr/>
              <w:t>572,558</w:t>
            </w:r>
          </w:p>
        </w:tc>
        <w:tc>
          <w:tcPr>
            <w:tcW w:w="25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shd w:fill="FFFFFF" w:val="clear"/>
            <w:tcMar>
              <w:bottom w:w="28" w:type="dxa"/>
            </w:tcMar>
            <w:vAlign w:val="center"/>
          </w:tcPr>
          <w:p>
            <w:pPr>
              <w:pStyle w:val="TableContents"/>
              <w:bidi w:val="0"/>
              <w:spacing w:before="0" w:after="283"/>
              <w:jc w:val="right"/>
              <w:rPr/>
            </w:pPr>
            <w:r>
              <w:rPr/>
              <w:t>18,006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554,552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FFFFFF" w:val="clear"/>
            <w:tcMar>
              <w:bottom w:w="28" w:type="dxa"/>
            </w:tcMar>
            <w:vAlign w:val="center"/>
          </w:tcPr>
          <w:p>
            <w:pPr>
              <w:pStyle w:val="TableContents"/>
              <w:bidi w:val="0"/>
              <w:spacing w:before="0" w:after="283"/>
              <w:jc w:val="right"/>
              <w:rPr/>
            </w:pPr>
            <w:r>
              <w:rPr/>
              <w:t>3,079.8</w:t>
            </w:r>
          </w:p>
        </w:tc>
        <w:tc>
          <w:tcPr>
            <w:tcW w:w="230"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685,255</w:t>
            </w:r>
          </w:p>
        </w:tc>
        <w:tc>
          <w:tcPr>
            <w:tcW w:w="25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9" w:type="dxa"/>
            <w:tcBorders>
              <w:bottom w:val="single" w:sz="12" w:space="0" w:color="000000"/>
            </w:tcBorders>
            <w:shd w:fill="CCEEFF" w:val="clear"/>
            <w:tcMar>
              <w:bottom w:w="28" w:type="dxa"/>
            </w:tcMar>
            <w:vAlign w:val="center"/>
          </w:tcPr>
          <w:p>
            <w:pPr>
              <w:pStyle w:val="TableContents"/>
              <w:bidi w:val="0"/>
              <w:spacing w:before="0" w:after="283"/>
              <w:jc w:val="right"/>
              <w:rPr/>
            </w:pPr>
            <w:r>
              <w:rPr/>
              <w:t>165,625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519,630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CCEEFF" w:val="clear"/>
            <w:tcMar>
              <w:bottom w:w="28" w:type="dxa"/>
            </w:tcMar>
            <w:vAlign w:val="center"/>
          </w:tcPr>
          <w:p>
            <w:pPr>
              <w:pStyle w:val="TableContents"/>
              <w:bidi w:val="0"/>
              <w:spacing w:before="0" w:after="283"/>
              <w:jc w:val="right"/>
              <w:rPr/>
            </w:pPr>
            <w:r>
              <w:rPr/>
              <w:t>313.7</w:t>
            </w:r>
          </w:p>
        </w:tc>
        <w:tc>
          <w:tcPr>
            <w:tcW w:w="23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Gross margin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pPr>
            <w:r>
              <w:rPr/>
              <w:t>54.5</w:t>
            </w:r>
          </w:p>
        </w:tc>
        <w:tc>
          <w:tcPr>
            <w:tcW w:w="253"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90.2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53.6</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2025, total revenue increased by approximately $697 thousand, or 853.6%, to $778 thousand compared to $82 thousand for the same period in 2024. The increase was primarily attributable to product revenue recognized during the current quarter from sales of bridges, gateways, and labels to existing customers, partially offset by a $196 thousand revenue reversal tied to an updated estimate based on the timing of actual revenue recognized compared to the estimate utilized related to the $2 million exclusivity client payment. Based on expected $175 million client spend over the 5-year term to retain exclusivity, the Company refined its estimate to recognize the exclusivity payment as revenue across the full 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goods sold increased by $480 thousand, or 6,005.9%, to $488 thousand, reflecting higher material and labor costs associated with increased product sales. As a result, gross profit increased by $217 thousand, or 294.1%, to $290 thousand, compared to $74 thousand for the same period in 2024. Gross margin decreased to 37.3% from 90.2%, primarily due to the higher proportion of product sales, which generally carry lower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total revenue increased by approximately $1,074 thousand, or 585.0%, to $1,258 thousand compared to $184 thousand for the same period in 2024. The increase was primarily attributable to product revenue recognized during the current period from sales of bridges, gateways, and labels to existing customers. Total cost of goods sold increased by $555 thousand, or 3,079.8%, to $573 thousand, reflecting higher material and labor costs associated with increased product sales. As a result, gross profit increased by $520 thousand, or 313.7%, to $685 thousand compared to $166 thousand for the same period in 2024. Gross margin decreased to 54.5% from 90.2%, primarily due to the higher proportion of product sales, which generally carry lower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three and nine months ended September 30, 2025 and 2024 is summarized as follows:</w:t>
      </w:r>
    </w:p>
    <w:p>
      <w:pPr>
        <w:pStyle w:val="TextBody"/>
        <w:bidi w:val="0"/>
        <w:spacing w:before="0" w:after="0"/>
        <w:ind w:left="0" w:right="0" w:hanging="0"/>
        <w:jc w:val="both"/>
        <w:rPr>
          <w:caps w:val="false"/>
          <w:smallCaps w:val="false"/>
        </w:rPr>
      </w:pPr>
      <w:r>
        <w:rPr>
          <w:caps w:val="false"/>
          <w:smallCaps w:val="false"/>
        </w:rPr>
        <w:t> </w:t>
      </w:r>
    </w:p>
    <w:tbl>
      <w:tblPr>
        <w:tblW w:w="8364" w:type="dxa"/>
        <w:jc w:val="left"/>
        <w:tblInd w:w="0" w:type="dxa"/>
        <w:tblLayout w:type="fixed"/>
        <w:tblCellMar>
          <w:top w:w="0" w:type="dxa"/>
          <w:left w:w="0" w:type="dxa"/>
          <w:bottom w:w="0" w:type="dxa"/>
          <w:right w:w="0" w:type="dxa"/>
        </w:tblCellMar>
      </w:tblPr>
      <w:tblGrid>
        <w:gridCol w:w="2585"/>
        <w:gridCol w:w="60"/>
        <w:gridCol w:w="184"/>
        <w:gridCol w:w="1054"/>
        <w:gridCol w:w="283"/>
        <w:gridCol w:w="79"/>
        <w:gridCol w:w="205"/>
        <w:gridCol w:w="1179"/>
        <w:gridCol w:w="215"/>
        <w:gridCol w:w="60"/>
        <w:gridCol w:w="148"/>
        <w:gridCol w:w="847"/>
        <w:gridCol w:w="60"/>
        <w:gridCol w:w="60"/>
        <w:gridCol w:w="107"/>
        <w:gridCol w:w="1008"/>
        <w:gridCol w:w="23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83"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br/>
              <w:t>(As Restated)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pPr>
            <w:r>
              <w:rPr/>
              <w:t>397,135</w:t>
            </w:r>
          </w:p>
        </w:tc>
        <w:tc>
          <w:tcPr>
            <w:tcW w:w="283"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9" w:type="dxa"/>
            <w:tcBorders>
              <w:bottom w:val="single" w:sz="12" w:space="0" w:color="000000"/>
            </w:tcBorders>
            <w:shd w:fill="CCEEFF" w:val="clear"/>
            <w:tcMar>
              <w:bottom w:w="28" w:type="dxa"/>
            </w:tcMar>
            <w:vAlign w:val="center"/>
          </w:tcPr>
          <w:p>
            <w:pPr>
              <w:pStyle w:val="TableContents"/>
              <w:bidi w:val="0"/>
              <w:spacing w:before="0" w:after="283"/>
              <w:jc w:val="right"/>
              <w:rPr/>
            </w:pPr>
            <w:r>
              <w:rPr/>
              <w:t>186,678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210,457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before="0" w:after="283"/>
              <w:jc w:val="right"/>
              <w:rPr/>
            </w:pPr>
            <w:r>
              <w:rPr/>
              <w:t>112.7</w:t>
            </w:r>
          </w:p>
        </w:tc>
        <w:tc>
          <w:tcPr>
            <w:tcW w:w="230"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left"/>
              <w:rPr/>
            </w:pPr>
            <w:r>
              <w:rPr/>
              <w:t>Percentage of revenue</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FFFFFF" w:val="clear"/>
            <w:tcMar>
              <w:bottom w:w="28" w:type="dxa"/>
            </w:tcMar>
            <w:vAlign w:val="center"/>
          </w:tcPr>
          <w:p>
            <w:pPr>
              <w:pStyle w:val="TableContents"/>
              <w:bidi w:val="0"/>
              <w:spacing w:before="0" w:after="283"/>
              <w:jc w:val="right"/>
              <w:rPr/>
            </w:pPr>
            <w:r>
              <w:rPr/>
              <w:t>51.0</w:t>
            </w:r>
          </w:p>
        </w:tc>
        <w:tc>
          <w:tcPr>
            <w:tcW w:w="283"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shd w:fill="FFFFFF" w:val="clear"/>
            <w:tcMar>
              <w:bottom w:w="28" w:type="dxa"/>
            </w:tcMar>
            <w:vAlign w:val="center"/>
          </w:tcPr>
          <w:p>
            <w:pPr>
              <w:pStyle w:val="TableContents"/>
              <w:bidi w:val="0"/>
              <w:spacing w:before="0" w:after="283"/>
              <w:jc w:val="right"/>
              <w:rPr/>
            </w:pPr>
            <w:r>
              <w:rPr/>
              <w:t>228.7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312" w:type="dxa"/>
        <w:jc w:val="left"/>
        <w:tblInd w:w="0" w:type="dxa"/>
        <w:tblLayout w:type="fixed"/>
        <w:tblCellMar>
          <w:top w:w="0" w:type="dxa"/>
          <w:left w:w="0" w:type="dxa"/>
          <w:bottom w:w="0" w:type="dxa"/>
          <w:right w:w="0" w:type="dxa"/>
        </w:tblCellMar>
      </w:tblPr>
      <w:tblGrid>
        <w:gridCol w:w="2585"/>
        <w:gridCol w:w="60"/>
        <w:gridCol w:w="178"/>
        <w:gridCol w:w="1020"/>
        <w:gridCol w:w="274"/>
        <w:gridCol w:w="76"/>
        <w:gridCol w:w="205"/>
        <w:gridCol w:w="1179"/>
        <w:gridCol w:w="215"/>
        <w:gridCol w:w="60"/>
        <w:gridCol w:w="148"/>
        <w:gridCol w:w="847"/>
        <w:gridCol w:w="60"/>
        <w:gridCol w:w="60"/>
        <w:gridCol w:w="107"/>
        <w:gridCol w:w="1008"/>
        <w:gridCol w:w="23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nine months ended</w:t>
              <w:b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74"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2024 </w:t>
              <w:br/>
              <w:t>(As Restated)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972,640</w:t>
            </w:r>
          </w:p>
        </w:tc>
        <w:tc>
          <w:tcPr>
            <w:tcW w:w="274"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9" w:type="dxa"/>
            <w:tcBorders>
              <w:bottom w:val="single" w:sz="12" w:space="0" w:color="000000"/>
            </w:tcBorders>
            <w:shd w:fill="CCEEFF" w:val="clear"/>
            <w:tcMar>
              <w:bottom w:w="28" w:type="dxa"/>
            </w:tcMar>
            <w:vAlign w:val="center"/>
          </w:tcPr>
          <w:p>
            <w:pPr>
              <w:pStyle w:val="TableContents"/>
              <w:bidi w:val="0"/>
              <w:spacing w:before="0" w:after="283"/>
              <w:jc w:val="right"/>
              <w:rPr/>
            </w:pPr>
            <w:r>
              <w:rPr/>
              <w:t>459,991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512,649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before="0" w:after="283"/>
              <w:jc w:val="right"/>
              <w:rPr/>
            </w:pPr>
            <w:r>
              <w:rPr/>
              <w:t>111.4</w:t>
            </w:r>
          </w:p>
        </w:tc>
        <w:tc>
          <w:tcPr>
            <w:tcW w:w="230"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left"/>
              <w:rPr/>
            </w:pPr>
            <w:r>
              <w:rPr/>
              <w:t>Percentage of revenue</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FFFFFF" w:val="clear"/>
            <w:tcMar>
              <w:bottom w:w="28" w:type="dxa"/>
            </w:tcMar>
            <w:vAlign w:val="center"/>
          </w:tcPr>
          <w:p>
            <w:pPr>
              <w:pStyle w:val="TableContents"/>
              <w:bidi w:val="0"/>
              <w:spacing w:before="0" w:after="283"/>
              <w:jc w:val="right"/>
              <w:rPr/>
            </w:pPr>
            <w:r>
              <w:rPr/>
              <w:t>77.3</w:t>
            </w:r>
          </w:p>
        </w:tc>
        <w:tc>
          <w:tcPr>
            <w:tcW w:w="274"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shd w:fill="FFFFFF" w:val="clear"/>
            <w:tcMar>
              <w:bottom w:w="28" w:type="dxa"/>
            </w:tcMar>
            <w:vAlign w:val="center"/>
          </w:tcPr>
          <w:p>
            <w:pPr>
              <w:pStyle w:val="TableContents"/>
              <w:bidi w:val="0"/>
              <w:spacing w:before="0" w:after="283"/>
              <w:jc w:val="right"/>
              <w:rPr/>
            </w:pPr>
            <w:r>
              <w:rPr/>
              <w:t>250.5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expenses were $397 thousand for the three months ended September 30, 2025, an increase of $210 thousand, or 112.7%, compared to $187 thousand for the same period in 2024. The increase was primarily driven by the onboarding of additional software and hardware development contractors, as well as higher personnel-related and prototype development costs to support new product initiatives. Our spending for research and development reflects our growing capacity to satisfy customer feature requests and continued investment in our technology roadmap. As a percentage of revenue, R&amp;D expenses decreased to 51.0% from 228.7%, primarily due to significantly higher revenue in the current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research and development (“R&amp;D”) expenses increased by $512 thousand, or 111.4%, to $973 thousand compared to $460 thousand in the prior-year period. The year-to-date increase was primarily driven by onboarding additional development contractors and expanding engineering activities in support of the Company’s long-term product innovation goals. R&amp;D expenses represented 77.3% of total revenue for the nine months ended September 30, 2025, compared to 250.5% in the same period of 2024, reflecting improved operating leverage as revenue expanded.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for the three and nine months ended September 30, 2025 and 2024 is summarized as follows:</w:t>
      </w:r>
    </w:p>
    <w:p>
      <w:pPr>
        <w:pStyle w:val="TextBody"/>
        <w:bidi w:val="0"/>
        <w:spacing w:before="0" w:after="0"/>
        <w:ind w:left="0" w:right="0" w:hanging="0"/>
        <w:jc w:val="both"/>
        <w:rPr>
          <w:caps w:val="false"/>
          <w:smallCaps w:val="false"/>
        </w:rPr>
      </w:pPr>
      <w:r>
        <w:rPr>
          <w:caps w:val="false"/>
          <w:smallCaps w:val="false"/>
        </w:rPr>
        <w:t> </w:t>
      </w:r>
    </w:p>
    <w:tbl>
      <w:tblPr>
        <w:tblW w:w="8008" w:type="dxa"/>
        <w:jc w:val="left"/>
        <w:tblInd w:w="0" w:type="dxa"/>
        <w:tblLayout w:type="fixed"/>
        <w:tblCellMar>
          <w:top w:w="0" w:type="dxa"/>
          <w:left w:w="0" w:type="dxa"/>
          <w:bottom w:w="0" w:type="dxa"/>
          <w:right w:w="0" w:type="dxa"/>
        </w:tblCellMar>
      </w:tblPr>
      <w:tblGrid>
        <w:gridCol w:w="2135"/>
        <w:gridCol w:w="60"/>
        <w:gridCol w:w="170"/>
        <w:gridCol w:w="1191"/>
        <w:gridCol w:w="261"/>
        <w:gridCol w:w="72"/>
        <w:gridCol w:w="205"/>
        <w:gridCol w:w="1179"/>
        <w:gridCol w:w="215"/>
        <w:gridCol w:w="60"/>
        <w:gridCol w:w="148"/>
        <w:gridCol w:w="847"/>
        <w:gridCol w:w="60"/>
        <w:gridCol w:w="60"/>
        <w:gridCol w:w="133"/>
        <w:gridCol w:w="982"/>
        <w:gridCol w:w="230"/>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61"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br/>
              <w:t>(As Restated)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1,111,895</w:t>
            </w:r>
          </w:p>
        </w:tc>
        <w:tc>
          <w:tcPr>
            <w:tcW w:w="26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9" w:type="dxa"/>
            <w:tcBorders>
              <w:bottom w:val="single" w:sz="12" w:space="0" w:color="000000"/>
            </w:tcBorders>
            <w:shd w:fill="CCEEFF" w:val="clear"/>
            <w:tcMar>
              <w:bottom w:w="28" w:type="dxa"/>
            </w:tcMar>
            <w:vAlign w:val="center"/>
          </w:tcPr>
          <w:p>
            <w:pPr>
              <w:pStyle w:val="TableContents"/>
              <w:bidi w:val="0"/>
              <w:spacing w:before="0" w:after="283"/>
              <w:jc w:val="right"/>
              <w:rPr/>
            </w:pPr>
            <w:r>
              <w:rPr/>
              <w:t>638,584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473,311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12" w:space="0" w:color="000000"/>
            </w:tcBorders>
            <w:shd w:fill="CCEEFF" w:val="clear"/>
            <w:tcMar>
              <w:bottom w:w="28" w:type="dxa"/>
            </w:tcMar>
            <w:vAlign w:val="center"/>
          </w:tcPr>
          <w:p>
            <w:pPr>
              <w:pStyle w:val="TableContents"/>
              <w:bidi w:val="0"/>
              <w:spacing w:before="0" w:after="283"/>
              <w:jc w:val="right"/>
              <w:rPr/>
            </w:pPr>
            <w:r>
              <w:rPr/>
              <w:t>74.1</w:t>
            </w:r>
          </w:p>
        </w:tc>
        <w:tc>
          <w:tcPr>
            <w:tcW w:w="230" w:type="dxa"/>
            <w:tcBorders/>
            <w:shd w:fill="CCEEFF" w:val="clear"/>
            <w:vAlign w:val="center"/>
          </w:tcPr>
          <w:p>
            <w:pPr>
              <w:pStyle w:val="TableContents"/>
              <w:bidi w:val="0"/>
              <w:spacing w:before="0" w:after="283"/>
              <w:jc w:val="left"/>
              <w:rPr/>
            </w:pPr>
            <w:r>
              <w:rPr/>
              <w:t>%</w:t>
            </w:r>
          </w:p>
        </w:tc>
      </w:tr>
      <w:tr>
        <w:trPr/>
        <w:tc>
          <w:tcPr>
            <w:tcW w:w="2135" w:type="dxa"/>
            <w:tcBorders/>
            <w:shd w:fill="FFFFFF" w:val="clear"/>
            <w:vAlign w:val="center"/>
          </w:tcPr>
          <w:p>
            <w:pPr>
              <w:pStyle w:val="TableContents"/>
              <w:bidi w:val="0"/>
              <w:spacing w:before="0" w:after="283"/>
              <w:jc w:val="left"/>
              <w:rPr/>
            </w:pPr>
            <w:r>
              <w:rPr/>
              <w:t>Percentage of revenue</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FFFFFF" w:val="clear"/>
            <w:tcMar>
              <w:bottom w:w="28" w:type="dxa"/>
            </w:tcMar>
            <w:vAlign w:val="center"/>
          </w:tcPr>
          <w:p>
            <w:pPr>
              <w:pStyle w:val="TableContents"/>
              <w:bidi w:val="0"/>
              <w:spacing w:before="0" w:after="283"/>
              <w:jc w:val="right"/>
              <w:rPr/>
            </w:pPr>
            <w:r>
              <w:rPr/>
              <w:t>142.8</w:t>
            </w:r>
          </w:p>
        </w:tc>
        <w:tc>
          <w:tcPr>
            <w:tcW w:w="261"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shd w:fill="FFFFFF" w:val="clear"/>
            <w:tcMar>
              <w:bottom w:w="28" w:type="dxa"/>
            </w:tcMar>
            <w:vAlign w:val="center"/>
          </w:tcPr>
          <w:p>
            <w:pPr>
              <w:pStyle w:val="TableContents"/>
              <w:bidi w:val="0"/>
              <w:spacing w:before="0" w:after="283"/>
              <w:jc w:val="right"/>
              <w:rPr/>
            </w:pPr>
            <w:r>
              <w:rPr/>
              <w:t>782.2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7838" w:type="dxa"/>
        <w:jc w:val="left"/>
        <w:tblInd w:w="0" w:type="dxa"/>
        <w:tblLayout w:type="fixed"/>
        <w:tblCellMar>
          <w:top w:w="0" w:type="dxa"/>
          <w:left w:w="0" w:type="dxa"/>
          <w:bottom w:w="0" w:type="dxa"/>
          <w:right w:w="0" w:type="dxa"/>
        </w:tblCellMar>
      </w:tblPr>
      <w:tblGrid>
        <w:gridCol w:w="2135"/>
        <w:gridCol w:w="60"/>
        <w:gridCol w:w="153"/>
        <w:gridCol w:w="1071"/>
        <w:gridCol w:w="235"/>
        <w:gridCol w:w="65"/>
        <w:gridCol w:w="173"/>
        <w:gridCol w:w="1211"/>
        <w:gridCol w:w="215"/>
        <w:gridCol w:w="60"/>
        <w:gridCol w:w="69"/>
        <w:gridCol w:w="926"/>
        <w:gridCol w:w="60"/>
        <w:gridCol w:w="60"/>
        <w:gridCol w:w="133"/>
        <w:gridCol w:w="982"/>
        <w:gridCol w:w="230"/>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nine months ended</w:t>
              <w:b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2024 </w:t>
              <w:br/>
              <w:t>(As Restated)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71" w:type="dxa"/>
            <w:tcBorders>
              <w:bottom w:val="single" w:sz="12" w:space="0" w:color="000000"/>
            </w:tcBorders>
            <w:shd w:fill="CCEEFF" w:val="clear"/>
            <w:tcMar>
              <w:bottom w:w="28" w:type="dxa"/>
            </w:tcMar>
            <w:vAlign w:val="center"/>
          </w:tcPr>
          <w:p>
            <w:pPr>
              <w:pStyle w:val="TableContents"/>
              <w:bidi w:val="0"/>
              <w:spacing w:before="0" w:after="283"/>
              <w:jc w:val="right"/>
              <w:rPr/>
            </w:pPr>
            <w:r>
              <w:rPr/>
              <w:t>2,564,891</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11" w:type="dxa"/>
            <w:tcBorders>
              <w:bottom w:val="single" w:sz="12" w:space="0" w:color="000000"/>
            </w:tcBorders>
            <w:shd w:fill="CCEEFF" w:val="clear"/>
            <w:tcMar>
              <w:bottom w:w="28" w:type="dxa"/>
            </w:tcMar>
            <w:vAlign w:val="center"/>
          </w:tcPr>
          <w:p>
            <w:pPr>
              <w:pStyle w:val="TableContents"/>
              <w:bidi w:val="0"/>
              <w:spacing w:before="0" w:after="283"/>
              <w:jc w:val="right"/>
              <w:rPr/>
            </w:pPr>
            <w:r>
              <w:rPr/>
              <w:t>1,763,170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pPr>
            <w:r>
              <w:rPr/>
              <w:t>801,721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12" w:space="0" w:color="000000"/>
            </w:tcBorders>
            <w:shd w:fill="CCEEFF" w:val="clear"/>
            <w:tcMar>
              <w:bottom w:w="28" w:type="dxa"/>
            </w:tcMar>
            <w:vAlign w:val="center"/>
          </w:tcPr>
          <w:p>
            <w:pPr>
              <w:pStyle w:val="TableContents"/>
              <w:bidi w:val="0"/>
              <w:spacing w:before="0" w:after="283"/>
              <w:jc w:val="right"/>
              <w:rPr/>
            </w:pPr>
            <w:r>
              <w:rPr/>
              <w:t>45.5</w:t>
            </w:r>
          </w:p>
        </w:tc>
        <w:tc>
          <w:tcPr>
            <w:tcW w:w="230" w:type="dxa"/>
            <w:tcBorders/>
            <w:shd w:fill="CCEEFF" w:val="clear"/>
            <w:vAlign w:val="center"/>
          </w:tcPr>
          <w:p>
            <w:pPr>
              <w:pStyle w:val="TableContents"/>
              <w:bidi w:val="0"/>
              <w:spacing w:before="0" w:after="283"/>
              <w:jc w:val="left"/>
              <w:rPr/>
            </w:pPr>
            <w:r>
              <w:rPr/>
              <w:t>%</w:t>
            </w:r>
          </w:p>
        </w:tc>
      </w:tr>
      <w:tr>
        <w:trPr/>
        <w:tc>
          <w:tcPr>
            <w:tcW w:w="2135" w:type="dxa"/>
            <w:tcBorders/>
            <w:shd w:fill="FFFFFF" w:val="clear"/>
            <w:vAlign w:val="center"/>
          </w:tcPr>
          <w:p>
            <w:pPr>
              <w:pStyle w:val="TableContents"/>
              <w:bidi w:val="0"/>
              <w:spacing w:before="0" w:after="283"/>
              <w:jc w:val="left"/>
              <w:rPr/>
            </w:pPr>
            <w:r>
              <w:rPr/>
              <w:t>Percentage of revenue</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12" w:space="0" w:color="000000"/>
            </w:tcBorders>
            <w:shd w:fill="FFFFFF" w:val="clear"/>
            <w:tcMar>
              <w:bottom w:w="28" w:type="dxa"/>
            </w:tcMar>
            <w:vAlign w:val="center"/>
          </w:tcPr>
          <w:p>
            <w:pPr>
              <w:pStyle w:val="TableContents"/>
              <w:bidi w:val="0"/>
              <w:spacing w:before="0" w:after="283"/>
              <w:jc w:val="right"/>
              <w:rPr/>
            </w:pPr>
            <w:r>
              <w:rPr/>
              <w:t>203.9</w:t>
            </w:r>
          </w:p>
        </w:tc>
        <w:tc>
          <w:tcPr>
            <w:tcW w:w="235"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FFFFFF" w:val="clear"/>
            <w:tcMar>
              <w:bottom w:w="28" w:type="dxa"/>
            </w:tcMar>
            <w:vAlign w:val="center"/>
          </w:tcPr>
          <w:p>
            <w:pPr>
              <w:pStyle w:val="TableContents"/>
              <w:bidi w:val="0"/>
              <w:spacing w:before="0" w:after="283"/>
              <w:jc w:val="right"/>
              <w:rPr/>
            </w:pPr>
            <w:r>
              <w:rPr/>
              <w:t>960.2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2025, sales and marketing expenses totaled $1,112 thousand, an increase of $473 thousand, or 74.1%, compared to $639 thousand for the same period in 2024. The increase was primarily driven by enhanced functionality in our customer relationship management software, as well as additional investment in customer support to expand our sales and marketing capabilities We expect to further increase spending in the following quarter to leverage additional public investment and strengthen this department to drive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sales and marketing expenses totaled $2,565 thousand, an increase of $802 thousand, or 45.5%, compared to $1,763 thousand in the same period of 2024, demonstrating the Company’s ongoing commitment to market expansion and revenue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 for the three and nine months ended September 30, 2025 and 2024 is summarized as follows:</w:t>
      </w:r>
    </w:p>
    <w:p>
      <w:pPr>
        <w:pStyle w:val="TextBody"/>
        <w:bidi w:val="0"/>
        <w:spacing w:before="0" w:after="0"/>
        <w:ind w:left="0" w:right="0" w:hanging="0"/>
        <w:jc w:val="both"/>
        <w:rPr>
          <w:caps w:val="false"/>
          <w:smallCaps w:val="false"/>
        </w:rPr>
      </w:pPr>
      <w:r>
        <w:rPr>
          <w:caps w:val="false"/>
          <w:smallCaps w:val="false"/>
        </w:rPr>
        <w:t> </w:t>
      </w:r>
    </w:p>
    <w:tbl>
      <w:tblPr>
        <w:tblW w:w="8568" w:type="dxa"/>
        <w:jc w:val="left"/>
        <w:tblInd w:w="0" w:type="dxa"/>
        <w:tblLayout w:type="fixed"/>
        <w:tblCellMar>
          <w:top w:w="0" w:type="dxa"/>
          <w:left w:w="0" w:type="dxa"/>
          <w:bottom w:w="0" w:type="dxa"/>
          <w:right w:w="0" w:type="dxa"/>
        </w:tblCellMar>
      </w:tblPr>
      <w:tblGrid>
        <w:gridCol w:w="2570"/>
        <w:gridCol w:w="60"/>
        <w:gridCol w:w="170"/>
        <w:gridCol w:w="1191"/>
        <w:gridCol w:w="261"/>
        <w:gridCol w:w="72"/>
        <w:gridCol w:w="205"/>
        <w:gridCol w:w="1179"/>
        <w:gridCol w:w="215"/>
        <w:gridCol w:w="60"/>
        <w:gridCol w:w="140"/>
        <w:gridCol w:w="980"/>
        <w:gridCol w:w="60"/>
        <w:gridCol w:w="60"/>
        <w:gridCol w:w="107"/>
        <w:gridCol w:w="1008"/>
        <w:gridCol w:w="23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61"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2024 </w:t>
              <w:br/>
              <w:t>(As Restated)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2,742,753</w:t>
            </w:r>
          </w:p>
        </w:tc>
        <w:tc>
          <w:tcPr>
            <w:tcW w:w="26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9" w:type="dxa"/>
            <w:tcBorders>
              <w:bottom w:val="single" w:sz="12" w:space="0" w:color="000000"/>
            </w:tcBorders>
            <w:shd w:fill="CCEEFF" w:val="clear"/>
            <w:tcMar>
              <w:bottom w:w="28" w:type="dxa"/>
            </w:tcMar>
            <w:vAlign w:val="center"/>
          </w:tcPr>
          <w:p>
            <w:pPr>
              <w:pStyle w:val="TableContents"/>
              <w:bidi w:val="0"/>
              <w:spacing w:before="0" w:after="283"/>
              <w:jc w:val="right"/>
              <w:rPr/>
            </w:pPr>
            <w:r>
              <w:rPr/>
              <w:t>506,886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2,235,867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before="0" w:after="283"/>
              <w:jc w:val="right"/>
              <w:rPr/>
            </w:pPr>
            <w:r>
              <w:rPr/>
              <w:t>441.1</w:t>
            </w:r>
          </w:p>
        </w:tc>
        <w:tc>
          <w:tcPr>
            <w:tcW w:w="230" w:type="dxa"/>
            <w:tcBorders/>
            <w:shd w:fill="CCEEFF" w:val="clear"/>
            <w:vAlign w:val="center"/>
          </w:tcPr>
          <w:p>
            <w:pPr>
              <w:pStyle w:val="TableContents"/>
              <w:bidi w:val="0"/>
              <w:spacing w:before="0" w:after="283"/>
              <w:jc w:val="left"/>
              <w:rPr/>
            </w:pPr>
            <w:r>
              <w:rPr/>
              <w:t>%</w:t>
            </w:r>
          </w:p>
        </w:tc>
      </w:tr>
      <w:tr>
        <w:trPr/>
        <w:tc>
          <w:tcPr>
            <w:tcW w:w="2570" w:type="dxa"/>
            <w:tcBorders/>
            <w:shd w:fill="FFFFFF" w:val="clear"/>
            <w:vAlign w:val="center"/>
          </w:tcPr>
          <w:p>
            <w:pPr>
              <w:pStyle w:val="TableContents"/>
              <w:bidi w:val="0"/>
              <w:spacing w:before="0" w:after="283"/>
              <w:jc w:val="left"/>
              <w:rPr/>
            </w:pPr>
            <w:r>
              <w:rPr/>
              <w:t>Percentage of revenue</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FFFFFF" w:val="clear"/>
            <w:tcMar>
              <w:bottom w:w="28" w:type="dxa"/>
            </w:tcMar>
            <w:vAlign w:val="center"/>
          </w:tcPr>
          <w:p>
            <w:pPr>
              <w:pStyle w:val="TableContents"/>
              <w:bidi w:val="0"/>
              <w:spacing w:before="0" w:after="283"/>
              <w:jc w:val="right"/>
              <w:rPr/>
            </w:pPr>
            <w:r>
              <w:rPr/>
              <w:t>352.3</w:t>
            </w:r>
          </w:p>
        </w:tc>
        <w:tc>
          <w:tcPr>
            <w:tcW w:w="261"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shd w:fill="FFFFFF" w:val="clear"/>
            <w:tcMar>
              <w:bottom w:w="28" w:type="dxa"/>
            </w:tcMar>
            <w:vAlign w:val="center"/>
          </w:tcPr>
          <w:p>
            <w:pPr>
              <w:pStyle w:val="TableContents"/>
              <w:bidi w:val="0"/>
              <w:spacing w:before="0" w:after="283"/>
              <w:jc w:val="right"/>
              <w:rPr/>
            </w:pPr>
            <w:r>
              <w:rPr/>
              <w:t>620.9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398" w:type="dxa"/>
        <w:jc w:val="left"/>
        <w:tblInd w:w="0" w:type="dxa"/>
        <w:tblLayout w:type="fixed"/>
        <w:tblCellMar>
          <w:top w:w="0" w:type="dxa"/>
          <w:left w:w="0" w:type="dxa"/>
          <w:bottom w:w="0" w:type="dxa"/>
          <w:right w:w="0" w:type="dxa"/>
        </w:tblCellMar>
      </w:tblPr>
      <w:tblGrid>
        <w:gridCol w:w="2570"/>
        <w:gridCol w:w="60"/>
        <w:gridCol w:w="153"/>
        <w:gridCol w:w="1071"/>
        <w:gridCol w:w="235"/>
        <w:gridCol w:w="65"/>
        <w:gridCol w:w="173"/>
        <w:gridCol w:w="1211"/>
        <w:gridCol w:w="215"/>
        <w:gridCol w:w="60"/>
        <w:gridCol w:w="140"/>
        <w:gridCol w:w="980"/>
        <w:gridCol w:w="60"/>
        <w:gridCol w:w="60"/>
        <w:gridCol w:w="107"/>
        <w:gridCol w:w="1008"/>
        <w:gridCol w:w="23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nine months ended</w:t>
              <w:b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2024 </w:t>
              <w:br/>
              <w:t>(As Restated)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71" w:type="dxa"/>
            <w:tcBorders>
              <w:bottom w:val="single" w:sz="12" w:space="0" w:color="000000"/>
            </w:tcBorders>
            <w:shd w:fill="CCEEFF" w:val="clear"/>
            <w:tcMar>
              <w:bottom w:w="28" w:type="dxa"/>
            </w:tcMar>
            <w:vAlign w:val="center"/>
          </w:tcPr>
          <w:p>
            <w:pPr>
              <w:pStyle w:val="TableContents"/>
              <w:bidi w:val="0"/>
              <w:spacing w:before="0" w:after="283"/>
              <w:jc w:val="right"/>
              <w:rPr/>
            </w:pPr>
            <w:r>
              <w:rPr/>
              <w:t>4,184,688</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11" w:type="dxa"/>
            <w:tcBorders>
              <w:bottom w:val="single" w:sz="12" w:space="0" w:color="000000"/>
            </w:tcBorders>
            <w:shd w:fill="CCEEFF" w:val="clear"/>
            <w:tcMar>
              <w:bottom w:w="28" w:type="dxa"/>
            </w:tcMar>
            <w:vAlign w:val="center"/>
          </w:tcPr>
          <w:p>
            <w:pPr>
              <w:pStyle w:val="TableContents"/>
              <w:bidi w:val="0"/>
              <w:spacing w:before="0" w:after="283"/>
              <w:jc w:val="right"/>
              <w:rPr/>
            </w:pPr>
            <w:r>
              <w:rPr/>
              <w:t>1,064,461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3,120,227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before="0" w:after="283"/>
              <w:jc w:val="right"/>
              <w:rPr/>
            </w:pPr>
            <w:r>
              <w:rPr/>
              <w:t>293.1</w:t>
            </w:r>
          </w:p>
        </w:tc>
        <w:tc>
          <w:tcPr>
            <w:tcW w:w="230" w:type="dxa"/>
            <w:tcBorders/>
            <w:shd w:fill="CCEEFF" w:val="clear"/>
            <w:vAlign w:val="center"/>
          </w:tcPr>
          <w:p>
            <w:pPr>
              <w:pStyle w:val="TableContents"/>
              <w:bidi w:val="0"/>
              <w:spacing w:before="0" w:after="283"/>
              <w:jc w:val="left"/>
              <w:rPr/>
            </w:pPr>
            <w:r>
              <w:rPr/>
              <w:t>%</w:t>
            </w:r>
          </w:p>
        </w:tc>
      </w:tr>
      <w:tr>
        <w:trPr/>
        <w:tc>
          <w:tcPr>
            <w:tcW w:w="2570" w:type="dxa"/>
            <w:tcBorders/>
            <w:shd w:fill="FFFFFF" w:val="clear"/>
            <w:vAlign w:val="center"/>
          </w:tcPr>
          <w:p>
            <w:pPr>
              <w:pStyle w:val="TableContents"/>
              <w:bidi w:val="0"/>
              <w:spacing w:before="0" w:after="283"/>
              <w:jc w:val="left"/>
              <w:rPr/>
            </w:pPr>
            <w:r>
              <w:rPr/>
              <w:t>Percentage of revenue</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12" w:space="0" w:color="000000"/>
            </w:tcBorders>
            <w:shd w:fill="FFFFFF" w:val="clear"/>
            <w:tcMar>
              <w:bottom w:w="28" w:type="dxa"/>
            </w:tcMar>
            <w:vAlign w:val="center"/>
          </w:tcPr>
          <w:p>
            <w:pPr>
              <w:pStyle w:val="TableContents"/>
              <w:bidi w:val="0"/>
              <w:spacing w:before="0" w:after="283"/>
              <w:jc w:val="right"/>
              <w:rPr/>
            </w:pPr>
            <w:r>
              <w:rPr/>
              <w:t>332.7</w:t>
            </w:r>
          </w:p>
        </w:tc>
        <w:tc>
          <w:tcPr>
            <w:tcW w:w="235"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FFFFFF" w:val="clear"/>
            <w:tcMar>
              <w:bottom w:w="28" w:type="dxa"/>
            </w:tcMar>
            <w:vAlign w:val="center"/>
          </w:tcPr>
          <w:p>
            <w:pPr>
              <w:pStyle w:val="TableContents"/>
              <w:bidi w:val="0"/>
              <w:spacing w:before="0" w:after="283"/>
              <w:jc w:val="right"/>
              <w:rPr/>
            </w:pPr>
            <w:r>
              <w:rPr/>
              <w:t>579.7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2025, general and administrative expenses totaled $2,743 thousand, an increase of $2,236 thousand, or 441.1%, compared to $507 thousand in the same period last year. The increase is primarily driven by labor costs related to the ramp-up of operations, higher administrative support for business functions, and increased back-office headcount. For the nine months ended September 30, 2025, general and administrative expenses totaled $4,185 thousand, up $3,120 thousand, or 293.1%, compared to $1,064 thousand in the prior year, reflecting the continued expansion of operational infrastructure to support company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and integration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and integration expense for the three and nine months ended September 30, 2025 and 2024 are summarized as follows:</w:t>
      </w:r>
    </w:p>
    <w:p>
      <w:pPr>
        <w:pStyle w:val="TextBody"/>
        <w:bidi w:val="0"/>
        <w:spacing w:before="0" w:after="0"/>
        <w:ind w:left="0" w:right="0" w:hanging="0"/>
        <w:jc w:val="both"/>
        <w:rPr>
          <w:caps w:val="false"/>
          <w:smallCaps w:val="false"/>
        </w:rPr>
      </w:pPr>
      <w:r>
        <w:rPr>
          <w:caps w:val="false"/>
          <w:smallCaps w:val="false"/>
        </w:rPr>
        <w:t> </w:t>
      </w:r>
    </w:p>
    <w:tbl>
      <w:tblPr>
        <w:tblW w:w="9876" w:type="dxa"/>
        <w:jc w:val="left"/>
        <w:tblInd w:w="0" w:type="dxa"/>
        <w:tblLayout w:type="fixed"/>
        <w:tblCellMar>
          <w:top w:w="0" w:type="dxa"/>
          <w:left w:w="0" w:type="dxa"/>
          <w:bottom w:w="0" w:type="dxa"/>
          <w:right w:w="0" w:type="dxa"/>
        </w:tblCellMar>
      </w:tblPr>
      <w:tblGrid>
        <w:gridCol w:w="2600"/>
        <w:gridCol w:w="60"/>
        <w:gridCol w:w="282"/>
        <w:gridCol w:w="1616"/>
        <w:gridCol w:w="434"/>
        <w:gridCol w:w="121"/>
        <w:gridCol w:w="282"/>
        <w:gridCol w:w="1616"/>
        <w:gridCol w:w="215"/>
        <w:gridCol w:w="60"/>
        <w:gridCol w:w="140"/>
        <w:gridCol w:w="875"/>
        <w:gridCol w:w="95"/>
        <w:gridCol w:w="60"/>
        <w:gridCol w:w="116"/>
        <w:gridCol w:w="999"/>
        <w:gridCol w:w="30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5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434"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8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pPr>
            <w:r>
              <w:rPr/>
              <w:t>Acquisition and integration</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616" w:type="dxa"/>
            <w:tcBorders>
              <w:bottom w:val="single" w:sz="12" w:space="0" w:color="000000"/>
            </w:tcBorders>
            <w:shd w:fill="CCEEFF" w:val="clear"/>
            <w:tcMar>
              <w:bottom w:w="28" w:type="dxa"/>
            </w:tcMar>
            <w:vAlign w:val="center"/>
          </w:tcPr>
          <w:p>
            <w:pPr>
              <w:pStyle w:val="TableContents"/>
              <w:bidi w:val="0"/>
              <w:spacing w:before="0" w:after="283"/>
              <w:jc w:val="right"/>
              <w:rPr/>
            </w:pPr>
            <w:r>
              <w:rPr/>
              <w:t>243,230</w:t>
            </w:r>
          </w:p>
        </w:tc>
        <w:tc>
          <w:tcPr>
            <w:tcW w:w="434"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616" w:type="dxa"/>
            <w:tcBorders>
              <w:bottom w:val="single" w:sz="12" w:space="0" w:color="000000"/>
            </w:tcBorders>
            <w:shd w:fill="CCEEFF" w:val="clear"/>
            <w:tcMar>
              <w:bottom w:w="28" w:type="dxa"/>
            </w:tcMar>
            <w:vAlign w:val="center"/>
          </w:tcPr>
          <w:p>
            <w:pPr>
              <w:pStyle w:val="TableContents"/>
              <w:bidi w:val="0"/>
              <w:spacing w:before="0" w:after="283"/>
              <w:jc w:val="right"/>
              <w:rPr/>
            </w:pPr>
            <w:r>
              <w:rPr/>
              <w:t>635,459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(392,229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(61.7</w:t>
            </w:r>
          </w:p>
        </w:tc>
        <w:tc>
          <w:tcPr>
            <w:tcW w:w="305" w:type="dxa"/>
            <w:tcBorders/>
            <w:shd w:fill="CCEEFF" w:val="clear"/>
            <w:vAlign w:val="center"/>
          </w:tcPr>
          <w:p>
            <w:pPr>
              <w:pStyle w:val="TableContents"/>
              <w:bidi w:val="0"/>
              <w:spacing w:before="0" w:after="283"/>
              <w:jc w:val="left"/>
              <w:rPr/>
            </w:pPr>
            <w:r>
              <w:rPr/>
              <w:t>)%</w:t>
            </w:r>
          </w:p>
        </w:tc>
      </w:tr>
      <w:tr>
        <w:trPr/>
        <w:tc>
          <w:tcPr>
            <w:tcW w:w="2600" w:type="dxa"/>
            <w:tcBorders/>
            <w:shd w:fill="FFFFFF" w:val="clear"/>
            <w:vAlign w:val="center"/>
          </w:tcPr>
          <w:p>
            <w:pPr>
              <w:pStyle w:val="TableContents"/>
              <w:bidi w:val="0"/>
              <w:spacing w:before="0" w:after="283"/>
              <w:jc w:val="left"/>
              <w:rPr/>
            </w:pPr>
            <w:r>
              <w:rPr/>
              <w:t>Percentage of revenue</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16" w:type="dxa"/>
            <w:tcBorders>
              <w:bottom w:val="single" w:sz="12" w:space="0" w:color="000000"/>
            </w:tcBorders>
            <w:shd w:fill="FFFFFF" w:val="clear"/>
            <w:tcMar>
              <w:bottom w:w="28" w:type="dxa"/>
            </w:tcMar>
            <w:vAlign w:val="center"/>
          </w:tcPr>
          <w:p>
            <w:pPr>
              <w:pStyle w:val="TableContents"/>
              <w:bidi w:val="0"/>
              <w:spacing w:before="0" w:after="283"/>
              <w:jc w:val="right"/>
              <w:rPr/>
            </w:pPr>
            <w:r>
              <w:rPr/>
              <w:t>31.2</w:t>
            </w:r>
          </w:p>
        </w:tc>
        <w:tc>
          <w:tcPr>
            <w:tcW w:w="434" w:type="dxa"/>
            <w:tcBorders/>
            <w:shd w:fill="FFFFFF" w:val="clear"/>
            <w:vAlign w:val="center"/>
          </w:tcPr>
          <w:p>
            <w:pPr>
              <w:pStyle w:val="TableContents"/>
              <w:bidi w:val="0"/>
              <w:spacing w:before="0" w:after="283"/>
              <w:jc w:val="left"/>
              <w:rPr/>
            </w:pPr>
            <w:r>
              <w:rPr/>
              <w:t>%</w:t>
            </w:r>
          </w:p>
        </w:tc>
        <w:tc>
          <w:tcPr>
            <w:tcW w:w="121" w:type="dxa"/>
            <w:tcBorders/>
            <w:shd w:fill="FFFFFF" w:val="clear"/>
            <w:vAlign w:val="center"/>
          </w:tcPr>
          <w:p>
            <w:pPr>
              <w:pStyle w:val="TableContents"/>
              <w:bidi w:val="0"/>
              <w:spacing w:before="0" w:after="283"/>
              <w:jc w:val="left"/>
              <w:rPr/>
            </w:pPr>
            <w:r>
              <w:rPr/>
              <w:t> </w:t>
            </w:r>
          </w:p>
        </w:tc>
        <w:tc>
          <w:tcPr>
            <w:tcW w:w="2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16" w:type="dxa"/>
            <w:tcBorders>
              <w:bottom w:val="single" w:sz="12" w:space="0" w:color="000000"/>
            </w:tcBorders>
            <w:shd w:fill="FFFFFF" w:val="clear"/>
            <w:tcMar>
              <w:bottom w:w="28" w:type="dxa"/>
            </w:tcMar>
            <w:vAlign w:val="center"/>
          </w:tcPr>
          <w:p>
            <w:pPr>
              <w:pStyle w:val="TableContents"/>
              <w:bidi w:val="0"/>
              <w:spacing w:before="0" w:after="283"/>
              <w:jc w:val="right"/>
              <w:rPr/>
            </w:pPr>
            <w:r>
              <w:rPr/>
              <w:t>778.4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786" w:type="dxa"/>
        <w:jc w:val="left"/>
        <w:tblInd w:w="0" w:type="dxa"/>
        <w:tblLayout w:type="fixed"/>
        <w:tblCellMar>
          <w:top w:w="0" w:type="dxa"/>
          <w:left w:w="0" w:type="dxa"/>
          <w:bottom w:w="0" w:type="dxa"/>
          <w:right w:w="0" w:type="dxa"/>
        </w:tblCellMar>
      </w:tblPr>
      <w:tblGrid>
        <w:gridCol w:w="2600"/>
        <w:gridCol w:w="60"/>
        <w:gridCol w:w="237"/>
        <w:gridCol w:w="1661"/>
        <w:gridCol w:w="364"/>
        <w:gridCol w:w="101"/>
        <w:gridCol w:w="237"/>
        <w:gridCol w:w="1661"/>
        <w:gridCol w:w="215"/>
        <w:gridCol w:w="60"/>
        <w:gridCol w:w="140"/>
        <w:gridCol w:w="875"/>
        <w:gridCol w:w="95"/>
        <w:gridCol w:w="60"/>
        <w:gridCol w:w="116"/>
        <w:gridCol w:w="999"/>
        <w:gridCol w:w="30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6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nine months ended 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64"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pPr>
            <w:r>
              <w:rPr/>
              <w:t>Acquisition and integration</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661" w:type="dxa"/>
            <w:tcBorders>
              <w:bottom w:val="single" w:sz="12" w:space="0" w:color="000000"/>
            </w:tcBorders>
            <w:shd w:fill="CCEEFF" w:val="clear"/>
            <w:tcMar>
              <w:bottom w:w="28" w:type="dxa"/>
            </w:tcMar>
            <w:vAlign w:val="center"/>
          </w:tcPr>
          <w:p>
            <w:pPr>
              <w:pStyle w:val="TableContents"/>
              <w:bidi w:val="0"/>
              <w:spacing w:before="0" w:after="283"/>
              <w:jc w:val="right"/>
              <w:rPr/>
            </w:pPr>
            <w:r>
              <w:rPr/>
              <w:t>1,154,857</w:t>
            </w:r>
          </w:p>
        </w:tc>
        <w:tc>
          <w:tcPr>
            <w:tcW w:w="36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661" w:type="dxa"/>
            <w:tcBorders>
              <w:bottom w:val="single" w:sz="12" w:space="0" w:color="000000"/>
            </w:tcBorders>
            <w:shd w:fill="CCEEFF" w:val="clear"/>
            <w:tcMar>
              <w:bottom w:w="28" w:type="dxa"/>
            </w:tcMar>
            <w:vAlign w:val="center"/>
          </w:tcPr>
          <w:p>
            <w:pPr>
              <w:pStyle w:val="TableContents"/>
              <w:bidi w:val="0"/>
              <w:spacing w:before="0" w:after="283"/>
              <w:jc w:val="right"/>
              <w:rPr/>
            </w:pPr>
            <w:r>
              <w:rPr/>
              <w:t>1,501,261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(346,404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(23.1</w:t>
            </w:r>
          </w:p>
        </w:tc>
        <w:tc>
          <w:tcPr>
            <w:tcW w:w="305" w:type="dxa"/>
            <w:tcBorders/>
            <w:shd w:fill="CCEEFF" w:val="clear"/>
            <w:vAlign w:val="center"/>
          </w:tcPr>
          <w:p>
            <w:pPr>
              <w:pStyle w:val="TableContents"/>
              <w:bidi w:val="0"/>
              <w:spacing w:before="0" w:after="283"/>
              <w:jc w:val="left"/>
              <w:rPr/>
            </w:pPr>
            <w:r>
              <w:rPr/>
              <w:t>)%</w:t>
            </w:r>
          </w:p>
        </w:tc>
      </w:tr>
      <w:tr>
        <w:trPr/>
        <w:tc>
          <w:tcPr>
            <w:tcW w:w="2600" w:type="dxa"/>
            <w:tcBorders/>
            <w:shd w:fill="FFFFFF" w:val="clear"/>
            <w:vAlign w:val="center"/>
          </w:tcPr>
          <w:p>
            <w:pPr>
              <w:pStyle w:val="TableContents"/>
              <w:bidi w:val="0"/>
              <w:spacing w:before="0" w:after="283"/>
              <w:jc w:val="left"/>
              <w:rPr/>
            </w:pPr>
            <w:r>
              <w:rPr/>
              <w:t>Percentage of revenue</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61" w:type="dxa"/>
            <w:tcBorders>
              <w:bottom w:val="single" w:sz="12" w:space="0" w:color="000000"/>
            </w:tcBorders>
            <w:shd w:fill="FFFFFF" w:val="clear"/>
            <w:tcMar>
              <w:bottom w:w="28" w:type="dxa"/>
            </w:tcMar>
            <w:vAlign w:val="center"/>
          </w:tcPr>
          <w:p>
            <w:pPr>
              <w:pStyle w:val="TableContents"/>
              <w:bidi w:val="0"/>
              <w:spacing w:before="0" w:after="283"/>
              <w:jc w:val="right"/>
              <w:rPr/>
            </w:pPr>
            <w:r>
              <w:rPr/>
              <w:t>91.8</w:t>
            </w:r>
          </w:p>
        </w:tc>
        <w:tc>
          <w:tcPr>
            <w:tcW w:w="364" w:type="dxa"/>
            <w:tcBorders/>
            <w:shd w:fill="FFFFFF" w:val="clear"/>
            <w:vAlign w:val="center"/>
          </w:tcPr>
          <w:p>
            <w:pPr>
              <w:pStyle w:val="TableContents"/>
              <w:bidi w:val="0"/>
              <w:spacing w:before="0" w:after="283"/>
              <w:jc w:val="left"/>
              <w:rPr/>
            </w:pPr>
            <w:r>
              <w:rPr/>
              <w:t>%</w:t>
            </w:r>
          </w:p>
        </w:tc>
        <w:tc>
          <w:tcPr>
            <w:tcW w:w="101" w:type="dxa"/>
            <w:tcBorders/>
            <w:shd w:fill="FFFFFF" w:val="clear"/>
            <w:vAlign w:val="center"/>
          </w:tcPr>
          <w:p>
            <w:pPr>
              <w:pStyle w:val="TableContents"/>
              <w:bidi w:val="0"/>
              <w:spacing w:before="0" w:after="283"/>
              <w:jc w:val="left"/>
              <w:rPr/>
            </w:pPr>
            <w:r>
              <w:rPr/>
              <w:t> </w:t>
            </w:r>
          </w:p>
        </w:tc>
        <w:tc>
          <w:tcPr>
            <w:tcW w:w="2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61" w:type="dxa"/>
            <w:tcBorders>
              <w:bottom w:val="single" w:sz="12" w:space="0" w:color="000000"/>
            </w:tcBorders>
            <w:shd w:fill="FFFFFF" w:val="clear"/>
            <w:tcMar>
              <w:bottom w:w="28" w:type="dxa"/>
            </w:tcMar>
            <w:vAlign w:val="center"/>
          </w:tcPr>
          <w:p>
            <w:pPr>
              <w:pStyle w:val="TableContents"/>
              <w:bidi w:val="0"/>
              <w:spacing w:before="0" w:after="283"/>
              <w:jc w:val="right"/>
              <w:rPr/>
            </w:pPr>
            <w:r>
              <w:rPr/>
              <w:t>817.5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2025, acquisition and integration expenses were $243 thousand, a decrease of $392 thousand, or 61.7%, compared to $635 thousand in the same period of 2024. The decrease reflects lower professional and consulting costs as the Company completed the Business Combination on June 18, 2025. For the nine months ended September 30, 2025, acquisition and integration expenses totaled $1,155 thousand, a decline of $346 thousand, or 23.1%, compared to $1,501 thousand in the prior year period. These expenses primarily consisted of accounting, auditing, and legal fees incurred in connection with the Business Combination, as well as other costs related to transaction execution and post-acquisition integration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expenses – SAFE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summarize the change in the fair value of SAFE agreements and the SAFE agreements activity for the three and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8951" w:type="dxa"/>
        <w:jc w:val="left"/>
        <w:tblInd w:w="0" w:type="dxa"/>
        <w:tblLayout w:type="fixed"/>
        <w:tblCellMar>
          <w:top w:w="0" w:type="dxa"/>
          <w:left w:w="0" w:type="dxa"/>
          <w:bottom w:w="0" w:type="dxa"/>
          <w:right w:w="0" w:type="dxa"/>
        </w:tblCellMar>
      </w:tblPr>
      <w:tblGrid>
        <w:gridCol w:w="3425"/>
        <w:gridCol w:w="60"/>
        <w:gridCol w:w="297"/>
        <w:gridCol w:w="203"/>
        <w:gridCol w:w="124"/>
        <w:gridCol w:w="124"/>
        <w:gridCol w:w="290"/>
        <w:gridCol w:w="1813"/>
        <w:gridCol w:w="95"/>
        <w:gridCol w:w="60"/>
        <w:gridCol w:w="148"/>
        <w:gridCol w:w="847"/>
        <w:gridCol w:w="60"/>
        <w:gridCol w:w="60"/>
        <w:gridCol w:w="129"/>
        <w:gridCol w:w="986"/>
        <w:gridCol w:w="230"/>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4"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1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Change in fair value of SAFE notes</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813" w:type="dxa"/>
            <w:tcBorders>
              <w:bottom w:val="single" w:sz="12" w:space="0" w:color="000000"/>
            </w:tcBorders>
            <w:shd w:fill="CCEEFF" w:val="clear"/>
            <w:tcMar>
              <w:bottom w:w="28" w:type="dxa"/>
            </w:tcMar>
            <w:vAlign w:val="center"/>
          </w:tcPr>
          <w:p>
            <w:pPr>
              <w:pStyle w:val="TableContents"/>
              <w:bidi w:val="0"/>
              <w:spacing w:before="0" w:after="283"/>
              <w:jc w:val="right"/>
              <w:rPr/>
            </w:pPr>
            <w:r>
              <w:rPr/>
              <w:t>(764,446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764,446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9120" w:type="dxa"/>
        <w:jc w:val="left"/>
        <w:tblInd w:w="0" w:type="dxa"/>
        <w:tblLayout w:type="fixed"/>
        <w:tblCellMar>
          <w:top w:w="0" w:type="dxa"/>
          <w:left w:w="0" w:type="dxa"/>
          <w:bottom w:w="0" w:type="dxa"/>
          <w:right w:w="0" w:type="dxa"/>
        </w:tblCellMar>
      </w:tblPr>
      <w:tblGrid>
        <w:gridCol w:w="3425"/>
        <w:gridCol w:w="60"/>
        <w:gridCol w:w="140"/>
        <w:gridCol w:w="1175"/>
        <w:gridCol w:w="95"/>
        <w:gridCol w:w="60"/>
        <w:gridCol w:w="140"/>
        <w:gridCol w:w="1175"/>
        <w:gridCol w:w="95"/>
        <w:gridCol w:w="60"/>
        <w:gridCol w:w="140"/>
        <w:gridCol w:w="1055"/>
        <w:gridCol w:w="95"/>
        <w:gridCol w:w="60"/>
        <w:gridCol w:w="209"/>
        <w:gridCol w:w="906"/>
        <w:gridCol w:w="230"/>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nine months ended</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Change in fair value of SAFE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(17,368,415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(14,227,156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(3,141,259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12" w:space="0" w:color="000000"/>
            </w:tcBorders>
            <w:shd w:fill="CCEEFF" w:val="clear"/>
            <w:tcMar>
              <w:bottom w:w="28" w:type="dxa"/>
            </w:tcMar>
            <w:vAlign w:val="center"/>
          </w:tcPr>
          <w:p>
            <w:pPr>
              <w:pStyle w:val="TableContents"/>
              <w:bidi w:val="0"/>
              <w:spacing w:before="0" w:after="283"/>
              <w:jc w:val="right"/>
              <w:rPr/>
            </w:pPr>
            <w:r>
              <w:rPr/>
              <w:t>22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31"/>
        <w:gridCol w:w="60"/>
        <w:gridCol w:w="297"/>
        <w:gridCol w:w="203"/>
        <w:gridCol w:w="99"/>
        <w:gridCol w:w="99"/>
        <w:gridCol w:w="232"/>
        <w:gridCol w:w="1827"/>
        <w:gridCol w:w="60"/>
        <w:gridCol w:w="60"/>
        <w:gridCol w:w="141"/>
        <w:gridCol w:w="1189"/>
        <w:gridCol w:w="95"/>
        <w:gridCol w:w="60"/>
        <w:gridCol w:w="153"/>
        <w:gridCol w:w="1218"/>
        <w:gridCol w:w="81"/>
      </w:tblGrid>
      <w:tr>
        <w:trPr/>
        <w:tc>
          <w:tcPr>
            <w:tcW w:w="4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nine months ended</w:t>
              <w:br/>
              <w:t>September 30,</w:t>
            </w:r>
          </w:p>
        </w:tc>
        <w:tc>
          <w:tcPr>
            <w:tcW w:w="81" w:type="dxa"/>
            <w:tcBorders/>
            <w:vAlign w:val="center"/>
          </w:tcPr>
          <w:p>
            <w:pPr>
              <w:pStyle w:val="TableContents"/>
              <w:bidi w:val="0"/>
              <w:spacing w:before="0" w:after="283"/>
              <w:jc w:val="left"/>
              <w:rPr/>
            </w:pPr>
            <w:r>
              <w:rPr/>
              <w:t> </w:t>
            </w:r>
          </w:p>
        </w:tc>
      </w:tr>
      <w:tr>
        <w:trPr/>
        <w:tc>
          <w:tcPr>
            <w:tcW w:w="4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0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2024 </w:t>
              <w:br/>
              <w:t>(As Restated)</w:t>
            </w:r>
          </w:p>
        </w:tc>
        <w:tc>
          <w:tcPr>
            <w:tcW w:w="81" w:type="dxa"/>
            <w:tcBorders/>
            <w:vAlign w:val="center"/>
          </w:tcPr>
          <w:p>
            <w:pPr>
              <w:pStyle w:val="TableContents"/>
              <w:bidi w:val="0"/>
              <w:spacing w:before="0" w:after="283"/>
              <w:jc w:val="left"/>
              <w:rPr/>
            </w:pPr>
            <w:r>
              <w:rPr/>
              <w:t> </w:t>
            </w:r>
          </w:p>
        </w:tc>
      </w:tr>
      <w:tr>
        <w:trPr/>
        <w:tc>
          <w:tcPr>
            <w:tcW w:w="4331" w:type="dxa"/>
            <w:tcBorders/>
            <w:shd w:fill="CCEEFF" w:val="clear"/>
            <w:vAlign w:val="center"/>
          </w:tcPr>
          <w:p>
            <w:pPr>
              <w:pStyle w:val="TableContents"/>
              <w:bidi w:val="0"/>
              <w:spacing w:before="0" w:after="283"/>
              <w:jc w:val="left"/>
              <w:rPr/>
            </w:pPr>
            <w:r>
              <w:rPr/>
              <w:t>SAFE agreements at fair value, beginning of period</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203"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827" w:type="dxa"/>
            <w:tcBorders/>
            <w:shd w:fill="CCEEFF" w:val="clear"/>
            <w:vAlign w:val="center"/>
          </w:tcPr>
          <w:p>
            <w:pPr>
              <w:pStyle w:val="TableContents"/>
              <w:bidi w:val="0"/>
              <w:spacing w:before="0" w:after="283"/>
              <w:jc w:val="right"/>
              <w:rPr/>
            </w:pPr>
            <w:r>
              <w:rPr/>
              <w:t>21,200,160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89" w:type="dxa"/>
            <w:tcBorders/>
            <w:shd w:fill="CCEEFF" w:val="clear"/>
            <w:vAlign w:val="center"/>
          </w:tcPr>
          <w:p>
            <w:pPr>
              <w:pStyle w:val="TableContents"/>
              <w:bidi w:val="0"/>
              <w:spacing w:before="0" w:after="283"/>
              <w:jc w:val="right"/>
              <w:rPr/>
            </w:pPr>
            <w:r>
              <w:rPr/>
              <w:t>23,334,626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4,602,950</w:t>
            </w:r>
          </w:p>
        </w:tc>
        <w:tc>
          <w:tcPr>
            <w:tcW w:w="81" w:type="dxa"/>
            <w:tcBorders/>
            <w:shd w:fill="CCEEFF" w:val="clear"/>
            <w:vAlign w:val="center"/>
          </w:tcPr>
          <w:p>
            <w:pPr>
              <w:pStyle w:val="TableContents"/>
              <w:bidi w:val="0"/>
              <w:spacing w:before="0" w:after="283"/>
              <w:jc w:val="left"/>
              <w:rPr/>
            </w:pPr>
            <w:r>
              <w:rPr/>
              <w:t> </w:t>
            </w:r>
          </w:p>
        </w:tc>
      </w:tr>
      <w:tr>
        <w:trPr/>
        <w:tc>
          <w:tcPr>
            <w:tcW w:w="4331" w:type="dxa"/>
            <w:tcBorders/>
            <w:shd w:fill="FFFFFF" w:val="clear"/>
            <w:vAlign w:val="center"/>
          </w:tcPr>
          <w:p>
            <w:pPr>
              <w:pStyle w:val="TableContents"/>
              <w:bidi w:val="0"/>
              <w:spacing w:before="0" w:after="283"/>
              <w:jc w:val="left"/>
              <w:rPr/>
            </w:pPr>
            <w:r>
              <w:rPr/>
              <w:t>SAFE agreements issued for cash</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pPr>
            <w:r>
              <w:rPr/>
              <w:t>700,000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23,752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3,834,500</w:t>
            </w:r>
          </w:p>
        </w:tc>
        <w:tc>
          <w:tcPr>
            <w:tcW w:w="81" w:type="dxa"/>
            <w:tcBorders/>
            <w:shd w:fill="FFFFFF" w:val="clear"/>
            <w:vAlign w:val="center"/>
          </w:tcPr>
          <w:p>
            <w:pPr>
              <w:pStyle w:val="TableContents"/>
              <w:bidi w:val="0"/>
              <w:spacing w:before="0" w:after="283"/>
              <w:jc w:val="left"/>
              <w:rPr/>
            </w:pPr>
            <w:r>
              <w:rPr/>
              <w:t> </w:t>
            </w:r>
          </w:p>
        </w:tc>
      </w:tr>
      <w:tr>
        <w:trPr/>
        <w:tc>
          <w:tcPr>
            <w:tcW w:w="4331"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pPr>
            <w:r>
              <w:rPr/>
              <w:t>764,446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17,368,415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14,227,156</w:t>
            </w:r>
          </w:p>
        </w:tc>
        <w:tc>
          <w:tcPr>
            <w:tcW w:w="81" w:type="dxa"/>
            <w:tcBorders/>
            <w:shd w:fill="CCEEFF" w:val="clear"/>
            <w:vAlign w:val="center"/>
          </w:tcPr>
          <w:p>
            <w:pPr>
              <w:pStyle w:val="TableContents"/>
              <w:bidi w:val="0"/>
              <w:spacing w:before="0" w:after="283"/>
              <w:jc w:val="left"/>
              <w:rPr/>
            </w:pPr>
            <w:r>
              <w:rPr/>
              <w:t> </w:t>
            </w:r>
          </w:p>
        </w:tc>
      </w:tr>
      <w:tr>
        <w:trPr/>
        <w:tc>
          <w:tcPr>
            <w:tcW w:w="4331" w:type="dxa"/>
            <w:tcBorders/>
            <w:shd w:fill="FFFFFF" w:val="clear"/>
            <w:vAlign w:val="center"/>
          </w:tcPr>
          <w:p>
            <w:pPr>
              <w:pStyle w:val="TableContents"/>
              <w:bidi w:val="0"/>
              <w:spacing w:before="0" w:after="283"/>
              <w:jc w:val="left"/>
              <w:rPr/>
            </w:pPr>
            <w:r>
              <w:rPr/>
              <w:t>SAFE notes converted into shares</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2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FFFFFF" w:val="clear"/>
            <w:tcMar>
              <w:bottom w:w="28" w:type="dxa"/>
            </w:tcMar>
            <w:vAlign w:val="center"/>
          </w:tcPr>
          <w:p>
            <w:pPr>
              <w:pStyle w:val="TableContents"/>
              <w:bidi w:val="0"/>
              <w:spacing w:before="0" w:after="283"/>
              <w:jc w:val="right"/>
              <w:rPr/>
            </w:pPr>
            <w:r>
              <w:rPr/>
              <w:t>(40,726,793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4331" w:type="dxa"/>
            <w:tcBorders/>
            <w:shd w:fill="CCEEFF" w:val="clear"/>
            <w:vAlign w:val="center"/>
          </w:tcPr>
          <w:p>
            <w:pPr>
              <w:pStyle w:val="TableContents"/>
              <w:bidi w:val="0"/>
              <w:spacing w:before="0" w:after="283"/>
              <w:jc w:val="left"/>
              <w:rPr/>
            </w:pPr>
            <w:r>
              <w:rPr/>
              <w:t>SAFE agreements at fair value, end of period</w:t>
            </w:r>
          </w:p>
        </w:tc>
        <w:tc>
          <w:tcPr>
            <w:tcW w:w="60" w:type="dxa"/>
            <w:tcBorders/>
            <w:shd w:fill="CCEEFF" w:val="clear"/>
            <w:vAlign w:val="center"/>
          </w:tcPr>
          <w:p>
            <w:pPr>
              <w:pStyle w:val="TableContents"/>
              <w:bidi w:val="0"/>
              <w:spacing w:before="0" w:after="283"/>
              <w:jc w:val="left"/>
              <w:rPr/>
            </w:pPr>
            <w:r>
              <w:rPr/>
              <w:t> </w:t>
            </w:r>
          </w:p>
        </w:tc>
        <w:tc>
          <w:tcPr>
            <w:tcW w:w="2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827" w:type="dxa"/>
            <w:tcBorders>
              <w:bottom w:val="double" w:sz="10" w:space="0" w:color="000000"/>
            </w:tcBorders>
            <w:shd w:fill="CCEEFF" w:val="clear"/>
            <w:tcMar>
              <w:bottom w:w="28" w:type="dxa"/>
            </w:tcMar>
            <w:vAlign w:val="center"/>
          </w:tcPr>
          <w:p>
            <w:pPr>
              <w:pStyle w:val="TableContents"/>
              <w:bidi w:val="0"/>
              <w:spacing w:before="0" w:after="283"/>
              <w:jc w:val="right"/>
              <w:rPr/>
            </w:pPr>
            <w:r>
              <w:rPr/>
              <w:t>22,664,606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18" w:type="dxa"/>
            <w:tcBorders>
              <w:bottom w:val="double" w:sz="10" w:space="0" w:color="000000"/>
            </w:tcBorders>
            <w:shd w:fill="CCEEFF" w:val="clear"/>
            <w:tcMar>
              <w:bottom w:w="28" w:type="dxa"/>
            </w:tcMar>
            <w:vAlign w:val="center"/>
          </w:tcPr>
          <w:p>
            <w:pPr>
              <w:pStyle w:val="TableContents"/>
              <w:bidi w:val="0"/>
              <w:spacing w:before="0" w:after="283"/>
              <w:jc w:val="right"/>
              <w:rPr/>
            </w:pPr>
            <w:r>
              <w:rPr/>
              <w:t>22,664,606</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2025, there was no change in the fair value of SAFE notes, compared to a decrease of $0.8 million in the same period of 2024, representing a 100% decline. For the nine months ended September 30, 2025, the Company recorded a decrease in fair value of $17.4 million, compared to a decrease of $14.2 million in the prior year, an increase of $3.1 million, or 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beginning of the three-month period, no SAFE agreements were outstanding, compared to $22.7 million at the same point in 2024. During the nine months ended September 30, 2025, SAFE agreements at fair value decreased from $23.3 million to zero, following the conversion of all outstanding notes into 2,909,057 shares of Common Stock. No new SAFE agreements were issued for cash during the three months ended September 30, 2025. The change in fair value of $17.4 million for the nine months ended September 30, 2025, was based on the fair value of Common Stock at closing of $14.00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the balance of SAFE agreements was primarily driven by the increased estimated fair value of the Company and the higher probability of the Business Combination, which closed on June 18, 2025, qualifying as an “Equity Financing” under the terms of the Company’s SAFE agreements. As a result, all outstanding SAFE notes were converted into Common Stock, and no SAFE notes remained outstanding as of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years ended December 31,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Cost of Revenue, Gross Profit, and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revenue, cost of revenue, gross profit, and gross margin for the years ended December 31, 2024 and 2023 are summarized as follows:</w:t>
      </w:r>
    </w:p>
    <w:p>
      <w:pPr>
        <w:pStyle w:val="TextBody"/>
        <w:bidi w:val="0"/>
        <w:spacing w:before="0" w:after="0"/>
        <w:ind w:left="0" w:right="0" w:hanging="0"/>
        <w:jc w:val="both"/>
        <w:rPr>
          <w:caps w:val="false"/>
          <w:smallCaps w:val="false"/>
        </w:rPr>
      </w:pPr>
      <w:r>
        <w:rPr>
          <w:caps w:val="false"/>
          <w:smallCaps w:val="false"/>
        </w:rPr>
        <w:t> </w:t>
      </w:r>
    </w:p>
    <w:tbl>
      <w:tblPr>
        <w:tblW w:w="7230" w:type="dxa"/>
        <w:jc w:val="left"/>
        <w:tblInd w:w="0" w:type="dxa"/>
        <w:tblLayout w:type="fixed"/>
        <w:tblCellMar>
          <w:top w:w="0" w:type="dxa"/>
          <w:left w:w="0" w:type="dxa"/>
          <w:bottom w:w="0" w:type="dxa"/>
          <w:right w:w="0" w:type="dxa"/>
        </w:tblCellMar>
      </w:tblPr>
      <w:tblGrid>
        <w:gridCol w:w="1805"/>
        <w:gridCol w:w="60"/>
        <w:gridCol w:w="140"/>
        <w:gridCol w:w="875"/>
        <w:gridCol w:w="290"/>
        <w:gridCol w:w="60"/>
        <w:gridCol w:w="140"/>
        <w:gridCol w:w="800"/>
        <w:gridCol w:w="215"/>
        <w:gridCol w:w="60"/>
        <w:gridCol w:w="140"/>
        <w:gridCol w:w="875"/>
        <w:gridCol w:w="290"/>
        <w:gridCol w:w="60"/>
        <w:gridCol w:w="96"/>
        <w:gridCol w:w="1019"/>
        <w:gridCol w:w="305"/>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172,661</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439,640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(266,979</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(60.7</w:t>
            </w:r>
          </w:p>
        </w:tc>
        <w:tc>
          <w:tcPr>
            <w:tcW w:w="305"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343,889</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86,888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257,001</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295.8</w:t>
            </w:r>
          </w:p>
        </w:tc>
        <w:tc>
          <w:tcPr>
            <w:tcW w:w="305"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Gross (loss)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(171,228</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352,752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(523,980</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(148.5</w:t>
            </w:r>
          </w:p>
        </w:tc>
        <w:tc>
          <w:tcPr>
            <w:tcW w:w="305"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Gross margin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(99.2</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80.2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(179.4</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(223.6</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decreased by $266,979, or 60.7%, for the year ended December 31, 2024 compared to the year ended December 31, 2023. The decrease in revenue is primarily due to a decrease in feasibility studies to new and existing customers.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increased by $257,001, or 295.8%, for the year ended December 31, 2024 compared to the year ended December 31, 2023. The increases are primarily due to additional support staff salaries, compliance cost and cloud hosting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margin was (99.2%) for the year ended December 31, 2024 compared to 80.2% for the year ended December 31, 2023. The decrease in gross margin is primarily due to additional support staff salaries, compliance cost and cloud hosting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years ended December 31, 2024 and 2023 is summarized as follows:</w:t>
      </w:r>
    </w:p>
    <w:p>
      <w:pPr>
        <w:pStyle w:val="TextBody"/>
        <w:bidi w:val="0"/>
        <w:spacing w:before="0" w:after="0"/>
        <w:ind w:left="0" w:right="0" w:hanging="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2585"/>
        <w:gridCol w:w="60"/>
        <w:gridCol w:w="140"/>
        <w:gridCol w:w="800"/>
        <w:gridCol w:w="215"/>
        <w:gridCol w:w="60"/>
        <w:gridCol w:w="140"/>
        <w:gridCol w:w="800"/>
        <w:gridCol w:w="215"/>
        <w:gridCol w:w="60"/>
        <w:gridCol w:w="155"/>
        <w:gridCol w:w="840"/>
        <w:gridCol w:w="95"/>
        <w:gridCol w:w="60"/>
        <w:gridCol w:w="147"/>
        <w:gridCol w:w="968"/>
        <w:gridCol w:w="30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759,967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837,453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(77,486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CCEEFF" w:val="clear"/>
            <w:tcMar>
              <w:bottom w:w="28" w:type="dxa"/>
            </w:tcMar>
            <w:vAlign w:val="center"/>
          </w:tcPr>
          <w:p>
            <w:pPr>
              <w:pStyle w:val="TableContents"/>
              <w:bidi w:val="0"/>
              <w:spacing w:before="0" w:after="283"/>
              <w:jc w:val="right"/>
              <w:rPr/>
            </w:pPr>
            <w:r>
              <w:rPr/>
              <w:t>(9.3</w:t>
            </w:r>
          </w:p>
        </w:tc>
        <w:tc>
          <w:tcPr>
            <w:tcW w:w="305"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left"/>
              <w:rPr/>
            </w:pPr>
            <w:r>
              <w:rPr/>
              <w:t>Percentage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440.1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190.5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decreased by $77,486, or 9.3%, for the year ended December 31, 2024 compared to the year ended December 31, 2023. The decreases are primarily driven by reduced utilization of software and hardware development contractors.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for the years ended December 31, 2024 and 2023 is summarized as follows:</w:t>
      </w:r>
    </w:p>
    <w:p>
      <w:pPr>
        <w:pStyle w:val="TextBody"/>
        <w:bidi w:val="0"/>
        <w:spacing w:before="0" w:after="0"/>
        <w:ind w:left="0" w:right="0" w:hanging="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2135"/>
        <w:gridCol w:w="60"/>
        <w:gridCol w:w="140"/>
        <w:gridCol w:w="980"/>
        <w:gridCol w:w="215"/>
        <w:gridCol w:w="60"/>
        <w:gridCol w:w="140"/>
        <w:gridCol w:w="800"/>
        <w:gridCol w:w="215"/>
        <w:gridCol w:w="60"/>
        <w:gridCol w:w="140"/>
        <w:gridCol w:w="980"/>
        <w:gridCol w:w="60"/>
        <w:gridCol w:w="60"/>
        <w:gridCol w:w="107"/>
        <w:gridCol w:w="1008"/>
        <w:gridCol w:w="230"/>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2,524,930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449,936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2,074,994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before="0" w:after="283"/>
              <w:jc w:val="right"/>
              <w:rPr/>
            </w:pPr>
            <w:r>
              <w:rPr/>
              <w:t>461.2</w:t>
            </w:r>
          </w:p>
        </w:tc>
        <w:tc>
          <w:tcPr>
            <w:tcW w:w="230" w:type="dxa"/>
            <w:tcBorders/>
            <w:shd w:fill="CCEEFF" w:val="clear"/>
            <w:vAlign w:val="center"/>
          </w:tcPr>
          <w:p>
            <w:pPr>
              <w:pStyle w:val="TableContents"/>
              <w:bidi w:val="0"/>
              <w:spacing w:before="0" w:after="283"/>
              <w:jc w:val="left"/>
              <w:rPr/>
            </w:pPr>
            <w:r>
              <w:rPr/>
              <w:t>%</w:t>
            </w:r>
          </w:p>
        </w:tc>
      </w:tr>
      <w:tr>
        <w:trPr/>
        <w:tc>
          <w:tcPr>
            <w:tcW w:w="2135" w:type="dxa"/>
            <w:tcBorders/>
            <w:shd w:fill="FFFFFF" w:val="clear"/>
            <w:vAlign w:val="center"/>
          </w:tcPr>
          <w:p>
            <w:pPr>
              <w:pStyle w:val="TableContents"/>
              <w:bidi w:val="0"/>
              <w:spacing w:before="0" w:after="283"/>
              <w:jc w:val="left"/>
              <w:rPr/>
            </w:pPr>
            <w:r>
              <w:rPr/>
              <w:t>Percentage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1,462.4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102.3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$2,074,994, or 461.2%, for the year ended December 31, 2024 compared to the year ended December 31, 2023. The increase reflects our continued pivot toward the market and was primarily driven by higher spending on digital marketing services and additional modules and users in our customer relationship management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years ended December 31, 2024 and 2023 are summarized as follows:</w:t>
      </w:r>
    </w:p>
    <w:p>
      <w:pPr>
        <w:pStyle w:val="TextBody"/>
        <w:bidi w:val="0"/>
        <w:spacing w:before="0" w:after="0"/>
        <w:ind w:left="0" w:right="0" w:hanging="0"/>
        <w:jc w:val="both"/>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2570"/>
        <w:gridCol w:w="60"/>
        <w:gridCol w:w="140"/>
        <w:gridCol w:w="980"/>
        <w:gridCol w:w="215"/>
        <w:gridCol w:w="60"/>
        <w:gridCol w:w="140"/>
        <w:gridCol w:w="800"/>
        <w:gridCol w:w="215"/>
        <w:gridCol w:w="60"/>
        <w:gridCol w:w="140"/>
        <w:gridCol w:w="980"/>
        <w:gridCol w:w="60"/>
        <w:gridCol w:w="60"/>
        <w:gridCol w:w="107"/>
        <w:gridCol w:w="1008"/>
        <w:gridCol w:w="23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3,588,548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742,041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2,846,507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before="0" w:after="283"/>
              <w:jc w:val="right"/>
              <w:rPr/>
            </w:pPr>
            <w:r>
              <w:rPr/>
              <w:t>383.6</w:t>
            </w:r>
          </w:p>
        </w:tc>
        <w:tc>
          <w:tcPr>
            <w:tcW w:w="230" w:type="dxa"/>
            <w:tcBorders/>
            <w:shd w:fill="CCEEFF" w:val="clear"/>
            <w:vAlign w:val="center"/>
          </w:tcPr>
          <w:p>
            <w:pPr>
              <w:pStyle w:val="TableContents"/>
              <w:bidi w:val="0"/>
              <w:spacing w:before="0" w:after="283"/>
              <w:jc w:val="left"/>
              <w:rPr/>
            </w:pPr>
            <w:r>
              <w:rPr/>
              <w:t>%</w:t>
            </w:r>
          </w:p>
        </w:tc>
      </w:tr>
      <w:tr>
        <w:trPr/>
        <w:tc>
          <w:tcPr>
            <w:tcW w:w="2570" w:type="dxa"/>
            <w:tcBorders/>
            <w:shd w:fill="FFFFFF" w:val="clear"/>
            <w:vAlign w:val="center"/>
          </w:tcPr>
          <w:p>
            <w:pPr>
              <w:pStyle w:val="TableContents"/>
              <w:bidi w:val="0"/>
              <w:spacing w:before="0" w:after="283"/>
              <w:jc w:val="left"/>
              <w:rPr/>
            </w:pPr>
            <w:r>
              <w:rPr/>
              <w:t>Percentage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2,078.4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168.8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 increased by $2,846,507, or 383.6%, for the year ended December 31, 2024 compared to the year ended December 31, 2023. The increases are primarily due to additional labor costs pertaining to the ramp up of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expenses – SAFE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summarize the change in the fair value of SAFE agreements and the SAFE agreements activity for the year ended December 31, 2024 and 2023:</w:t>
      </w:r>
    </w:p>
    <w:p>
      <w:pPr>
        <w:pStyle w:val="TextBody"/>
        <w:bidi w:val="0"/>
        <w:spacing w:before="0" w:after="0"/>
        <w:ind w:left="0" w:right="0" w:hanging="0"/>
        <w:jc w:val="both"/>
        <w:rPr>
          <w:caps w:val="false"/>
          <w:smallCaps w:val="false"/>
        </w:rPr>
      </w:pPr>
      <w:r>
        <w:rPr>
          <w:caps w:val="false"/>
          <w:smallCaps w:val="false"/>
        </w:rPr>
        <w:t> </w:t>
      </w:r>
    </w:p>
    <w:tbl>
      <w:tblPr>
        <w:tblW w:w="8610" w:type="dxa"/>
        <w:jc w:val="left"/>
        <w:tblInd w:w="0" w:type="dxa"/>
        <w:tblLayout w:type="fixed"/>
        <w:tblCellMar>
          <w:top w:w="0" w:type="dxa"/>
          <w:left w:w="0" w:type="dxa"/>
          <w:bottom w:w="0" w:type="dxa"/>
          <w:right w:w="0" w:type="dxa"/>
        </w:tblCellMar>
      </w:tblPr>
      <w:tblGrid>
        <w:gridCol w:w="3425"/>
        <w:gridCol w:w="60"/>
        <w:gridCol w:w="140"/>
        <w:gridCol w:w="1100"/>
        <w:gridCol w:w="60"/>
        <w:gridCol w:w="60"/>
        <w:gridCol w:w="140"/>
        <w:gridCol w:w="800"/>
        <w:gridCol w:w="60"/>
        <w:gridCol w:w="60"/>
        <w:gridCol w:w="140"/>
        <w:gridCol w:w="1100"/>
        <w:gridCol w:w="60"/>
        <w:gridCol w:w="60"/>
        <w:gridCol w:w="107"/>
        <w:gridCol w:w="1008"/>
        <w:gridCol w:w="230"/>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Change in fair value of SAFE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14,492,176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263,239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14,228,937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before="0" w:after="283"/>
              <w:jc w:val="right"/>
              <w:rPr/>
            </w:pPr>
            <w:r>
              <w:rPr/>
              <w:t>5,405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4910"/>
        <w:gridCol w:w="60"/>
        <w:gridCol w:w="140"/>
        <w:gridCol w:w="1100"/>
        <w:gridCol w:w="60"/>
        <w:gridCol w:w="60"/>
        <w:gridCol w:w="140"/>
        <w:gridCol w:w="980"/>
        <w:gridCol w:w="75"/>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7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SAFE agreements at fair value,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4,602,950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2,219,711</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SAFE agreements issued for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4,239,500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2,120,000</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14,492,176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263,239</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SAFE agreements at fair value,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23,334,626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4,602,950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the liability balance of SAFE agreements for the year ended December 31, 2024, compared to December 31, 2023, was primarily driven by the higher estimated fair value of the Company and the issuance of additional SAFE notes during the year ended December 31, 2024. A corresponding increase in the change in fair value of SAFE notes other expense line items was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Requirements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is a measure of our ability to access sufficient cash flows to meet the short-term and long-term cash requirements of our business operations. To date, we have funded our operations primarily with proceeds from the issuance of common shares to PIPE investors contemporaneously with the close of the Business Combination. Our future capital requirements will depend on many factors, including, but not limited to, our growth, our ability to attract and retain customers, the continued market acceptance of our solution, the timing and extent of spending necessary to support our efforts to develop our Dot Cloud and meet our performance obligations related to subscription sales of the same, the expansion of sales and marketing activities, and the impact of macroeconomic conditions on us and our customers’ and partners’ businesses. Further, we may enter into arrangements to acquire or invest in businesses, products, services, and technologies. We will need to raise additional capital in the future to finance our operations and expand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assessment of going concern considerations in accordance with FASB ASC Topic 205-40, “Presentation of Financial Statements — Going Concern,” management anticipates the Company will continue to incur substantial operating losses for the next several years and will need to obtain additional near-term financing in order to continue its research and development activities. Our ability to continue as a going concern is dependent on its ability to raise additional capital to fund research and development activities and meet obligations on a timely basis. However, there can be no assurance that sufficient funding will be available to allow us to successfully continue our research and development activities and commercialize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our business, results of operations, and prospects. These conditions raise substantial doubt about our ability to continue as a going concern within one year from the date these interim unaudited consolidated financial statements are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and December 31, 2024, we had cash of $1,418,834 and $721,032, respectively, and working capital deficit of $5,404,007 and $1,215,988,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funded our operations primarily with proceeds from the issuance of common shares to PIPE investors contemporaneously with the close of the Business Combination in the amount of $10,837,643 and proceeds from the issuance of bridge loans. As of September 30, 2025, we had cash of $1,418,834. In the future, we expect to finance our cash needs through a combination of equity, debt financings, and improvement of cash from operations derived from selling subscriptions to our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funding efforts, on June 18, 2025, the Company entered into the ELOC Agreement with New Circle Principal Investment LLC (“New Circle”), which provides the Company the right, but not the obligation, to direct New Circle from time to time to purchase up to $50 million of the Company’s Common Shares during the commitment period ending June 18, 2028, at a discount of the volume-weighted average price (VWAP) over a defined pricing period. Under the ELOC Agreement, the Company may sell shares to the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purchase would be subject to certain limitations, including that New Circle shall not purchase any shares that would result in it and its affiliates beneficially owning more than 4.99% of the then outstanding voting power or number of shares of Common Stock or any shares that would exceed 19.99% of all shares of Common Stock of the Company outstanding on the date of the ELOC Agreement, unless Company shareholder approval was obtained allowing for issuances in excess of such amount (the “Exchange Cap”). The Exchange Cap will not apply under certain circumstances, including where the average purchase price of all applicable sales of Common Shares equals or exceeds the lower of (i) the Nasdaq Official Closing Price immediately preceding the Effective Date; or (ii) the average Nasdaq Official Closing Price for the five Trading Days immediately preceding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the option to satisfy the $350,000 commitment fee under the ELOC Agreement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Company elects to sell shares by issuing a purchase notice, the ELOC Agreement represents a purchased put option on the Company’s equity. Once the Company delivers a purchase notice under the ELOC Agreement, the related number of shares to be issued constitutes a forward contract to issue common stock. As the feature is embedded in an equity host, meets the definition of a derivative, and does not qualify for the equity scope exception under ASC 815 Derivatives and Hedging, it must be bifurcated and accounted for separately as a derivative asset or liability, depending on changes in the underlying stock price relative to the pegged discounted VWAP. The derivative is measured at fair value, with changes in fair value recognized in net income. The fair value of the purchased put option was determined to be de minimis as of September 30, 2025, and therefore was not recorded on the Company’s balance sheet as of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Nine Months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a summary of our cash flow for the periods presented:</w:t>
      </w:r>
    </w:p>
    <w:p>
      <w:pPr>
        <w:pStyle w:val="TextBody"/>
        <w:bidi w:val="0"/>
        <w:spacing w:before="0" w:after="0"/>
        <w:ind w:left="0" w:right="0" w:firstLine="720"/>
        <w:jc w:val="both"/>
        <w:rPr>
          <w:caps w:val="false"/>
          <w:smallCaps w:val="false"/>
        </w:rPr>
      </w:pPr>
      <w:r>
        <w:rPr>
          <w:caps w:val="false"/>
          <w:smallCaps w:val="false"/>
        </w:rPr>
        <w:t> </w:t>
      </w:r>
    </w:p>
    <w:tbl>
      <w:tblPr>
        <w:tblW w:w="6806" w:type="dxa"/>
        <w:jc w:val="left"/>
        <w:tblInd w:w="0" w:type="dxa"/>
        <w:tblLayout w:type="fixed"/>
        <w:tblCellMar>
          <w:top w:w="0" w:type="dxa"/>
          <w:left w:w="0" w:type="dxa"/>
          <w:bottom w:w="0" w:type="dxa"/>
          <w:right w:w="0" w:type="dxa"/>
        </w:tblCellMar>
      </w:tblPr>
      <w:tblGrid>
        <w:gridCol w:w="3890"/>
        <w:gridCol w:w="60"/>
        <w:gridCol w:w="148"/>
        <w:gridCol w:w="1167"/>
        <w:gridCol w:w="100"/>
        <w:gridCol w:w="63"/>
        <w:gridCol w:w="148"/>
        <w:gridCol w:w="1120"/>
        <w:gridCol w:w="11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nine months ended</w:t>
              <w:br/>
              <w:t>September 30,</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67" w:type="dxa"/>
            <w:tcBorders/>
            <w:shd w:fill="CCEEFF" w:val="clear"/>
            <w:vAlign w:val="center"/>
          </w:tcPr>
          <w:p>
            <w:pPr>
              <w:pStyle w:val="TableContents"/>
              <w:bidi w:val="0"/>
              <w:spacing w:before="0" w:after="283"/>
              <w:jc w:val="right"/>
              <w:rPr/>
            </w:pPr>
            <w:r>
              <w:rPr/>
              <w:t>(8,197,830</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20" w:type="dxa"/>
            <w:tcBorders/>
            <w:shd w:fill="CCEEFF" w:val="clear"/>
            <w:vAlign w:val="center"/>
          </w:tcPr>
          <w:p>
            <w:pPr>
              <w:pStyle w:val="TableContents"/>
              <w:bidi w:val="0"/>
              <w:spacing w:before="0" w:after="283"/>
              <w:jc w:val="right"/>
              <w:rPr/>
            </w:pPr>
            <w:r>
              <w:rPr/>
              <w:t>(3,099,229</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pPr>
            <w:r>
              <w:rPr/>
              <w:t>(1,382,522</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(579,327</w:t>
            </w:r>
          </w:p>
        </w:tc>
        <w:tc>
          <w:tcPr>
            <w:tcW w:w="110"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67" w:type="dxa"/>
            <w:tcBorders/>
            <w:shd w:fill="CCEEFF" w:val="clear"/>
            <w:vAlign w:val="center"/>
          </w:tcPr>
          <w:p>
            <w:pPr>
              <w:pStyle w:val="TableContents"/>
              <w:bidi w:val="0"/>
              <w:spacing w:before="0" w:after="283"/>
              <w:jc w:val="right"/>
              <w:rPr/>
            </w:pPr>
            <w:r>
              <w:rPr/>
              <w:t>10,278,154</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20" w:type="dxa"/>
            <w:tcBorders/>
            <w:shd w:fill="CCEEFF" w:val="clear"/>
            <w:vAlign w:val="center"/>
          </w:tcPr>
          <w:p>
            <w:pPr>
              <w:pStyle w:val="TableContents"/>
              <w:bidi w:val="0"/>
              <w:spacing w:before="0" w:after="283"/>
              <w:jc w:val="right"/>
              <w:rPr/>
            </w:pPr>
            <w:r>
              <w:rPr/>
              <w:t>3,834,500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years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a summary of our cash flow for the periods presented:</w:t>
      </w:r>
    </w:p>
    <w:p>
      <w:pPr>
        <w:pStyle w:val="TextBody"/>
        <w:bidi w:val="0"/>
        <w:spacing w:before="0" w:after="0"/>
        <w:ind w:left="0" w:right="0" w:hanging="0"/>
        <w:jc w:val="both"/>
        <w:rPr>
          <w:caps w:val="false"/>
          <w:smallCaps w:val="false"/>
        </w:rPr>
      </w:pPr>
      <w:r>
        <w:rPr>
          <w:caps w:val="false"/>
          <w:smallCaps w:val="false"/>
        </w:rPr>
        <w:t> </w:t>
      </w:r>
    </w:p>
    <w:tbl>
      <w:tblPr>
        <w:tblW w:w="6605" w:type="dxa"/>
        <w:jc w:val="left"/>
        <w:tblInd w:w="0" w:type="dxa"/>
        <w:tblLayout w:type="fixed"/>
        <w:tblCellMar>
          <w:top w:w="0" w:type="dxa"/>
          <w:left w:w="0" w:type="dxa"/>
          <w:bottom w:w="0" w:type="dxa"/>
          <w:right w:w="0" w:type="dxa"/>
        </w:tblCellMar>
      </w:tblPr>
      <w:tblGrid>
        <w:gridCol w:w="3890"/>
        <w:gridCol w:w="60"/>
        <w:gridCol w:w="140"/>
        <w:gridCol w:w="1055"/>
        <w:gridCol w:w="95"/>
        <w:gridCol w:w="60"/>
        <w:gridCol w:w="140"/>
        <w:gridCol w:w="1055"/>
        <w:gridCol w:w="11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(3,290,008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(1,668,503</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(834,220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(672,319</w:t>
            </w:r>
          </w:p>
        </w:tc>
        <w:tc>
          <w:tcPr>
            <w:tcW w:w="110"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4,239,500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2,120,000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largest source of operating cash is investments made by our shareholders. Our primary uses of cash from operating activities are for employee-related expenditures, sales and marketing expenses, inventory purchases, and research &amp; development activities. We generated negative cash flows from operations in the preceding two fiscal years. We have supplemented working capital through net proceeds from the sale of equity securities and bridge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was $8.2 million for the nine months ended September 30, 2025. This consisted of a net loss of $34.4 million, adjusted for non-cash charges of $18.6 million, and changes in our operating assets and liabilities of $7.6 million. The non-cash charges were primarily composed of change in fair value of SAFE note expense of $17.4 million and loss on extinguishment of debt of $5.7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was $3.1 million for the nine months ended September 30, 2024. This consisted of a net loss of $18.9 million, adjusted for non-cash charges of $14.4 million, and changes in our operating assets and liabilities of $1.3 million. The non-cash charges were primarily composed of change in fair value SAFE note expense of $14.2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was $3.3 million for the year ended December 31, 2024. This consisted of a net loss of $21.5 million, adjusted for non-cash charges of $14.7 million, and changes in our operating assets and liabilities of $3.5 million. The non-cash charges were primarily composed of change in fair value SAFE note expense of $14.5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was $1.7 million for the year ended December 31, 2023. This consisted of a net loss of $1.9 million, adjusted for non-cash charges of $325 thousand, and changes in our operating assets and liabilities of $54 thousand. The non-cash charges were primarily composed of change in fair value SAFE note expense of $263 thousand.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investing activities was $1.4 million for the nine months ended September 30, 2025, which primarily consisted of $484 thousand of property and equipment purchases and $899 thousand of capital expenditures for internal-use software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investing activities was $579 thousand for the nine months ended September 30, 2024, which consisted of capital expenditures for internal-use software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investing activities was $834 thousand for the year ended December 31, 2024, which consisted of capital expenditures for internal-use software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investing activities was $672 thousand for the year ended December 31, 2023, which consisted of capital expenditures for internal-use software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was $10.3 million for the nine months ended September 30, 2025, which primarily consisted of $10.8 million in proceeds from PIPE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was $3.8 million for the nine months ended September 30, 2024, which consisted of $3.8 million of proceeds from issuance of SAFE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was $4.2 million for the year ended December 31, 2024, which consisted of proceeds from issuance of SAFE agreements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was $2.1 million for the year ended December 31, 2023, which consisted of proceeds from issuance of SAFE agreements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estimated future obligations consist of leases and non-cancelable purchase commitments as of September 30, 2025. For additional discussion on our leases and other commitments, refer to Note 12 – Leases and Note 14 – Commitments and Contingencies to our unaudited condensed consolidated financial statements for the three and nine months ended September 30, 2025 included elsewhere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management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significant accounting policies are more fully described in Note 2 to our unaudited condensed consolidated financial statements for the three and nine months ended September 30, 2025, we believe that the following accounting policies are the most critical to fully understanding and evaluating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SAFE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FASB ASC 815 40, </w:t>
      </w:r>
      <w:r>
        <w:rPr>
          <w:rFonts w:ascii="Times New Roman;Times;Serif" w:hAnsi="Times New Roman;Times;Serif"/>
          <w:b w:val="false"/>
          <w:i/>
          <w:caps w:val="false"/>
          <w:smallCaps w:val="false"/>
          <w:sz w:val="20"/>
        </w:rPr>
        <w:t>Contracts in Entity’s Own Equity,</w:t>
      </w:r>
      <w:r>
        <w:rPr>
          <w:rFonts w:ascii="Times New Roman;Times;Serif" w:hAnsi="Times New Roman;Times;Serif"/>
          <w:b w:val="false"/>
          <w:i w:val="false"/>
          <w:caps w:val="false"/>
          <w:smallCaps w:val="false"/>
          <w:sz w:val="20"/>
        </w:rPr>
        <w:t> the Company determined the SAFE agreements are freestanding financial instruments and accordingly are classified as “liabilities” in the accompanying condensed consolidated balance sheets. The SAFE agreements are carried at estimated fair value determined by the Company using a probability weighted expected return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promised goods or services are transferred to customers in an amount that reflects the consideration to which we expect to be entitled in exchange for those goods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revenue recognition through the following steps:</w:t>
      </w:r>
    </w:p>
    <w:p>
      <w:pPr>
        <w:pStyle w:val="TextBody"/>
        <w:bidi w:val="0"/>
        <w:spacing w:before="0" w:after="0"/>
        <w:ind w:left="0" w:right="0" w:firstLine="720"/>
        <w:jc w:val="both"/>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75"/>
        <w:gridCol w:w="170"/>
        <w:gridCol w:w="48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1.</w:t>
            </w:r>
          </w:p>
        </w:tc>
        <w:tc>
          <w:tcPr>
            <w:tcW w:w="4820" w:type="dxa"/>
            <w:tcBorders/>
            <w:vAlign w:val="center"/>
          </w:tcPr>
          <w:p>
            <w:pPr>
              <w:pStyle w:val="TableContents"/>
              <w:bidi w:val="0"/>
              <w:spacing w:before="0" w:after="283"/>
              <w:jc w:val="both"/>
              <w:rPr>
                <w:sz w:val="20"/>
              </w:rPr>
            </w:pPr>
            <w:r>
              <w:rPr>
                <w:sz w:val="20"/>
              </w:rPr>
              <w:t>Identification of the contract, or contracts, with a customer;</w:t>
            </w:r>
          </w:p>
        </w:tc>
      </w:tr>
    </w:tbl>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2.</w:t>
            </w:r>
          </w:p>
        </w:tc>
        <w:tc>
          <w:tcPr>
            <w:tcW w:w="4955" w:type="dxa"/>
            <w:tcBorders/>
            <w:vAlign w:val="center"/>
          </w:tcPr>
          <w:p>
            <w:pPr>
              <w:pStyle w:val="TableContents"/>
              <w:bidi w:val="0"/>
              <w:spacing w:before="0" w:after="283"/>
              <w:jc w:val="both"/>
              <w:rPr>
                <w:sz w:val="20"/>
              </w:rPr>
            </w:pPr>
            <w:r>
              <w:rPr>
                <w:sz w:val="20"/>
              </w:rPr>
              <w:t>Identification of the performance obligations in the contract;</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170"/>
        <w:gridCol w:w="3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3.</w:t>
            </w:r>
          </w:p>
        </w:tc>
        <w:tc>
          <w:tcPr>
            <w:tcW w:w="3170" w:type="dxa"/>
            <w:tcBorders/>
            <w:vAlign w:val="center"/>
          </w:tcPr>
          <w:p>
            <w:pPr>
              <w:pStyle w:val="TableContents"/>
              <w:bidi w:val="0"/>
              <w:spacing w:before="0" w:after="283"/>
              <w:jc w:val="both"/>
              <w:rPr>
                <w:sz w:val="20"/>
              </w:rPr>
            </w:pPr>
            <w:r>
              <w:rPr>
                <w:sz w:val="20"/>
              </w:rPr>
              <w:t>Determination of the transaction price;</w:t>
            </w:r>
          </w:p>
        </w:tc>
      </w:tr>
    </w:tbl>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5"/>
        <w:gridCol w:w="170"/>
        <w:gridCol w:w="69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4.</w:t>
            </w:r>
          </w:p>
        </w:tc>
        <w:tc>
          <w:tcPr>
            <w:tcW w:w="6965" w:type="dxa"/>
            <w:tcBorders/>
            <w:vAlign w:val="center"/>
          </w:tcPr>
          <w:p>
            <w:pPr>
              <w:pStyle w:val="TableContents"/>
              <w:bidi w:val="0"/>
              <w:spacing w:before="0" w:after="283"/>
              <w:jc w:val="both"/>
              <w:rPr>
                <w:sz w:val="20"/>
              </w:rPr>
            </w:pPr>
            <w:r>
              <w:rPr>
                <w:sz w:val="20"/>
              </w:rPr>
              <w:t>Allocation of the transaction price to the performance obligations in the contract; and</w:t>
            </w:r>
          </w:p>
        </w:tc>
      </w:tr>
    </w:tbl>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170"/>
        <w:gridCol w:w="5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5.</w:t>
            </w:r>
          </w:p>
        </w:tc>
        <w:tc>
          <w:tcPr>
            <w:tcW w:w="5915" w:type="dxa"/>
            <w:tcBorders/>
            <w:vAlign w:val="center"/>
          </w:tcPr>
          <w:p>
            <w:pPr>
              <w:pStyle w:val="TableContents"/>
              <w:bidi w:val="0"/>
              <w:spacing w:before="0" w:after="283"/>
              <w:jc w:val="both"/>
              <w:rPr>
                <w:sz w:val="20"/>
              </w:rPr>
            </w:pPr>
            <w:r>
              <w:rPr>
                <w:sz w:val="20"/>
              </w:rPr>
              <w:t>Recognition of revenue when, or as, we satisfy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feasibility studies which allow customers to gain insight into how data driven tracking could improve their business. As part of our studies, off-the-shelf components are installed on customer-owned assets which enable data to be captured by our beta Zero Infrastructure Mesh (“ZIM”) technology network. These feasibility studies allow the refinement of our software protocols and provide essential information for the continued development of our solution. Customers receive the information captured in our feasibility study reports. These feasibility study reports are the only performance obligation in our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determined that the single promise to our customers is satisfied at a point in time. In reaching this conclusion, we considered the context of the contract and the nature of our promise to provide the customer with actionable insights to improve the management of their operations in a feasibility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single performance obligation is satisfied at a point in time, as our customers do not consume the benefits of our studies until their feasibility report is delivered. Accordingly, the fixed consideration related to the performance obligation is recognized on when control of the feasibility report is transferred to the customer which is upon acceptance.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estimates involved in revenue recognition pertain to determination of standalone selling price. Management considered the data inputs for the standalone selling price and determined that the adjusted market assessment approach provided the best estimate of the standalone selling price. The estimates applied have been reasonable in the past and the likelihood of change in estimate to impact the standalone selling price is remote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Internal-Use Software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FASB ASC Topic 350 40, </w:t>
      </w:r>
      <w:r>
        <w:rPr>
          <w:rFonts w:ascii="Times New Roman;Times;Serif" w:hAnsi="Times New Roman;Times;Serif"/>
          <w:b w:val="false"/>
          <w:i/>
          <w:caps w:val="false"/>
          <w:smallCaps w:val="false"/>
          <w:sz w:val="20"/>
        </w:rPr>
        <w:t>Intangibles Goodwill and Other Internal Use Software</w:t>
      </w:r>
      <w:r>
        <w:rPr>
          <w:rFonts w:ascii="Times New Roman;Times;Serif" w:hAnsi="Times New Roman;Times;Serif"/>
          <w:b w:val="false"/>
          <w:i w:val="false"/>
          <w:caps w:val="false"/>
          <w:smallCaps w:val="false"/>
          <w:sz w:val="20"/>
        </w:rPr>
        <w:t>, we capitalize software development costs incurred on new applications or enhancements to applications during the application development phase of software for internal use to provide services to customers. These capitalized costs include certain payroll and payroll related costs for employees and costs for outside consultants who are directly associated with and who devote time to internal use software projects. Costs incurred prior to the application development phase and after the market release are expensed as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on an annual basis and will test for impairment whenever events or changes in circumstances occur that could impact the recoverability of these assets. These costs are not yet amortized as our SaaS solution has not been deployed.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use of estimates in determining the appropriate allocation of personnel costs (including fringe benefits and stock compensation) and software development consultants’ costs to software capitalization. Such costs were analyzed for reasonableness and the current basis (evaluation of project plans and stage) is determined to be the best estimate of the costs capitalized during the period. The estimates applied have been reasonable in the past and the likelihood of change in estimate to impact the software cost capitalized is remote.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and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describe the recently issued accounting pronouncements that apply in Note 2 of the unaudited condensed consolidated financial statements as of and for the three and nine months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 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OUR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Industry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transformation is imperative for companies to compete in the current commercial environment. Those companies that successfully transform their businesses through modern applications, digital workflows, and intuitive user experiences often benefit from loyal customers, innovative offerings, and scalable business models that drive greater profitability and dominate competition. The proliferation of smart devices, growth in cloud applications, increasingly disparate user bases, Artificial Intelligence (AI) and heightened customer expectations are together driving digital adoption. This transformation has already happened across many large industries. In the retail, advertising, media, and information technology industries, for example, innovative, digital-first entrants have disrupted older business models, fundamentally changing the way they operate. Many industries that depend on physical operations, however, have been slower to adopt digital transformation. Despite their size and critical position in the worldwide economy, many companies in industries that depend on physical operations, such as logistics, manufacturing, construction, mining, health care and others still largely rely on manual processes, siloed data, spreadsheets, and legacy software. These industries represent a massive, underpenetrated market for digital transformation.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State of Operations Today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operations-intensive businesses rely on high-value assets and equipment, deploy large field workforces that need coordination, manage complex logistics that require precision, and navigate industry-specific workflows that call for specialized knowledge. These businesses prioritize safety, efficiency and sustainability, while needing to adhere to a myriad of regulatory requirements. Businesses that depend on physical operations are in a unique position to leverage connected IoT assets to generate real-time operational data and deploy AI to drive insights, pursue automation, and improve efficiency in their business processes. For operations-intensive businesses to stay competitive and agile, there is an imperative to adopt digital technologies, and a significant business risk from complacency. Yet the industrial market has been slow to adopt IoT technology or AI advances in their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Challenges with Operations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Lack of Data Access and Siloed Systems</w:t>
            </w:r>
            <w:r>
              <w:rPr>
                <w:rFonts w:ascii="Times New Roman;Times;Serif" w:hAnsi="Times New Roman;Times;Serif"/>
              </w:rPr>
              <w:t>.  Many assets used for physical operations, such as vehicle fleets, machinery, factories, and remote equipment generate enormous amounts of operational data which often cannot be accessed. Even when the data can be accessed, it resides in multiple siloed systems made up of software and hardware components from various vendors. Lack of data access and siloed systems make it difficult to unify data in the cloud and develop actionable business insights.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Breadth and Diversity of Data</w:t>
            </w:r>
            <w:r>
              <w:rPr>
                <w:rFonts w:ascii="Times New Roman;Times;Serif" w:hAnsi="Times New Roman;Times;Serif"/>
              </w:rPr>
              <w:t>.  The breadth and diversity of data collected from physical operations limits the ability for users to consolidate different data types and make better operational decisions. This data, which can be both structured and unstructured, can be challenging to cleanse and normalize before analysis.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Reliance on Legacy Tools</w:t>
            </w:r>
            <w:r>
              <w:rPr>
                <w:rFonts w:ascii="Times New Roman;Times;Serif" w:hAnsi="Times New Roman;Times;Serif"/>
              </w:rPr>
              <w:t>.  Many operations-intensive businesses run on legacy software designed to manage and monitor individual tasks. Others still rely on spreadsheets and paper. These legacy tools were built decades ago and are not designed for scalable analytics.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Limited In-House Innovation</w:t>
            </w:r>
            <w:r>
              <w:rPr>
                <w:rFonts w:ascii="Times New Roman;Times;Serif" w:hAnsi="Times New Roman;Times;Serif"/>
              </w:rPr>
              <w:t>.  Businesses with physical operations typically have limited engineering personnel, IT resources, and funds dedicated to identifying causes of inefficiency and opportunities to avoid future safety, security or sustainability issues. These businesses have traditionally relied on third-party vendors to seek ways to improve their business processes.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Compliance Burden</w:t>
            </w:r>
            <w:r>
              <w:rPr>
                <w:rFonts w:ascii="Times New Roman;Times;Serif" w:hAnsi="Times New Roman;Times;Serif"/>
              </w:rPr>
              <w:t>.  Businesses with extensive physical operations are subject to an increasingly complex patchwork of regulations that cover the range of their physical operations footprint, from environmental conditions to workplace safety and employee monitoring. Compliance with these regulations can be complicated, costly, and time-consuming.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Rugged Environments and Uses</w:t>
            </w:r>
            <w:r>
              <w:rPr>
                <w:rFonts w:ascii="Times New Roman;Times;Serif" w:hAnsi="Times New Roman;Times;Serif"/>
              </w:rPr>
              <w:t>.  Industrial processes often operate in rugged environments, including both indoor and outdoor settings. Many IoT implementations are made first for consumers and office spaces, where devices do not need to meet these standards. The environment and rough handling of the industrial market makes adoption harder.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IoT in Connected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Technological advances have made it possible for companies to visualize their operations digitally in the cloud in real time. These advances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Proliferation of Connected Physical Assets</w:t>
            </w:r>
            <w:r>
              <w:rPr>
                <w:rFonts w:ascii="Times New Roman;Times;Serif" w:hAnsi="Times New Roman;Times;Serif"/>
              </w:rPr>
              <w:t>.  According to data from IDC, the number of connected IoT assets, such as machinery, vehicles, warehouses, and factories, is expected to significantly increase, from approximately 33 billion in 2021 to 39 billion by 2024.</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Advances in Cloud-Based Big Data</w:t>
            </w:r>
            <w:r>
              <w:rPr>
                <w:rFonts w:ascii="Times New Roman;Times;Serif" w:hAnsi="Times New Roman;Times;Serif"/>
              </w:rPr>
              <w:t>.  The cloud has significantly lowered computing and storage costs, which has enabled massive amounts of data to be processed and analyzed efficiently. With these advances, more businesses are transitioning to the cloud, which simplifies data extraction and data integration.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Faster and Cheaper Wireless Capabilities</w:t>
            </w:r>
            <w:r>
              <w:rPr>
                <w:rFonts w:ascii="Times New Roman;Times;Serif" w:hAnsi="Times New Roman;Times;Serif"/>
              </w:rPr>
              <w:t>.  The proliferation of Bluetooth Low Energy and advances in cellular technology have increased the bandwidth and lowered the cost of wireless connectivity. These improvements enable more IoT devices to cost-effectively connect to the cloud, making it feasible to stream real-time data and high-definition video. The 5G rollout in the U.S. and around the world will continue to further these advancements.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Improvements in Camera and Sensor Technology</w:t>
            </w:r>
            <w:r>
              <w:rPr>
                <w:rFonts w:ascii="Times New Roman;Times;Serif" w:hAnsi="Times New Roman;Times;Serif"/>
              </w:rPr>
              <w:t>.  Cameras and other sensor technology have experienced rapid innovation, with improvements in capture quality at lower cost. Cameras and other sensors have become smaller, more affordable, more energy-efficient, and more sensitive, resulting in their widespread proliferation.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More Powerful Artificial Intelligence</w:t>
            </w:r>
            <w:r>
              <w:rPr>
                <w:rFonts w:ascii="Times New Roman;Times;Serif" w:hAnsi="Times New Roman;Times;Serif"/>
              </w:rPr>
              <w:t>.  AI algorithms are becoming increasingly accurate and flexible, while AI processing capabilities at the edge and in the cloud are growing. The resulting AI capabilities make it possible to analyze quantities of operations and IoT data too voluminous for ordinary human analysis or legacy software, and to distill it down in real-time.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a Nevada corporation, helps businesses digitally transform their operations using IoT and AI technology. With significant innovations in RF networking, use of vision system overlays and a cloud-based AI engine, the company offers a differentiated asset tracking and workflow management solution for operations intensive enterprises.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offers a SAAS platform for customer subscription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Real-time asset tracking services allow customers to improve many workflows. For example, inspecting a vehicle as it is approaching to know when a high value asset is on board before it leaves a secure area. This allows operators to respond, halt the vehicle, and investigate. Customer security will know what is leaving and whether it is scheduled to leave. This capability can also be used at gates, docks or storage locations to automatically grant access and record movements for accountability.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common application is tracking inventory. CID Holdco provides a unique capability to dynamically sweep item inventory with roving, inexpensive readers powered by batteries. Due to their low cost and wireless capability, these inexpensive readers can be deployed on pallets, fork trucks, shelves or even people to provide coverage of the location of interest. As a result of this capability, CID Holdco technology is disruptive to legacy logistics systems which are either inadequate to gather this level of detail or much more expensive and inflexible to deploy.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systems automatically process inbound and outbound personnel or items, using RF tags or access cards, while AI-enabled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example application is guided spotting and collision avoidance for vehicles. CID Holdco not only provides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the CID Holdco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CID Holdco provides the capability to enable machine learning and AI intervention in complex processes to enhance safety, assurance and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unique process visibility provided by their innovations, CID Holdco is often implemented as an edge system producing rich data streams for other supervisory systems of record. Powerful commercial partnerships are intended to be formed with large ERP, MES or WMS system players in the targeted vertical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short, CID Holdco brings a next generation capability to know when, where and why assets move in the enterprise, providing an opportunity to apply AI to complex edge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is a summary of the state of development of each of our software products and services offerings: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84"/>
        <w:gridCol w:w="60"/>
        <w:gridCol w:w="3070"/>
        <w:gridCol w:w="60"/>
        <w:gridCol w:w="1715"/>
        <w:gridCol w:w="60"/>
        <w:gridCol w:w="1190"/>
        <w:gridCol w:w="60"/>
        <w:gridCol w:w="141"/>
        <w:gridCol w:w="989"/>
        <w:gridCol w:w="76"/>
      </w:tblGrid>
      <w:tr>
        <w:trPr/>
        <w:tc>
          <w:tcPr>
            <w:tcW w:w="2784" w:type="dxa"/>
            <w:tcBorders>
              <w:bottom w:val="single" w:sz="12" w:space="0" w:color="000000"/>
            </w:tcBorders>
            <w:vAlign w:val="center"/>
          </w:tcPr>
          <w:p>
            <w:pPr>
              <w:pStyle w:val="TableContents"/>
              <w:bidi w:val="0"/>
              <w:spacing w:before="0" w:after="283"/>
              <w:jc w:val="left"/>
              <w:rPr>
                <w:b/>
              </w:rPr>
            </w:pPr>
            <w:r>
              <w:rPr>
                <w:b/>
              </w:rPr>
              <w:t>Software Capitalization</w:t>
            </w:r>
          </w:p>
        </w:tc>
        <w:tc>
          <w:tcPr>
            <w:tcW w:w="60" w:type="dxa"/>
            <w:tcBorders/>
            <w:tcMar>
              <w:bottom w:w="0" w:type="dxa"/>
            </w:tcMar>
            <w:vAlign w:val="center"/>
          </w:tcPr>
          <w:p>
            <w:pPr>
              <w:pStyle w:val="TableContents"/>
              <w:bidi w:val="0"/>
              <w:spacing w:before="0" w:after="283"/>
              <w:jc w:val="left"/>
              <w:rPr/>
            </w:pPr>
            <w:r>
              <w:rPr/>
              <w:t> </w:t>
            </w:r>
          </w:p>
        </w:tc>
        <w:tc>
          <w:tcPr>
            <w:tcW w:w="3070" w:type="dxa"/>
            <w:tcBorders>
              <w:bottom w:val="single" w:sz="12" w:space="0" w:color="000000"/>
            </w:tcBorders>
            <w:vAlign w:val="center"/>
          </w:tcPr>
          <w:p>
            <w:pPr>
              <w:pStyle w:val="TableContents"/>
              <w:bidi w:val="0"/>
              <w:spacing w:before="0" w:after="283"/>
              <w:jc w:val="center"/>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1715" w:type="dxa"/>
            <w:tcBorders>
              <w:bottom w:val="single" w:sz="12" w:space="0" w:color="000000"/>
            </w:tcBorders>
            <w:vAlign w:val="center"/>
          </w:tcPr>
          <w:p>
            <w:pPr>
              <w:pStyle w:val="TableContents"/>
              <w:bidi w:val="0"/>
              <w:spacing w:before="0" w:after="283"/>
              <w:jc w:val="center"/>
              <w:rPr>
                <w:b/>
              </w:rPr>
            </w:pPr>
            <w:r>
              <w:rPr>
                <w:b/>
              </w:rPr>
              <w:t>Currently under</w:t>
              <w:br/>
              <w:t>development</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12" w:space="0" w:color="000000"/>
            </w:tcBorders>
            <w:vAlign w:val="center"/>
          </w:tcPr>
          <w:p>
            <w:pPr>
              <w:pStyle w:val="TableContents"/>
              <w:bidi w:val="0"/>
              <w:spacing w:before="0" w:after="283"/>
              <w:jc w:val="center"/>
              <w:rPr>
                <w:b/>
              </w:rPr>
            </w:pPr>
            <w:r>
              <w:rPr>
                <w:b/>
              </w:rPr>
              <w:t>Timing for</w:t>
              <w:br/>
              <w:t>commercial</w:t>
              <w:br/>
              <w:t>release</w:t>
            </w:r>
          </w:p>
        </w:tc>
        <w:tc>
          <w:tcPr>
            <w:tcW w:w="6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12" w:space="0" w:color="000000"/>
            </w:tcBorders>
            <w:vAlign w:val="center"/>
          </w:tcPr>
          <w:p>
            <w:pPr>
              <w:pStyle w:val="TableContents"/>
              <w:bidi w:val="0"/>
              <w:spacing w:before="0" w:after="283"/>
              <w:jc w:val="center"/>
              <w:rPr>
                <w:b/>
              </w:rPr>
            </w:pPr>
            <w:r>
              <w:rPr>
                <w:b/>
              </w:rPr>
              <w:t>Remaining</w:t>
              <w:br/>
              <w:t>estimated</w:t>
              <w:br/>
              <w:t>costs</w:t>
            </w:r>
          </w:p>
        </w:tc>
        <w:tc>
          <w:tcPr>
            <w:tcW w:w="76" w:type="dxa"/>
            <w:tcBorders/>
            <w:tcMar>
              <w:bottom w:w="0" w:type="dxa"/>
            </w:tcMar>
            <w:vAlign w:val="center"/>
          </w:tcPr>
          <w:p>
            <w:pPr>
              <w:pStyle w:val="TableContents"/>
              <w:bidi w:val="0"/>
              <w:spacing w:before="0" w:after="283"/>
              <w:jc w:val="left"/>
              <w:rPr/>
            </w:pPr>
            <w:r>
              <w:rPr/>
              <w:t> </w:t>
            </w:r>
          </w:p>
        </w:tc>
      </w:tr>
      <w:tr>
        <w:trPr/>
        <w:tc>
          <w:tcPr>
            <w:tcW w:w="2784" w:type="dxa"/>
            <w:tcBorders/>
            <w:shd w:fill="CCEEFF" w:val="clear"/>
            <w:tcMar>
              <w:bottom w:w="0" w:type="dxa"/>
            </w:tcMar>
            <w:vAlign w:val="center"/>
          </w:tcPr>
          <w:p>
            <w:pPr>
              <w:pStyle w:val="TableContents"/>
              <w:bidi w:val="0"/>
              <w:spacing w:before="0" w:after="283"/>
              <w:jc w:val="left"/>
              <w:rPr>
                <w:b/>
              </w:rPr>
            </w:pPr>
            <w:r>
              <w:rPr>
                <w:b/>
              </w:rPr>
              <w:t>BLE Protocol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0" w:type="dxa"/>
            <w:tcBorders/>
            <w:shd w:fill="CCEEFF" w:val="clear"/>
            <w:tcMar>
              <w:bottom w:w="0" w:type="dxa"/>
            </w:tcMar>
            <w:vAlign w:val="center"/>
          </w:tcPr>
          <w:p>
            <w:pPr>
              <w:pStyle w:val="TableContents"/>
              <w:bidi w:val="0"/>
              <w:spacing w:before="0" w:after="283"/>
              <w:jc w:val="left"/>
              <w:rPr/>
            </w:pPr>
            <w:r>
              <w:rPr/>
              <w:t>Software protocol development for communication between bridges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center"/>
              <w:rPr/>
            </w:pPr>
            <w:r>
              <w:rPr/>
              <w:t>1.4 in progress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center"/>
              <w:rPr/>
            </w:pPr>
            <w:r>
              <w:rPr/>
              <w:t>2026 Q1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989" w:type="dxa"/>
            <w:tcBorders/>
            <w:shd w:fill="CCEEFF" w:val="clear"/>
            <w:tcMar>
              <w:bottom w:w="0" w:type="dxa"/>
            </w:tcMar>
            <w:vAlign w:val="center"/>
          </w:tcPr>
          <w:p>
            <w:pPr>
              <w:pStyle w:val="TableContents"/>
              <w:bidi w:val="0"/>
              <w:spacing w:before="0" w:after="283"/>
              <w:jc w:val="right"/>
              <w:rPr/>
            </w:pPr>
            <w:r>
              <w:rPr/>
              <w:t>347,000</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2784" w:type="dxa"/>
            <w:tcBorders/>
            <w:shd w:fill="FFFFFF" w:val="clear"/>
            <w:tcMar>
              <w:bottom w:w="0" w:type="dxa"/>
            </w:tcMar>
            <w:vAlign w:val="center"/>
          </w:tcPr>
          <w:p>
            <w:pPr>
              <w:pStyle w:val="TableContents"/>
              <w:bidi w:val="0"/>
              <w:spacing w:before="0" w:after="283"/>
              <w:jc w:val="left"/>
              <w:rPr>
                <w:b/>
              </w:rPr>
            </w:pPr>
            <w:r>
              <w:rPr>
                <w:b/>
              </w:rPr>
              <w:t>Locating Protocol</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0" w:type="dxa"/>
            <w:tcBorders/>
            <w:shd w:fill="FFFFFF" w:val="clear"/>
            <w:tcMar>
              <w:bottom w:w="0" w:type="dxa"/>
            </w:tcMar>
            <w:vAlign w:val="center"/>
          </w:tcPr>
          <w:p>
            <w:pPr>
              <w:pStyle w:val="TableContents"/>
              <w:bidi w:val="0"/>
              <w:spacing w:before="0" w:after="283"/>
              <w:jc w:val="left"/>
              <w:rPr/>
            </w:pPr>
            <w:r>
              <w:rPr/>
              <w:t>Software protocol development for locating items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center"/>
              <w:rPr/>
            </w:pPr>
            <w:r>
              <w:rPr/>
              <w:t>1.4 in progress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center"/>
              <w:rPr/>
            </w:pPr>
            <w:r>
              <w:rPr/>
              <w:t>2026 Q1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w:t>
            </w:r>
          </w:p>
        </w:tc>
        <w:tc>
          <w:tcPr>
            <w:tcW w:w="989" w:type="dxa"/>
            <w:tcBorders/>
            <w:shd w:fill="FFFFFF" w:val="clear"/>
            <w:tcMar>
              <w:bottom w:w="0" w:type="dxa"/>
            </w:tcMar>
            <w:vAlign w:val="center"/>
          </w:tcPr>
          <w:p>
            <w:pPr>
              <w:pStyle w:val="TableContents"/>
              <w:bidi w:val="0"/>
              <w:spacing w:before="0" w:after="283"/>
              <w:jc w:val="right"/>
              <w:rPr/>
            </w:pPr>
            <w:r>
              <w:rPr/>
              <w:t>312,000</w:t>
            </w:r>
          </w:p>
        </w:tc>
        <w:tc>
          <w:tcPr>
            <w:tcW w:w="76" w:type="dxa"/>
            <w:tcBorders/>
            <w:shd w:fill="FFFFFF" w:val="clear"/>
            <w:tcMar>
              <w:bottom w:w="0" w:type="dxa"/>
            </w:tcMar>
            <w:vAlign w:val="center"/>
          </w:tcPr>
          <w:p>
            <w:pPr>
              <w:pStyle w:val="TableContents"/>
              <w:bidi w:val="0"/>
              <w:spacing w:before="0" w:after="283"/>
              <w:jc w:val="left"/>
              <w:rPr/>
            </w:pPr>
            <w:r>
              <w:rPr/>
              <w:t> </w:t>
            </w:r>
          </w:p>
        </w:tc>
      </w:tr>
      <w:tr>
        <w:trPr/>
        <w:tc>
          <w:tcPr>
            <w:tcW w:w="2784" w:type="dxa"/>
            <w:tcBorders/>
            <w:shd w:fill="CCEEFF" w:val="clear"/>
            <w:tcMar>
              <w:bottom w:w="0" w:type="dxa"/>
            </w:tcMar>
            <w:vAlign w:val="center"/>
          </w:tcPr>
          <w:p>
            <w:pPr>
              <w:pStyle w:val="TableContents"/>
              <w:bidi w:val="0"/>
              <w:spacing w:before="0" w:after="283"/>
              <w:jc w:val="left"/>
              <w:rPr>
                <w:b/>
              </w:rPr>
            </w:pPr>
            <w:r>
              <w:rPr>
                <w:b/>
              </w:rPr>
              <w:t>Web Backend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0" w:type="dxa"/>
            <w:tcBorders/>
            <w:shd w:fill="CCEEFF" w:val="clear"/>
            <w:tcMar>
              <w:bottom w:w="0" w:type="dxa"/>
            </w:tcMar>
            <w:vAlign w:val="center"/>
          </w:tcPr>
          <w:p>
            <w:pPr>
              <w:pStyle w:val="TableContents"/>
              <w:bidi w:val="0"/>
              <w:spacing w:before="0" w:after="283"/>
              <w:jc w:val="left"/>
              <w:rPr/>
            </w:pPr>
            <w:r>
              <w:rPr/>
              <w:t>Software infrastructure to support web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center"/>
              <w:rPr/>
            </w:pPr>
            <w:r>
              <w:rPr/>
              <w:t>3.0 in progress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center"/>
              <w:rPr/>
            </w:pPr>
            <w:r>
              <w:rPr/>
              <w:t>2026 Q1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989" w:type="dxa"/>
            <w:tcBorders/>
            <w:shd w:fill="CCEEFF" w:val="clear"/>
            <w:tcMar>
              <w:bottom w:w="0" w:type="dxa"/>
            </w:tcMar>
            <w:vAlign w:val="center"/>
          </w:tcPr>
          <w:p>
            <w:pPr>
              <w:pStyle w:val="TableContents"/>
              <w:bidi w:val="0"/>
              <w:spacing w:before="0" w:after="283"/>
              <w:jc w:val="right"/>
              <w:rPr/>
            </w:pPr>
            <w:r>
              <w:rPr/>
              <w:t>249,600</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2784" w:type="dxa"/>
            <w:tcBorders/>
            <w:shd w:fill="FFFFFF" w:val="clear"/>
            <w:tcMar>
              <w:bottom w:w="0" w:type="dxa"/>
            </w:tcMar>
            <w:vAlign w:val="center"/>
          </w:tcPr>
          <w:p>
            <w:pPr>
              <w:pStyle w:val="TableContents"/>
              <w:bidi w:val="0"/>
              <w:spacing w:before="0" w:after="283"/>
              <w:jc w:val="left"/>
              <w:rPr>
                <w:b/>
              </w:rPr>
            </w:pPr>
            <w:r>
              <w:rPr>
                <w:b/>
              </w:rPr>
              <w:t>Rest API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0" w:type="dxa"/>
            <w:tcBorders/>
            <w:shd w:fill="FFFFFF" w:val="clear"/>
            <w:tcMar>
              <w:bottom w:w="0" w:type="dxa"/>
            </w:tcMar>
            <w:vAlign w:val="center"/>
          </w:tcPr>
          <w:p>
            <w:pPr>
              <w:pStyle w:val="TableContents"/>
              <w:bidi w:val="0"/>
              <w:spacing w:before="0" w:after="283"/>
              <w:jc w:val="left"/>
              <w:rPr/>
            </w:pPr>
            <w:r>
              <w:rPr/>
              <w:t>RestFull interface development for 3</w:t>
            </w:r>
            <w:r>
              <w:rPr>
                <w:position w:val="8"/>
                <w:sz w:val="19"/>
              </w:rPr>
              <w:t>rd</w:t>
            </w:r>
            <w:r>
              <w:rPr/>
              <w:t> party software connection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center"/>
              <w:rPr/>
            </w:pPr>
            <w:r>
              <w:rPr/>
              <w:t>3.0 in progress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center"/>
              <w:rPr/>
            </w:pPr>
            <w:r>
              <w:rPr/>
              <w:t>2026 Q1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w:t>
            </w:r>
          </w:p>
        </w:tc>
        <w:tc>
          <w:tcPr>
            <w:tcW w:w="989" w:type="dxa"/>
            <w:tcBorders/>
            <w:shd w:fill="FFFFFF" w:val="clear"/>
            <w:tcMar>
              <w:bottom w:w="0" w:type="dxa"/>
            </w:tcMar>
            <w:vAlign w:val="center"/>
          </w:tcPr>
          <w:p>
            <w:pPr>
              <w:pStyle w:val="TableContents"/>
              <w:bidi w:val="0"/>
              <w:spacing w:before="0" w:after="283"/>
              <w:jc w:val="right"/>
              <w:rPr/>
            </w:pPr>
            <w:r>
              <w:rPr/>
              <w:t>146,800</w:t>
            </w:r>
          </w:p>
        </w:tc>
        <w:tc>
          <w:tcPr>
            <w:tcW w:w="76" w:type="dxa"/>
            <w:tcBorders/>
            <w:shd w:fill="FFFFFF" w:val="clear"/>
            <w:tcMar>
              <w:bottom w:w="0" w:type="dxa"/>
            </w:tcMar>
            <w:vAlign w:val="center"/>
          </w:tcPr>
          <w:p>
            <w:pPr>
              <w:pStyle w:val="TableContents"/>
              <w:bidi w:val="0"/>
              <w:spacing w:before="0" w:after="283"/>
              <w:jc w:val="left"/>
              <w:rPr/>
            </w:pPr>
            <w:r>
              <w:rPr/>
              <w:t> </w:t>
            </w:r>
          </w:p>
        </w:tc>
      </w:tr>
      <w:tr>
        <w:trPr/>
        <w:tc>
          <w:tcPr>
            <w:tcW w:w="2784" w:type="dxa"/>
            <w:tcBorders/>
            <w:shd w:fill="CCEEFF" w:val="clear"/>
            <w:tcMar>
              <w:bottom w:w="0" w:type="dxa"/>
            </w:tcMar>
            <w:vAlign w:val="center"/>
          </w:tcPr>
          <w:p>
            <w:pPr>
              <w:pStyle w:val="TableContents"/>
              <w:bidi w:val="0"/>
              <w:spacing w:before="0" w:after="283"/>
              <w:jc w:val="left"/>
              <w:rPr>
                <w:b/>
              </w:rPr>
            </w:pPr>
            <w:r>
              <w:rPr>
                <w:b/>
              </w:rPr>
              <w:t>Web Front End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0" w:type="dxa"/>
            <w:tcBorders/>
            <w:shd w:fill="CCEEFF" w:val="clear"/>
            <w:tcMar>
              <w:bottom w:w="0" w:type="dxa"/>
            </w:tcMar>
            <w:vAlign w:val="center"/>
          </w:tcPr>
          <w:p>
            <w:pPr>
              <w:pStyle w:val="TableContents"/>
              <w:bidi w:val="0"/>
              <w:spacing w:before="0" w:after="283"/>
              <w:jc w:val="left"/>
              <w:rPr/>
            </w:pPr>
            <w:r>
              <w:rPr/>
              <w:t>User interface to web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center"/>
              <w:rPr/>
            </w:pPr>
            <w:r>
              <w:rPr/>
              <w:t>3.0 in progress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center"/>
              <w:rPr/>
            </w:pPr>
            <w:r>
              <w:rPr/>
              <w:t>2026 Q1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989" w:type="dxa"/>
            <w:tcBorders/>
            <w:shd w:fill="CCEEFF" w:val="clear"/>
            <w:tcMar>
              <w:bottom w:w="0" w:type="dxa"/>
            </w:tcMar>
            <w:vAlign w:val="center"/>
          </w:tcPr>
          <w:p>
            <w:pPr>
              <w:pStyle w:val="TableContents"/>
              <w:bidi w:val="0"/>
              <w:spacing w:before="0" w:after="283"/>
              <w:jc w:val="right"/>
              <w:rPr/>
            </w:pPr>
            <w:r>
              <w:rPr/>
              <w:t>249,600</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2784" w:type="dxa"/>
            <w:tcBorders/>
            <w:shd w:fill="FFFFFF" w:val="clear"/>
            <w:tcMar>
              <w:bottom w:w="0" w:type="dxa"/>
            </w:tcMar>
            <w:vAlign w:val="center"/>
          </w:tcPr>
          <w:p>
            <w:pPr>
              <w:pStyle w:val="TableContents"/>
              <w:bidi w:val="0"/>
              <w:spacing w:before="0" w:after="283"/>
              <w:jc w:val="left"/>
              <w:rPr>
                <w:b/>
              </w:rPr>
            </w:pPr>
            <w:r>
              <w:rPr>
                <w:b/>
              </w:rPr>
              <w:t>AWS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0" w:type="dxa"/>
            <w:tcBorders/>
            <w:shd w:fill="FFFFFF" w:val="clear"/>
            <w:tcMar>
              <w:bottom w:w="0" w:type="dxa"/>
            </w:tcMar>
            <w:vAlign w:val="center"/>
          </w:tcPr>
          <w:p>
            <w:pPr>
              <w:pStyle w:val="TableContents"/>
              <w:bidi w:val="0"/>
              <w:spacing w:before="0" w:after="283"/>
              <w:jc w:val="left"/>
              <w:rPr/>
            </w:pPr>
            <w:r>
              <w:rPr/>
              <w:t>Development of structure to use AWS service modules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center"/>
              <w:rPr/>
            </w:pPr>
            <w:r>
              <w:rPr/>
              <w:t>3.0 in progress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center"/>
              <w:rPr/>
            </w:pPr>
            <w:r>
              <w:rPr/>
              <w:t>2026 Q1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w:t>
            </w:r>
          </w:p>
        </w:tc>
        <w:tc>
          <w:tcPr>
            <w:tcW w:w="989" w:type="dxa"/>
            <w:tcBorders/>
            <w:shd w:fill="FFFFFF" w:val="clear"/>
            <w:tcMar>
              <w:bottom w:w="0" w:type="dxa"/>
            </w:tcMar>
            <w:vAlign w:val="center"/>
          </w:tcPr>
          <w:p>
            <w:pPr>
              <w:pStyle w:val="TableContents"/>
              <w:bidi w:val="0"/>
              <w:spacing w:before="0" w:after="283"/>
              <w:jc w:val="right"/>
              <w:rPr/>
            </w:pPr>
            <w:r>
              <w:rPr/>
              <w:t>112,000</w:t>
            </w:r>
          </w:p>
        </w:tc>
        <w:tc>
          <w:tcPr>
            <w:tcW w:w="76" w:type="dxa"/>
            <w:tcBorders/>
            <w:shd w:fill="FFFFFF" w:val="clear"/>
            <w:tcMar>
              <w:bottom w:w="0" w:type="dxa"/>
            </w:tcMar>
            <w:vAlign w:val="center"/>
          </w:tcPr>
          <w:p>
            <w:pPr>
              <w:pStyle w:val="TableContents"/>
              <w:bidi w:val="0"/>
              <w:spacing w:before="0" w:after="283"/>
              <w:jc w:val="left"/>
              <w:rPr/>
            </w:pPr>
            <w:r>
              <w:rPr/>
              <w:t> </w:t>
            </w:r>
          </w:p>
        </w:tc>
      </w:tr>
      <w:tr>
        <w:trPr/>
        <w:tc>
          <w:tcPr>
            <w:tcW w:w="2784" w:type="dxa"/>
            <w:tcBorders/>
            <w:shd w:fill="CCEEFF" w:val="clear"/>
            <w:tcMar>
              <w:bottom w:w="0" w:type="dxa"/>
            </w:tcMar>
            <w:vAlign w:val="center"/>
          </w:tcPr>
          <w:p>
            <w:pPr>
              <w:pStyle w:val="TableContents"/>
              <w:bidi w:val="0"/>
              <w:spacing w:before="0" w:after="283"/>
              <w:jc w:val="left"/>
              <w:rPr>
                <w:b/>
              </w:rPr>
            </w:pPr>
            <w:r>
              <w:rPr>
                <w:b/>
              </w:rPr>
              <w:t>CI/CD Pipelines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0" w:type="dxa"/>
            <w:tcBorders/>
            <w:shd w:fill="CCEEFF" w:val="clear"/>
            <w:tcMar>
              <w:bottom w:w="0" w:type="dxa"/>
            </w:tcMar>
            <w:vAlign w:val="center"/>
          </w:tcPr>
          <w:p>
            <w:pPr>
              <w:pStyle w:val="TableContents"/>
              <w:bidi w:val="0"/>
              <w:spacing w:before="0" w:after="283"/>
              <w:jc w:val="left"/>
              <w:rPr/>
            </w:pPr>
            <w:r>
              <w:rPr/>
              <w:t>Integration and deployment tool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center"/>
              <w:rPr/>
            </w:pPr>
            <w:r>
              <w:rPr/>
              <w:t>3.0 in progress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center"/>
              <w:rPr/>
            </w:pPr>
            <w:r>
              <w:rPr/>
              <w:t>2026 Q1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989" w:type="dxa"/>
            <w:tcBorders/>
            <w:shd w:fill="CCEEFF" w:val="clear"/>
            <w:tcMar>
              <w:bottom w:w="0" w:type="dxa"/>
            </w:tcMar>
            <w:vAlign w:val="center"/>
          </w:tcPr>
          <w:p>
            <w:pPr>
              <w:pStyle w:val="TableContents"/>
              <w:bidi w:val="0"/>
              <w:spacing w:before="0" w:after="283"/>
              <w:jc w:val="right"/>
              <w:rPr/>
            </w:pPr>
            <w:r>
              <w:rPr/>
              <w:t>57,200</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2784" w:type="dxa"/>
            <w:tcBorders/>
            <w:shd w:fill="FFFFFF" w:val="clear"/>
            <w:tcMar>
              <w:bottom w:w="0" w:type="dxa"/>
            </w:tcMar>
            <w:vAlign w:val="center"/>
          </w:tcPr>
          <w:p>
            <w:pPr>
              <w:pStyle w:val="TableContents"/>
              <w:bidi w:val="0"/>
              <w:spacing w:before="0" w:after="283"/>
              <w:jc w:val="left"/>
              <w:rPr>
                <w:b/>
              </w:rPr>
            </w:pPr>
            <w:r>
              <w:rPr>
                <w:b/>
              </w:rPr>
              <w:t>LORA LoRa &amp; Reliability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0" w:type="dxa"/>
            <w:tcBorders/>
            <w:shd w:fill="FFFFFF" w:val="clear"/>
            <w:tcMar>
              <w:bottom w:w="0" w:type="dxa"/>
            </w:tcMar>
            <w:vAlign w:val="center"/>
          </w:tcPr>
          <w:p>
            <w:pPr>
              <w:pStyle w:val="TableContents"/>
              <w:bidi w:val="0"/>
              <w:spacing w:before="0" w:after="283"/>
              <w:jc w:val="left"/>
              <w:rPr/>
            </w:pPr>
            <w:r>
              <w:rPr/>
              <w:t>Long range communication protocol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center"/>
              <w:rPr/>
            </w:pPr>
            <w:r>
              <w:rPr/>
              <w:t>1.4 in progress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center"/>
              <w:rPr/>
            </w:pPr>
            <w:r>
              <w:rPr/>
              <w:t>2026 Q1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bottom w:val="single" w:sz="12" w:space="0" w:color="000000"/>
            </w:tcBorders>
            <w:shd w:fill="FFFFFF" w:val="clear"/>
            <w:vAlign w:val="center"/>
          </w:tcPr>
          <w:p>
            <w:pPr>
              <w:pStyle w:val="TableContents"/>
              <w:bidi w:val="0"/>
              <w:spacing w:before="0" w:after="283"/>
              <w:jc w:val="left"/>
              <w:rPr/>
            </w:pPr>
            <w:r>
              <w:rPr/>
              <w:t>$</w:t>
            </w:r>
          </w:p>
        </w:tc>
        <w:tc>
          <w:tcPr>
            <w:tcW w:w="989" w:type="dxa"/>
            <w:tcBorders>
              <w:bottom w:val="single" w:sz="12" w:space="0" w:color="000000"/>
            </w:tcBorders>
            <w:shd w:fill="FFFFFF" w:val="clear"/>
            <w:vAlign w:val="center"/>
          </w:tcPr>
          <w:p>
            <w:pPr>
              <w:pStyle w:val="TableContents"/>
              <w:bidi w:val="0"/>
              <w:spacing w:before="0" w:after="283"/>
              <w:jc w:val="right"/>
              <w:rPr/>
            </w:pPr>
            <w:r>
              <w:rPr/>
              <w:t>154,000</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784" w:type="dxa"/>
            <w:tcBorders/>
            <w:shd w:fill="CCEEFF" w:val="clear"/>
            <w:tcMar>
              <w:bottom w:w="0" w:type="dxa"/>
            </w:tcMar>
            <w:vAlign w:val="center"/>
          </w:tcPr>
          <w:p>
            <w:pPr>
              <w:pStyle w:val="TableContents"/>
              <w:bidi w:val="0"/>
              <w:spacing w:before="0" w:after="283"/>
              <w:jc w:val="left"/>
              <w:rPr>
                <w:b/>
              </w:rPr>
            </w:pPr>
            <w:r>
              <w:rPr>
                <w:b/>
              </w:rPr>
              <w:t>Total Projected Software Development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989" w:type="dxa"/>
            <w:tcBorders>
              <w:bottom w:val="double" w:sz="10" w:space="0" w:color="000000"/>
            </w:tcBorders>
            <w:shd w:fill="CCEEFF" w:val="clear"/>
            <w:vAlign w:val="center"/>
          </w:tcPr>
          <w:p>
            <w:pPr>
              <w:pStyle w:val="TableContents"/>
              <w:bidi w:val="0"/>
              <w:spacing w:before="0" w:after="283"/>
              <w:jc w:val="right"/>
              <w:rPr>
                <w:b/>
              </w:rPr>
            </w:pPr>
            <w:r>
              <w:rPr>
                <w:b/>
              </w:rPr>
              <w:t>1,628,200</w:t>
            </w:r>
          </w:p>
        </w:tc>
        <w:tc>
          <w:tcPr>
            <w:tcW w:w="76"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shown in the table above are largely the cost of human resources associated with the project, with some additional minor costs related to use costs for infrastructure, tools and platforms that support the development. Each module has a team dedicated to the release of the next version of the module. The time of team members spent on the projects are pro-rated against salary levels and attributed to the module capitalization. Time is spent on development, test, compliance and commercialization activities to prepare modules for sale to the general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of team members spent on the projects are pro-rated against salary levels and attributed to the module capitalization. Time is spent on development, test, compliance and commercialization activities to prepare modules for sale to the general market.” Commercialization activities include installers and scripts required for future customers to activate their license and commercially use the software product. The development stage costs are a.) direct costs incurred from external consultants in developing the internal-use software and b.) direct costs incurred from payroll and payroll-related costs for employees who are directly associated with and who devote time to the internal-use computer software projects. The cost of these commercialization activities are included in the 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Real-Time Location Systems (“RTLS”)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RTLS is a real-time indoor and outdoor location tracking system that locates and monitors any person, asset or vehicle within a defined zone covered by a radio frequency (“RF”)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RTLS tags are made up of a small antenna, motion sensors, RTLS microprocessor, and a battery. Most batteries on RTLS tags can last for months (continuous movement) or many years (occasional movement) before needing to be recharged or replaced. The tags transmit a few times in a second or once every few seconds or minutes, depending on how often customers need to refresh the location data for their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can utilize UWB or BLE indoors; LORA, GPS and 4G/5G outdoors. Using combinations of these technologies CID Holdco can bridge the gap between inside and outside to give customers a comprehensive tracking solution for their yard, cross dock, airport, sea port, warehouse or distribution center — anywhere they need to track people, assets or vehicles — whether indoors or outside. CID Holdco employs tags and readers from many other vendors as part of their system when appropriate for the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unique aspect of CID Holdco is that they provide passive (battery free) transponders at BLE frequencies, in fact they are the only company offering an industrial passive BLE transponder. Using this capability, CID Holdco can deploy systems that combine inexpensive passive tags on general items with more expensive battery powered tags on items of greater interest to create a cost-effective tracking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uncommon for tracking companies to use RF and Vision systems in combination. With the advent of inexpensive AI cameras, it has become cost effective for CID Holdco to pair these vision systems with their RF tracking systems to provide comprehensive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Tracking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provides personnel tracking enabled with passive or wireless rechargeable ID badges or belt clips, allowing data-driven efficiency and safety. Both indoor and outdoor tracking capabilities are supported by CID Holdco innovative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 and vehicles can often be tracked with vision systems as well. In many instances, tracking through key POI (Points of Interest) with RF and vision is essential to provide enhanced safety or assurance for the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CID Holdco utilizes vehicle telematics systems where appropriate to track vehicles over wide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Sensors (temperature, motion, pressure etc.) are also often deployed as part of the system to track key process parameters and can be inputs into the rules engine.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customers that need to know when, where and why assets and personnel are moving, and to have assurance that orders are progressing, CID Holdco provides a variety of solutions, including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Inventory Management and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Warehouses and cross docks are a primary use case for the tracking and process control features of the CID Holdco system. Real-time Inventory, Picking, Packing and Putting are all applications supported by the system and to which CID Holdco provides disruptive, next generation capability.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operation where material, manpower and machines are working in concert is a primary area where CID Holdco offers comprehensive solutions. Tracking inventory levels in supermarkets, picking areas or assembly sites are typical applications. Solutions for transportation and fulfillment between work cells, managing RTIs and providing data for automated material systems and robotics are also offered. The CID Holdco solution extends across campus manufacturing and can tie tracking between multiple buildings, outdoor storage areas and work cells together.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Mining and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dynamic nature of these sites makes them particularly good areas for CID Holdco battery powered and long-range wireless solutions. Solutions include machine and material inventory tracking, personnel tracking, guided spotting and collision avoidance. Vision systems are often combined with tracking at these sites to manage contractors and access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Military Operations and Logistics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Supporting primarily material flow and security applications, CID Holdco provides the military with an easy to deploy, dynamic and secure means of tracking material and important workflows. Inventory applications include munitions, materials, consumable supplies and many classes of assets and equipment. Visitor and contractor check-in, base-wide tracking as well as selected personnel applications in the battlefield are also of interest. Vehicles, safety equipment and tool tracking are also important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Airport and Aviation Ground Support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solutions allow customers to create a connected network of vehicles, ground support equipment (“GSE”) and personnel with more control over the coordination of airport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customers have large, outdoor areas where asset tracking in open space is very helpful. Traditional infrastructure is often too dense and expensive to install in this use case, but the CID Holdco outdoor tracking solution meshes seamlessly with its indoor tracking solutions to provide a comprehensive solution that compliments customers’ existing systems. This helps avoid common problems, including lost or stolen assets, delays in locating GSE and inefficient use of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CID Holdco solution is designed to improve efficiency and optimize workflows by providing real-time tracking and control over all the resources at terminals and in cargo areas. With automated asset tracking solutions for aviation, customers can track employees enterprise-wide (indoors and outdoors), maximize the utilization of GSE assets, and track line maintenance teams, parts, tools and kits to maximize productivity.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Forklift Collision Warning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forklift collision avoidance solution is simple, promotes compliance and is flexible with the needs of customers. The solution involves minimal infrastructure investment and can be connected through the CAN bus port, allows customers to improve their regulatory compliance by having control over forklift movements for collision warning, and can be bundled with a forklift tracking system for a more comprehensive indoor location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Medical Logistics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RTLS healthcare system includes a comprehensive digital pattern of human and asset movement and their use and interaction, so that customers get actionable insights to improve patient experience and outcome while optimizing internal logistics.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provides a comprehensive solution that compliments customers’ existing systems. Customers can track staff and patients enterprise-wide, and maximize the utilization of medical equipment and supplies in hospitals, austere medical environments or medical and emergency vehicles. The solution improves efficiency and optimizes workflows by providing real-time tracking and control. This helps avoid common problems including lost or stolen assets, delays in locating critical medical supplies and inefficient use of resources. Not only do CID Holdco solutions allow for the tracking of medical and emergency vehicles, they also provide item-level tracking within vehicles, trailers or any kind of storage or transportation container.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Yard management RTLS systems enable improved material handling processes, security, safety, and turnaround times. By providing a bridge between what’s happening inside the facility and transportation, yard management systems (“YMS”) create valuable opportunities for businesses to improve their yard processes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YMS are a combination of software and hardware working together to oversee the movement of trucks and trailers within manufacturing, distribution, warehousing and delivery facilities. The primary goal of yard management is to make business operations more efficient. Yard management systems help improve efficiency, safety, and ease of inventory loading/unloading, transportation management, and warehouse management. YMS provides real-time location information of trailers in the yard so employees can stage trailers to docks and fulfill orders efficiently.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Artificial Intelligence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 operates as an edge execution and intelligence module, almost always integrated with an enterprise software (ERP, MES, WMS, etc.) system of record. Traditionally these enterprise software packages have relied on training personnel to execute orders and workflows, with little or no tracking of the interim steps between significant process milestones.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track and direct actions with much more detail than historical systems, due largely to our advanced IoT data collection capabilities. This additional data not only fills in gaps in the enterprise workflow records to create a more complete digital thread of the process, it provides a rich data source for enhancing enterprise execution through the use of AI. There are three primary ways that AI technology is applied in our solution:</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1002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use </w:t>
            </w:r>
            <w:r>
              <w:rPr>
                <w:rFonts w:ascii="Times New Roman;Times;Serif" w:hAnsi="Times New Roman;Times;Serif"/>
                <w:b/>
              </w:rPr>
              <w:t>AI Cameras</w:t>
            </w:r>
            <w:r>
              <w:rPr>
                <w:rFonts w:ascii="Times New Roman;Times;Serif" w:hAnsi="Times New Roman;Times;Serif"/>
              </w:rPr>
              <w:t> as one of our means of data collection. This means that one or more cameras may be installed in the enterprise to monitor designated areas of interest. We capture the data streams from these cameras and use AI algorithms to recognize various objects moving in frame. Algorithms used are currently simple object recognition, i.e. we determine the object is a box, a person, a forklift, etc. Where a trackable tag has been applied to the object (RFID, Barcode, etc.), we correlate the image seen with the trackable information recorded and use probability filters to overlay the trackable information with the observed object. This enables enhanced intelligent tracking of assets using the overlay of digital image capture and the tracking information (identification number of the asset, parameter fields, location information and date and time stamps generated during associated movements) stored in our database. We anticipate that our AI Camera module will likely be enhanced in the future to include more advanced object recognition, such as long-range symbology (barcode) reading, facial recognition for personnel and greater learning capabilities to distinguish between various packages, tools or equipment in a given enterprise.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1001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use a </w:t>
            </w:r>
            <w:r>
              <w:rPr>
                <w:rFonts w:ascii="Times New Roman;Times;Serif" w:hAnsi="Times New Roman;Times;Serif"/>
                <w:b/>
              </w:rPr>
              <w:t>Rules Engine</w:t>
            </w:r>
            <w:r>
              <w:rPr>
                <w:rFonts w:ascii="Times New Roman;Times;Serif" w:hAnsi="Times New Roman;Times;Serif"/>
              </w:rPr>
              <w:t> to allow our administrative users to set rules that should not be violated in their particular application. Examples of typical rules may include constraints such as not loading through a certain dock door after 4:00 pm, always having two bins worth of material in every pick station, restricting aisle access to one machine at a time, etc. Our Rules Engine uses real-time tracking information as input to monitor and enforce the rules set by the user. Alarms can be set to inform supervisors to intervene and I/O devices can be triggered to prevent violation of the rules. The data set for this AI action includes the digital image capture and the tracking information (identification number of the asset, parameter fields, location information and date and time stamps generated during associated movements) stored in our database.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1002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use AI to implement </w:t>
            </w:r>
            <w:r>
              <w:rPr>
                <w:rFonts w:ascii="Times New Roman;Times;Serif" w:hAnsi="Times New Roman;Times;Serif"/>
                <w:b/>
              </w:rPr>
              <w:t>Enhanced Workflows</w:t>
            </w:r>
            <w:r>
              <w:rPr>
                <w:rFonts w:ascii="Times New Roman;Times;Serif" w:hAnsi="Times New Roman;Times;Serif"/>
              </w:rPr>
              <w:t>. Our software supports common material handling workflows including Pick, Put, Pack, Inventory and Inspect. In performing these tasks, operators in the future can be assisted by intelligent algorithms that work in the background to provide context, meaning and analysis of the data supporting the action they are being asked to do. For example, a picker can have his jobs prioritized in real-time to meet timelines the AI system calculates are required for upstream operators, an inspector can have suspected batches flagged based on a combination of parameters observed by the system or a forklift operator can be directed to put material in a bay that is optimized for quickest access for a future action. This enhanced function can be displayed as suggestions for the operator to consider or enabled to act directly on the order being executed to direct the operator. The AI engine has a learning element that allows it to assist more effectively over time as it learns the workflows of the particular enterprise.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sets used to enhance workflows include the same digital image capture and tracking information (identification number of the asset, parameter fields, location information and date and time stamps generated during associated movements) stored in our database as our other AI implementations. However this feature also depends on a meta-data object we call a Recipe. The Recipe encodes the concept that any action in tracking, transforming or transporting an asset requires specified conditions, time and resources to be accomplished. In the future, the AI algorithms will attempt to optimize all aspects of the recipe to most effectively achieve the outcome required by the enterprise management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developing and implementing our AI algorithms, we use the following third-party toolkits: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AWS Services:</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AWS KVS: Used for video streaming, not inherently AI, but can be integrated with AI for video analysis in the future.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Libraries:</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YOLOv8 &amp; YOLOv10: These are object detection models specifically used for AI purposes, particularly computer vision.</w:t>
            </w:r>
          </w:p>
        </w:tc>
      </w:tr>
    </w:tbl>
    <w:p>
      <w:pPr>
        <w:pStyle w:val="TextBody"/>
        <w:bidi w:val="0"/>
        <w:spacing w:before="0" w:after="0"/>
        <w:ind w:left="960" w:right="0" w:hanging="480"/>
        <w:jc w:val="left"/>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260"/>
        <w:gridCol w:w="945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open-cv: An open-source library used for computer vision tasks, commonly used in AI applications.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deepsort: Used for tracking objects, often paired with AI models like YOLO for real-time AI-based tracking.</w:t>
            </w:r>
          </w:p>
        </w:tc>
      </w:tr>
    </w:tbl>
    <w:p>
      <w:pPr>
        <w:pStyle w:val="TextBody"/>
        <w:bidi w:val="0"/>
        <w:spacing w:before="0" w:after="0"/>
        <w:ind w:left="960" w:right="0" w:hanging="480"/>
        <w:jc w:val="left"/>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260"/>
        <w:gridCol w:w="869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pytorch: A deep learning library, essential for AI and machine learning model development.</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numpy: A fundamental library for numerical computations, frequently used in AI tasks for handling data arrays.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AI Tools &amp; Data:</w:t>
      </w:r>
    </w:p>
    <w:p>
      <w:pPr>
        <w:pStyle w:val="TextBody"/>
        <w:bidi w:val="0"/>
        <w:spacing w:before="0" w:after="0"/>
        <w:ind w:left="960" w:right="0" w:hanging="480"/>
        <w:jc w:val="left"/>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260"/>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Stable Diffusion: An AI model for generating images.</w:t>
            </w:r>
          </w:p>
        </w:tc>
      </w:tr>
    </w:tbl>
    <w:p>
      <w:pPr>
        <w:pStyle w:val="TextBody"/>
        <w:bidi w:val="0"/>
        <w:spacing w:before="0" w:after="0"/>
        <w:ind w:left="960" w:right="0" w:hanging="48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260"/>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Midjourney: An AI tool for generating images from text prompts.</w:t>
            </w:r>
          </w:p>
        </w:tc>
      </w:tr>
    </w:tbl>
    <w:p>
      <w:pPr>
        <w:pStyle w:val="TextBody"/>
        <w:bidi w:val="0"/>
        <w:spacing w:before="0" w:after="0"/>
        <w:ind w:left="960" w:right="0" w:hanging="480"/>
        <w:jc w:val="left"/>
        <w:rPr>
          <w:caps w:val="false"/>
          <w:smallCaps w:val="false"/>
        </w:rPr>
      </w:pPr>
      <w:r>
        <w:rPr>
          <w:caps w:val="false"/>
          <w:smallCaps w:val="false"/>
        </w:rPr>
        <w:t> </w:t>
      </w:r>
    </w:p>
    <w:tbl>
      <w:tblPr>
        <w:tblW w:w="6963" w:type="dxa"/>
        <w:jc w:val="left"/>
        <w:tblInd w:w="0" w:type="dxa"/>
        <w:tblLayout w:type="fixed"/>
        <w:tblCellMar>
          <w:top w:w="0" w:type="dxa"/>
          <w:left w:w="0" w:type="dxa"/>
          <w:bottom w:w="0" w:type="dxa"/>
          <w:right w:w="0" w:type="dxa"/>
        </w:tblCellMar>
      </w:tblPr>
      <w:tblGrid>
        <w:gridCol w:w="38"/>
        <w:gridCol w:w="26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Adobe Firefly: AI-powered creative tools for image and video editing.</w:t>
            </w:r>
          </w:p>
        </w:tc>
      </w:tr>
    </w:tbl>
    <w:p>
      <w:pPr>
        <w:pStyle w:val="TextBody"/>
        <w:bidi w:val="0"/>
        <w:spacing w:before="0" w:after="0"/>
        <w:ind w:left="960" w:right="0" w:hanging="480"/>
        <w:jc w:val="left"/>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38"/>
        <w:gridCol w:w="26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Roboflow: A platform that assists in building computer vision models, supporting AI workflows.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Tools:</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labelImg: Used for labeling images, an important step in AI model training, especially for computer vision.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anticipates having 44 full-time equivalent employees in 2025. These resources are organized into five major departments, each headed by an executive as shown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381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0" cy="38100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based in the United States with four existing or planned locations of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 — hosts our Go-To-Market team including our Sales, Marketing and Professional Services leadership, a Western Experience Center for demonstrations as well as customer and channel training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Bethesda, Maryland — hosts our General &amp; Administration leadership team, an Eastern Experience Center for demonstrations as well as customer and channel training facilities.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Worcester, Massachusetts — hosts our R&amp;D group, including a lab space with testing equipment and meeting facilities to host customer integration meetings. Note that while our US-based developers are clustered around this location, a significant portion of our R&amp;D developers are located in Bangalore, India and access the lab equipment remotely to conduct tests and validation.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Manati, Puerto Rico — the site of our hardware manufacturing, a small factory producing selected tags and bridges that are specific to the unique tracking system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personnel and material flow management industry is highly fragmented, with most vendors offering software and/or hardware solutions addressing specific industry verticals or specific solution sets. Our competition can be described from several perspectives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Leaders in Tracking and AutoID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Zebra</w:t>
      </w:r>
      <w:r>
        <w:rPr>
          <w:rFonts w:ascii="Times New Roman;Times;Serif" w:hAnsi="Times New Roman;Times;Serif"/>
          <w:b w:val="false"/>
          <w:i w:val="false"/>
          <w:caps w:val="false"/>
          <w:smallCaps w:val="false"/>
          <w:sz w:val="20"/>
        </w:rPr>
        <w:t> — Zebra Technologies Corporation is a mobile computing company based in San Francisco, California, specializing in technology used to sense, analyze, and act in real time. The company manufactures and sells marking, tracking, and computer printing technologies. Its products include mobile computers and tablets, software, thermal barcode label and receipt printers, RFID smart label printers/encoders/fixed &amp; handheld readers/antennas, autonomous mobile robots (AMR’s) &amp; machine vision (MV), and fixed industrial scanning hardware &amp; software. As the largest incumbent in the US market, with a legacy in printer manufacturing and barcode systems, its business model is focused on growing and developing new technology via acquisition, including a $3.5B deal to buy Motorola Solutions business in 2014.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Samsara</w:t>
      </w:r>
      <w:r>
        <w:rPr>
          <w:rFonts w:ascii="Times New Roman;Times;Serif" w:hAnsi="Times New Roman;Times;Serif"/>
          <w:b w:val="false"/>
          <w:i w:val="false"/>
          <w:caps w:val="false"/>
          <w:smallCaps w:val="false"/>
          <w:sz w:val="20"/>
        </w:rPr>
        <w:t> — Samsara Inc. is an IoT company headquartered in San Francisco, California, that provides software and insights for physical operations. The company reports over 20,000 customers across North America and Europe. Samsara developed a connected operations cloud platform that provides insights to physical operations organizations in the transportation, construction, energy, utilities, public sector and retail industries, and supports the safety and efficiency of those operations. The company’s initial public offering raised $805 million in December 2021. They use a SAAS model with most of their revenue in ARR software subscriptions.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HID Global — Originally a German multinational, they were purchased by a Swedish company and relocated their corporate headquarters to Texas. The company is known for its Access Control and Security products and services and have expanded to all aspects of RFID and barcoding, including real-time tracking and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Niche or Regional Tracking System Players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is crowded with small players as is typical in periods of generational transition. Many are attempting to apply IoT technology in a specific way or focused on a particular vertical application.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74"/>
        <w:gridCol w:w="60"/>
        <w:gridCol w:w="1395"/>
        <w:gridCol w:w="60"/>
        <w:gridCol w:w="7616"/>
      </w:tblGrid>
      <w:tr>
        <w:trPr/>
        <w:tc>
          <w:tcPr>
            <w:tcW w:w="1074"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13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Location</w:t>
            </w:r>
          </w:p>
        </w:tc>
        <w:tc>
          <w:tcPr>
            <w:tcW w:w="60" w:type="dxa"/>
            <w:tcBorders/>
            <w:tcMar>
              <w:bottom w:w="0" w:type="dxa"/>
            </w:tcMar>
            <w:vAlign w:val="center"/>
          </w:tcPr>
          <w:p>
            <w:pPr>
              <w:pStyle w:val="TableContents"/>
              <w:bidi w:val="0"/>
              <w:spacing w:before="0" w:after="283"/>
              <w:jc w:val="left"/>
              <w:rPr/>
            </w:pPr>
            <w:r>
              <w:rPr/>
              <w:t> </w:t>
            </w:r>
          </w:p>
        </w:tc>
        <w:tc>
          <w:tcPr>
            <w:tcW w:w="761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r>
      <w:tr>
        <w:trPr/>
        <w:tc>
          <w:tcPr>
            <w:tcW w:w="10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Link Labs</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Annapolis, MD</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BLE with a patented overlay protocol XLE (extreme low energy). Phase-ranging with 3 – 7 years battery life and accuracy in asset location to within a meter. Use pRFID too.</w:t>
            </w:r>
          </w:p>
        </w:tc>
      </w:tr>
      <w:tr>
        <w:trPr/>
        <w:tc>
          <w:tcPr>
            <w:tcW w:w="10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left"/>
              <w:rPr/>
            </w:pPr>
            <w:r>
              <w:rPr/>
              <w:t> </w:t>
            </w:r>
          </w:p>
        </w:tc>
      </w:tr>
      <w:tr>
        <w:trPr/>
        <w:tc>
          <w:tcPr>
            <w:tcW w:w="10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Cognosos</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Atlanta, GA</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BLE with Location AI technology, LoRA distance backhaul using Semtech LPWA, 1-3m accuracy. Use pRFID too.</w:t>
            </w:r>
          </w:p>
        </w:tc>
      </w:tr>
      <w:tr>
        <w:trPr/>
        <w:tc>
          <w:tcPr>
            <w:tcW w:w="10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left"/>
              <w:rPr/>
            </w:pPr>
            <w:r>
              <w:rPr/>
              <w:t> </w:t>
            </w:r>
          </w:p>
        </w:tc>
      </w:tr>
      <w:tr>
        <w:trPr/>
        <w:tc>
          <w:tcPr>
            <w:tcW w:w="10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True Spot</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Irving, TX</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BLE system, focused on Health Care market</w:t>
            </w:r>
          </w:p>
        </w:tc>
      </w:tr>
      <w:tr>
        <w:trPr/>
        <w:tc>
          <w:tcPr>
            <w:tcW w:w="10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left"/>
              <w:rPr/>
            </w:pPr>
            <w:r>
              <w:rPr/>
              <w:t> </w:t>
            </w:r>
          </w:p>
        </w:tc>
      </w:tr>
      <w:tr>
        <w:trPr/>
        <w:tc>
          <w:tcPr>
            <w:tcW w:w="10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Blueiot</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China</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They claim to have done a BLE implementation with accuracy to 10cm.</w:t>
            </w:r>
          </w:p>
        </w:tc>
      </w:tr>
      <w:tr>
        <w:trPr/>
        <w:tc>
          <w:tcPr>
            <w:tcW w:w="10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left"/>
              <w:rPr/>
            </w:pPr>
            <w:r>
              <w:rPr/>
              <w:t> </w:t>
            </w:r>
          </w:p>
        </w:tc>
      </w:tr>
      <w:tr>
        <w:trPr/>
        <w:tc>
          <w:tcPr>
            <w:tcW w:w="10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Dusun</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Hangzhou, China</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Lorawan and BLE, some zigbee, broad hardware offer.</w:t>
            </w:r>
          </w:p>
        </w:tc>
      </w:tr>
      <w:tr>
        <w:trPr/>
        <w:tc>
          <w:tcPr>
            <w:tcW w:w="10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left"/>
              <w:rPr/>
            </w:pPr>
            <w:r>
              <w:rPr/>
              <w:t> </w:t>
            </w:r>
          </w:p>
        </w:tc>
      </w:tr>
      <w:tr>
        <w:trPr/>
        <w:tc>
          <w:tcPr>
            <w:tcW w:w="10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Mokosmart</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Shenzen, China</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Big hardware maker, #1 in our space for private labelling</w:t>
            </w:r>
          </w:p>
        </w:tc>
      </w:tr>
      <w:tr>
        <w:trPr/>
        <w:tc>
          <w:tcPr>
            <w:tcW w:w="10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left"/>
              <w:rPr/>
            </w:pPr>
            <w:r>
              <w:rPr/>
              <w:t> </w:t>
            </w:r>
          </w:p>
        </w:tc>
      </w:tr>
      <w:tr>
        <w:trPr/>
        <w:tc>
          <w:tcPr>
            <w:tcW w:w="10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Milesight</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Xiamen, Fujian, China</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 Lora, BLE and video feeds in their system</w:t>
            </w:r>
          </w:p>
        </w:tc>
      </w:tr>
      <w:tr>
        <w:trPr/>
        <w:tc>
          <w:tcPr>
            <w:tcW w:w="10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both"/>
              <w:rPr/>
            </w:pPr>
            <w:r>
              <w:rPr/>
              <w:t> </w:t>
            </w:r>
          </w:p>
        </w:tc>
      </w:tr>
      <w:tr>
        <w:trPr/>
        <w:tc>
          <w:tcPr>
            <w:tcW w:w="10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Digital Matter</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Perth, AUS</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Telematics and tracking systems, LoRA and BLE</w:t>
            </w:r>
          </w:p>
        </w:tc>
      </w:tr>
      <w:tr>
        <w:trPr/>
        <w:tc>
          <w:tcPr>
            <w:tcW w:w="10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left"/>
              <w:rPr/>
            </w:pPr>
            <w:r>
              <w:rPr/>
              <w:t> </w:t>
            </w:r>
          </w:p>
        </w:tc>
      </w:tr>
      <w:tr>
        <w:trPr/>
        <w:tc>
          <w:tcPr>
            <w:tcW w:w="10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Abeeway</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Biot, France</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Lorawan and BLE, indoor and outdoor capability</w:t>
            </w:r>
          </w:p>
        </w:tc>
      </w:tr>
      <w:tr>
        <w:trPr/>
        <w:tc>
          <w:tcPr>
            <w:tcW w:w="10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left"/>
              <w:rPr/>
            </w:pPr>
            <w:r>
              <w:rPr/>
              <w:t> </w:t>
            </w:r>
          </w:p>
        </w:tc>
      </w:tr>
      <w:tr>
        <w:trPr/>
        <w:tc>
          <w:tcPr>
            <w:tcW w:w="10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Kontakt.io</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Krakow, Poland</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Initially a hardware vendor, have grown into full solution with hardware as a key element</w:t>
            </w:r>
          </w:p>
        </w:tc>
      </w:tr>
      <w:tr>
        <w:trPr/>
        <w:tc>
          <w:tcPr>
            <w:tcW w:w="10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left"/>
              <w:rPr/>
            </w:pPr>
            <w:r>
              <w:rPr/>
              <w:t> </w:t>
            </w:r>
          </w:p>
        </w:tc>
      </w:tr>
      <w:tr>
        <w:trPr/>
        <w:tc>
          <w:tcPr>
            <w:tcW w:w="10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Ubisense</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Cambridge, UK</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UWB high precision tracking is the focus, also have a line of BLE tracking solutions.</w:t>
            </w:r>
          </w:p>
        </w:tc>
      </w:tr>
      <w:tr>
        <w:trPr/>
        <w:tc>
          <w:tcPr>
            <w:tcW w:w="10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left"/>
              <w:rPr/>
            </w:pPr>
            <w:r>
              <w:rPr/>
              <w:t> </w:t>
            </w:r>
          </w:p>
        </w:tc>
      </w:tr>
      <w:tr>
        <w:trPr/>
        <w:tc>
          <w:tcPr>
            <w:tcW w:w="10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Radiant RFID</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Austin, Texas</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UHF RFID systems, attempting to migrate to next generation technology</w:t>
            </w:r>
          </w:p>
        </w:tc>
      </w:tr>
      <w:tr>
        <w:trPr/>
        <w:tc>
          <w:tcPr>
            <w:tcW w:w="10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left"/>
              <w:rPr/>
            </w:pPr>
            <w:r>
              <w:rPr/>
              <w:t> </w:t>
            </w:r>
          </w:p>
        </w:tc>
      </w:tr>
      <w:tr>
        <w:trPr/>
        <w:tc>
          <w:tcPr>
            <w:tcW w:w="10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Sensolus</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Ghent, Belgium</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Tracking and workflow systems</w:t>
            </w:r>
          </w:p>
        </w:tc>
      </w:tr>
      <w:tr>
        <w:trPr/>
        <w:tc>
          <w:tcPr>
            <w:tcW w:w="10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left"/>
              <w:rPr/>
            </w:pPr>
            <w:r>
              <w:rPr/>
              <w:t> </w:t>
            </w:r>
          </w:p>
        </w:tc>
      </w:tr>
      <w:tr>
        <w:trPr/>
        <w:tc>
          <w:tcPr>
            <w:tcW w:w="10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Litum</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Izmir, Turkey</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UWB high precision tracking is the focus, also have a line of BLE tracking solutions.</w:t>
            </w:r>
          </w:p>
        </w:tc>
      </w:tr>
      <w:tr>
        <w:trPr/>
        <w:tc>
          <w:tcPr>
            <w:tcW w:w="10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left"/>
              <w:rPr/>
            </w:pPr>
            <w:r>
              <w:rPr/>
              <w:t> </w:t>
            </w:r>
          </w:p>
        </w:tc>
      </w:tr>
      <w:tr>
        <w:trPr/>
        <w:tc>
          <w:tcPr>
            <w:tcW w:w="10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Savi</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Alexandria, VA</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Military supplier, long range tracking tags for containers and pallets. ISO 18000-7</w:t>
            </w:r>
          </w:p>
        </w:tc>
      </w:tr>
      <w:tr>
        <w:trPr/>
        <w:tc>
          <w:tcPr>
            <w:tcW w:w="10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left"/>
              <w:rPr/>
            </w:pPr>
            <w:r>
              <w:rPr/>
              <w:t> </w:t>
            </w:r>
          </w:p>
        </w:tc>
      </w:tr>
      <w:tr>
        <w:trPr/>
        <w:tc>
          <w:tcPr>
            <w:tcW w:w="10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Inpixion</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Palo Alto, CA</w:t>
            </w:r>
          </w:p>
        </w:tc>
        <w:tc>
          <w:tcPr>
            <w:tcW w:w="60" w:type="dxa"/>
            <w:tcBorders/>
            <w:tcMar>
              <w:bottom w:w="0" w:type="dxa"/>
            </w:tcMar>
            <w:vAlign w:val="center"/>
          </w:tcPr>
          <w:p>
            <w:pPr>
              <w:pStyle w:val="TableContents"/>
              <w:bidi w:val="0"/>
              <w:spacing w:before="0" w:after="283"/>
              <w:jc w:val="left"/>
              <w:rPr/>
            </w:pPr>
            <w:r>
              <w:rPr/>
              <w:t> </w:t>
            </w:r>
          </w:p>
        </w:tc>
        <w:tc>
          <w:tcPr>
            <w:tcW w:w="761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 of BLE and UWB as needed. Open architecture. Inpixon is a business unit of XTI Aerospace, Inc.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Combined, these smaller players represent approximately $350M in annual sales. Most are using a transactional model, selling software and hardware bundled into a solution with a one-time fee, often with a maintenance fee for each year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industry specific players, particularly in Health Care, where the requirements can be quite specific and the use cases focused.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is from all over the word, with many of the most important competitors centered in the US market, although China is a big part of this list even if they are not explicitly identified. Many of the devices designed by these players are made in China via contractors.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also a wide technology spread. Some specialize in precise location services using UWB. Some are strictly BLE or LoRA shops.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this list does not include all of the passive RFID and barcode system companies also active in the market. Their legacy footprint represents one of the best market opportunities to convert.</w:t>
      </w:r>
    </w:p>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65"/>
        <w:gridCol w:w="60"/>
        <w:gridCol w:w="1374"/>
        <w:gridCol w:w="60"/>
        <w:gridCol w:w="7746"/>
      </w:tblGrid>
      <w:tr>
        <w:trPr/>
        <w:tc>
          <w:tcPr>
            <w:tcW w:w="96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137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Location</w:t>
            </w:r>
          </w:p>
        </w:tc>
        <w:tc>
          <w:tcPr>
            <w:tcW w:w="60" w:type="dxa"/>
            <w:tcBorders/>
            <w:tcMar>
              <w:bottom w:w="0" w:type="dxa"/>
            </w:tcMar>
            <w:vAlign w:val="center"/>
          </w:tcPr>
          <w:p>
            <w:pPr>
              <w:pStyle w:val="TableContents"/>
              <w:bidi w:val="0"/>
              <w:spacing w:before="0" w:after="283"/>
              <w:jc w:val="left"/>
              <w:rPr/>
            </w:pPr>
            <w:r>
              <w:rPr/>
              <w:t> </w:t>
            </w:r>
          </w:p>
        </w:tc>
        <w:tc>
          <w:tcPr>
            <w:tcW w:w="774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r>
      <w:tr>
        <w:trPr/>
        <w:tc>
          <w:tcPr>
            <w:tcW w:w="9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Link Labs</w:t>
            </w:r>
          </w:p>
        </w:tc>
        <w:tc>
          <w:tcPr>
            <w:tcW w:w="60" w:type="dxa"/>
            <w:tcBorders/>
            <w:tcMar>
              <w:bottom w:w="0" w:type="dxa"/>
            </w:tcMar>
            <w:vAlign w:val="center"/>
          </w:tcPr>
          <w:p>
            <w:pPr>
              <w:pStyle w:val="TableContents"/>
              <w:bidi w:val="0"/>
              <w:spacing w:before="0" w:after="283"/>
              <w:jc w:val="left"/>
              <w:rPr/>
            </w:pPr>
            <w:r>
              <w:rPr/>
              <w:t> </w:t>
            </w:r>
          </w:p>
        </w:tc>
        <w:tc>
          <w:tcPr>
            <w:tcW w:w="13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Annapolis, MD</w:t>
            </w:r>
          </w:p>
        </w:tc>
        <w:tc>
          <w:tcPr>
            <w:tcW w:w="60" w:type="dxa"/>
            <w:tcBorders/>
            <w:tcMar>
              <w:bottom w:w="0" w:type="dxa"/>
            </w:tcMar>
            <w:vAlign w:val="center"/>
          </w:tcPr>
          <w:p>
            <w:pPr>
              <w:pStyle w:val="TableContents"/>
              <w:bidi w:val="0"/>
              <w:spacing w:before="0" w:after="283"/>
              <w:jc w:val="left"/>
              <w:rPr/>
            </w:pPr>
            <w:r>
              <w:rPr/>
              <w:t> </w:t>
            </w:r>
          </w:p>
        </w:tc>
        <w:tc>
          <w:tcPr>
            <w:tcW w:w="774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BLE with a patented overlay protocol XLE (extreme low energy). Phase-ranging with 3 – 7 years battery life and accuracy in asset location to within a meter. Use pRFID too.</w:t>
            </w:r>
          </w:p>
        </w:tc>
      </w:tr>
      <w:tr>
        <w:trPr/>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46" w:type="dxa"/>
            <w:tcBorders/>
            <w:tcMar>
              <w:bottom w:w="0" w:type="dxa"/>
            </w:tcMar>
            <w:vAlign w:val="center"/>
          </w:tcPr>
          <w:p>
            <w:pPr>
              <w:pStyle w:val="TableContents"/>
              <w:bidi w:val="0"/>
              <w:spacing w:before="0" w:after="283"/>
              <w:jc w:val="left"/>
              <w:rPr/>
            </w:pPr>
            <w:r>
              <w:rPr/>
              <w:t> </w:t>
            </w:r>
          </w:p>
        </w:tc>
      </w:tr>
      <w:tr>
        <w:trPr/>
        <w:tc>
          <w:tcPr>
            <w:tcW w:w="9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Cognosos</w:t>
            </w:r>
          </w:p>
        </w:tc>
        <w:tc>
          <w:tcPr>
            <w:tcW w:w="60" w:type="dxa"/>
            <w:tcBorders/>
            <w:tcMar>
              <w:bottom w:w="0" w:type="dxa"/>
            </w:tcMar>
            <w:vAlign w:val="center"/>
          </w:tcPr>
          <w:p>
            <w:pPr>
              <w:pStyle w:val="TableContents"/>
              <w:bidi w:val="0"/>
              <w:spacing w:before="0" w:after="283"/>
              <w:jc w:val="left"/>
              <w:rPr/>
            </w:pPr>
            <w:r>
              <w:rPr/>
              <w:t> </w:t>
            </w:r>
          </w:p>
        </w:tc>
        <w:tc>
          <w:tcPr>
            <w:tcW w:w="13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Atlanta, GA</w:t>
            </w:r>
          </w:p>
        </w:tc>
        <w:tc>
          <w:tcPr>
            <w:tcW w:w="60" w:type="dxa"/>
            <w:tcBorders/>
            <w:tcMar>
              <w:bottom w:w="0" w:type="dxa"/>
            </w:tcMar>
            <w:vAlign w:val="center"/>
          </w:tcPr>
          <w:p>
            <w:pPr>
              <w:pStyle w:val="TableContents"/>
              <w:bidi w:val="0"/>
              <w:spacing w:before="0" w:after="283"/>
              <w:jc w:val="left"/>
              <w:rPr/>
            </w:pPr>
            <w:r>
              <w:rPr/>
              <w:t> </w:t>
            </w:r>
          </w:p>
        </w:tc>
        <w:tc>
          <w:tcPr>
            <w:tcW w:w="774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BLE with LocationAI technology, LoRA distance backhaul using Semtech LPWA, 1-3m accuracy. Use pRFID too.</w:t>
            </w:r>
          </w:p>
        </w:tc>
      </w:tr>
      <w:tr>
        <w:trPr/>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46" w:type="dxa"/>
            <w:tcBorders/>
            <w:tcMar>
              <w:bottom w:w="0" w:type="dxa"/>
            </w:tcMar>
            <w:vAlign w:val="center"/>
          </w:tcPr>
          <w:p>
            <w:pPr>
              <w:pStyle w:val="TableContents"/>
              <w:bidi w:val="0"/>
              <w:spacing w:before="0" w:after="283"/>
              <w:jc w:val="left"/>
              <w:rPr/>
            </w:pPr>
            <w:r>
              <w:rPr/>
              <w:t> </w:t>
            </w:r>
          </w:p>
        </w:tc>
      </w:tr>
      <w:tr>
        <w:trPr/>
        <w:tc>
          <w:tcPr>
            <w:tcW w:w="9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True Spot</w:t>
            </w:r>
          </w:p>
        </w:tc>
        <w:tc>
          <w:tcPr>
            <w:tcW w:w="60" w:type="dxa"/>
            <w:tcBorders/>
            <w:tcMar>
              <w:bottom w:w="0" w:type="dxa"/>
            </w:tcMar>
            <w:vAlign w:val="center"/>
          </w:tcPr>
          <w:p>
            <w:pPr>
              <w:pStyle w:val="TableContents"/>
              <w:bidi w:val="0"/>
              <w:spacing w:before="0" w:after="283"/>
              <w:jc w:val="left"/>
              <w:rPr/>
            </w:pPr>
            <w:r>
              <w:rPr/>
              <w:t> </w:t>
            </w:r>
          </w:p>
        </w:tc>
        <w:tc>
          <w:tcPr>
            <w:tcW w:w="13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Irving, TX</w:t>
            </w:r>
          </w:p>
        </w:tc>
        <w:tc>
          <w:tcPr>
            <w:tcW w:w="60" w:type="dxa"/>
            <w:tcBorders/>
            <w:tcMar>
              <w:bottom w:w="0" w:type="dxa"/>
            </w:tcMar>
            <w:vAlign w:val="center"/>
          </w:tcPr>
          <w:p>
            <w:pPr>
              <w:pStyle w:val="TableContents"/>
              <w:bidi w:val="0"/>
              <w:spacing w:before="0" w:after="283"/>
              <w:jc w:val="left"/>
              <w:rPr/>
            </w:pPr>
            <w:r>
              <w:rPr/>
              <w:t> </w:t>
            </w:r>
          </w:p>
        </w:tc>
        <w:tc>
          <w:tcPr>
            <w:tcW w:w="774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BLE system, focused on Health Care market</w:t>
            </w:r>
          </w:p>
        </w:tc>
      </w:tr>
      <w:tr>
        <w:trPr/>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46" w:type="dxa"/>
            <w:tcBorders/>
            <w:tcMar>
              <w:bottom w:w="0" w:type="dxa"/>
            </w:tcMar>
            <w:vAlign w:val="center"/>
          </w:tcPr>
          <w:p>
            <w:pPr>
              <w:pStyle w:val="TableContents"/>
              <w:bidi w:val="0"/>
              <w:spacing w:before="0" w:after="283"/>
              <w:jc w:val="left"/>
              <w:rPr/>
            </w:pPr>
            <w:r>
              <w:rPr/>
              <w:t> </w:t>
            </w:r>
          </w:p>
        </w:tc>
      </w:tr>
      <w:tr>
        <w:trPr/>
        <w:tc>
          <w:tcPr>
            <w:tcW w:w="9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Blueiot</w:t>
            </w:r>
          </w:p>
        </w:tc>
        <w:tc>
          <w:tcPr>
            <w:tcW w:w="60" w:type="dxa"/>
            <w:tcBorders/>
            <w:tcMar>
              <w:bottom w:w="0" w:type="dxa"/>
            </w:tcMar>
            <w:vAlign w:val="center"/>
          </w:tcPr>
          <w:p>
            <w:pPr>
              <w:pStyle w:val="TableContents"/>
              <w:bidi w:val="0"/>
              <w:spacing w:before="0" w:after="283"/>
              <w:jc w:val="left"/>
              <w:rPr/>
            </w:pPr>
            <w:r>
              <w:rPr/>
              <w:t> </w:t>
            </w:r>
          </w:p>
        </w:tc>
        <w:tc>
          <w:tcPr>
            <w:tcW w:w="13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China</w:t>
            </w:r>
          </w:p>
        </w:tc>
        <w:tc>
          <w:tcPr>
            <w:tcW w:w="60" w:type="dxa"/>
            <w:tcBorders/>
            <w:tcMar>
              <w:bottom w:w="0" w:type="dxa"/>
            </w:tcMar>
            <w:vAlign w:val="center"/>
          </w:tcPr>
          <w:p>
            <w:pPr>
              <w:pStyle w:val="TableContents"/>
              <w:bidi w:val="0"/>
              <w:spacing w:before="0" w:after="283"/>
              <w:jc w:val="left"/>
              <w:rPr/>
            </w:pPr>
            <w:r>
              <w:rPr/>
              <w:t> </w:t>
            </w:r>
          </w:p>
        </w:tc>
        <w:tc>
          <w:tcPr>
            <w:tcW w:w="774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They claim to have done a BLE implementation with accuracy to 10cm.</w:t>
            </w:r>
          </w:p>
        </w:tc>
      </w:tr>
      <w:tr>
        <w:trPr/>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46" w:type="dxa"/>
            <w:tcBorders/>
            <w:tcMar>
              <w:bottom w:w="0" w:type="dxa"/>
            </w:tcMar>
            <w:vAlign w:val="center"/>
          </w:tcPr>
          <w:p>
            <w:pPr>
              <w:pStyle w:val="TableContents"/>
              <w:bidi w:val="0"/>
              <w:spacing w:before="0" w:after="283"/>
              <w:jc w:val="left"/>
              <w:rPr/>
            </w:pPr>
            <w:r>
              <w:rPr/>
              <w:t> </w:t>
            </w:r>
          </w:p>
        </w:tc>
      </w:tr>
      <w:tr>
        <w:trPr/>
        <w:tc>
          <w:tcPr>
            <w:tcW w:w="9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Dusun</w:t>
            </w:r>
          </w:p>
        </w:tc>
        <w:tc>
          <w:tcPr>
            <w:tcW w:w="60" w:type="dxa"/>
            <w:tcBorders/>
            <w:tcMar>
              <w:bottom w:w="0" w:type="dxa"/>
            </w:tcMar>
            <w:vAlign w:val="center"/>
          </w:tcPr>
          <w:p>
            <w:pPr>
              <w:pStyle w:val="TableContents"/>
              <w:bidi w:val="0"/>
              <w:spacing w:before="0" w:after="283"/>
              <w:jc w:val="left"/>
              <w:rPr/>
            </w:pPr>
            <w:r>
              <w:rPr/>
              <w:t> </w:t>
            </w:r>
          </w:p>
        </w:tc>
        <w:tc>
          <w:tcPr>
            <w:tcW w:w="13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Hangzhou, China</w:t>
            </w:r>
          </w:p>
        </w:tc>
        <w:tc>
          <w:tcPr>
            <w:tcW w:w="60" w:type="dxa"/>
            <w:tcBorders/>
            <w:tcMar>
              <w:bottom w:w="0" w:type="dxa"/>
            </w:tcMar>
            <w:vAlign w:val="center"/>
          </w:tcPr>
          <w:p>
            <w:pPr>
              <w:pStyle w:val="TableContents"/>
              <w:bidi w:val="0"/>
              <w:spacing w:before="0" w:after="283"/>
              <w:jc w:val="left"/>
              <w:rPr/>
            </w:pPr>
            <w:r>
              <w:rPr/>
              <w:t> </w:t>
            </w:r>
          </w:p>
        </w:tc>
        <w:tc>
          <w:tcPr>
            <w:tcW w:w="774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Lorawan and BLE, some zigbee, broad hardware offer.</w:t>
            </w:r>
          </w:p>
        </w:tc>
      </w:tr>
      <w:tr>
        <w:trPr/>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46" w:type="dxa"/>
            <w:tcBorders/>
            <w:tcMar>
              <w:bottom w:w="0" w:type="dxa"/>
            </w:tcMar>
            <w:vAlign w:val="center"/>
          </w:tcPr>
          <w:p>
            <w:pPr>
              <w:pStyle w:val="TableContents"/>
              <w:bidi w:val="0"/>
              <w:spacing w:before="0" w:after="283"/>
              <w:jc w:val="left"/>
              <w:rPr/>
            </w:pPr>
            <w:r>
              <w:rPr/>
              <w:t> </w:t>
            </w:r>
          </w:p>
        </w:tc>
      </w:tr>
      <w:tr>
        <w:trPr/>
        <w:tc>
          <w:tcPr>
            <w:tcW w:w="9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Mokosmart</w:t>
            </w:r>
          </w:p>
        </w:tc>
        <w:tc>
          <w:tcPr>
            <w:tcW w:w="60" w:type="dxa"/>
            <w:tcBorders/>
            <w:tcMar>
              <w:bottom w:w="0" w:type="dxa"/>
            </w:tcMar>
            <w:vAlign w:val="center"/>
          </w:tcPr>
          <w:p>
            <w:pPr>
              <w:pStyle w:val="TableContents"/>
              <w:bidi w:val="0"/>
              <w:spacing w:before="0" w:after="283"/>
              <w:jc w:val="left"/>
              <w:rPr/>
            </w:pPr>
            <w:r>
              <w:rPr/>
              <w:t> </w:t>
            </w:r>
          </w:p>
        </w:tc>
        <w:tc>
          <w:tcPr>
            <w:tcW w:w="13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Shenzen, China</w:t>
            </w:r>
          </w:p>
        </w:tc>
        <w:tc>
          <w:tcPr>
            <w:tcW w:w="60" w:type="dxa"/>
            <w:tcBorders/>
            <w:tcMar>
              <w:bottom w:w="0" w:type="dxa"/>
            </w:tcMar>
            <w:vAlign w:val="center"/>
          </w:tcPr>
          <w:p>
            <w:pPr>
              <w:pStyle w:val="TableContents"/>
              <w:bidi w:val="0"/>
              <w:spacing w:before="0" w:after="283"/>
              <w:jc w:val="left"/>
              <w:rPr/>
            </w:pPr>
            <w:r>
              <w:rPr/>
              <w:t> </w:t>
            </w:r>
          </w:p>
        </w:tc>
        <w:tc>
          <w:tcPr>
            <w:tcW w:w="774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Big hardware maker, #1 in our space for private labelling</w:t>
            </w:r>
          </w:p>
        </w:tc>
      </w:tr>
      <w:tr>
        <w:trPr/>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46" w:type="dxa"/>
            <w:tcBorders/>
            <w:tcMar>
              <w:bottom w:w="0" w:type="dxa"/>
            </w:tcMar>
            <w:vAlign w:val="center"/>
          </w:tcPr>
          <w:p>
            <w:pPr>
              <w:pStyle w:val="TableContents"/>
              <w:bidi w:val="0"/>
              <w:spacing w:before="0" w:after="283"/>
              <w:jc w:val="left"/>
              <w:rPr/>
            </w:pPr>
            <w:r>
              <w:rPr/>
              <w:t> </w:t>
            </w:r>
          </w:p>
        </w:tc>
      </w:tr>
      <w:tr>
        <w:trPr/>
        <w:tc>
          <w:tcPr>
            <w:tcW w:w="9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Milesight</w:t>
            </w:r>
          </w:p>
        </w:tc>
        <w:tc>
          <w:tcPr>
            <w:tcW w:w="60" w:type="dxa"/>
            <w:tcBorders/>
            <w:tcMar>
              <w:bottom w:w="0" w:type="dxa"/>
            </w:tcMar>
            <w:vAlign w:val="center"/>
          </w:tcPr>
          <w:p>
            <w:pPr>
              <w:pStyle w:val="TableContents"/>
              <w:bidi w:val="0"/>
              <w:spacing w:before="0" w:after="283"/>
              <w:jc w:val="left"/>
              <w:rPr/>
            </w:pPr>
            <w:r>
              <w:rPr/>
              <w:t> </w:t>
            </w:r>
          </w:p>
        </w:tc>
        <w:tc>
          <w:tcPr>
            <w:tcW w:w="13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Xiamen, Fujian, China</w:t>
            </w:r>
          </w:p>
        </w:tc>
        <w:tc>
          <w:tcPr>
            <w:tcW w:w="60" w:type="dxa"/>
            <w:tcBorders/>
            <w:tcMar>
              <w:bottom w:w="0" w:type="dxa"/>
            </w:tcMar>
            <w:vAlign w:val="center"/>
          </w:tcPr>
          <w:p>
            <w:pPr>
              <w:pStyle w:val="TableContents"/>
              <w:bidi w:val="0"/>
              <w:spacing w:before="0" w:after="283"/>
              <w:jc w:val="left"/>
              <w:rPr/>
            </w:pPr>
            <w:r>
              <w:rPr/>
              <w:t> </w:t>
            </w:r>
          </w:p>
        </w:tc>
        <w:tc>
          <w:tcPr>
            <w:tcW w:w="774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 Lora, BLE and video feeds in their system</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53"/>
        <w:gridCol w:w="60"/>
        <w:gridCol w:w="1658"/>
        <w:gridCol w:w="60"/>
        <w:gridCol w:w="7274"/>
      </w:tblGrid>
      <w:tr>
        <w:trPr/>
        <w:tc>
          <w:tcPr>
            <w:tcW w:w="1153"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165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Location</w:t>
            </w:r>
          </w:p>
        </w:tc>
        <w:tc>
          <w:tcPr>
            <w:tcW w:w="60" w:type="dxa"/>
            <w:tcBorders/>
            <w:tcMar>
              <w:bottom w:w="0" w:type="dxa"/>
            </w:tcMar>
            <w:vAlign w:val="center"/>
          </w:tcPr>
          <w:p>
            <w:pPr>
              <w:pStyle w:val="TableContents"/>
              <w:bidi w:val="0"/>
              <w:spacing w:before="0" w:after="283"/>
              <w:jc w:val="left"/>
              <w:rPr/>
            </w:pPr>
            <w:r>
              <w:rPr/>
              <w:t> </w:t>
            </w:r>
          </w:p>
        </w:tc>
        <w:tc>
          <w:tcPr>
            <w:tcW w:w="727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r>
      <w:tr>
        <w:trPr/>
        <w:tc>
          <w:tcPr>
            <w:tcW w:w="115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Digital Matter</w:t>
            </w:r>
          </w:p>
        </w:tc>
        <w:tc>
          <w:tcPr>
            <w:tcW w:w="60" w:type="dxa"/>
            <w:tcBorders/>
            <w:tcMar>
              <w:bottom w:w="0" w:type="dxa"/>
            </w:tcMar>
            <w:vAlign w:val="center"/>
          </w:tcPr>
          <w:p>
            <w:pPr>
              <w:pStyle w:val="TableContents"/>
              <w:bidi w:val="0"/>
              <w:spacing w:before="0" w:after="283"/>
              <w:jc w:val="left"/>
              <w:rPr/>
            </w:pPr>
            <w:r>
              <w:rPr/>
              <w:t> </w:t>
            </w:r>
          </w:p>
        </w:tc>
        <w:tc>
          <w:tcPr>
            <w:tcW w:w="165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Perth, AUS</w:t>
            </w:r>
          </w:p>
        </w:tc>
        <w:tc>
          <w:tcPr>
            <w:tcW w:w="60" w:type="dxa"/>
            <w:tcBorders/>
            <w:tcMar>
              <w:bottom w:w="0" w:type="dxa"/>
            </w:tcMar>
            <w:vAlign w:val="center"/>
          </w:tcPr>
          <w:p>
            <w:pPr>
              <w:pStyle w:val="TableContents"/>
              <w:bidi w:val="0"/>
              <w:spacing w:before="0" w:after="283"/>
              <w:jc w:val="left"/>
              <w:rPr/>
            </w:pPr>
            <w:r>
              <w:rPr/>
              <w:t> </w:t>
            </w:r>
          </w:p>
        </w:tc>
        <w:tc>
          <w:tcPr>
            <w:tcW w:w="727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Telematics and tracking systems, LoRA and BLE</w:t>
            </w:r>
          </w:p>
        </w:tc>
      </w:tr>
      <w:tr>
        <w:trPr/>
        <w:tc>
          <w:tcPr>
            <w:tcW w:w="11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74" w:type="dxa"/>
            <w:tcBorders/>
            <w:tcMar>
              <w:bottom w:w="0" w:type="dxa"/>
            </w:tcMar>
            <w:vAlign w:val="center"/>
          </w:tcPr>
          <w:p>
            <w:pPr>
              <w:pStyle w:val="TableContents"/>
              <w:bidi w:val="0"/>
              <w:spacing w:before="0" w:after="283"/>
              <w:jc w:val="left"/>
              <w:rPr/>
            </w:pPr>
            <w:r>
              <w:rPr/>
              <w:t> </w:t>
            </w:r>
          </w:p>
        </w:tc>
      </w:tr>
      <w:tr>
        <w:trPr/>
        <w:tc>
          <w:tcPr>
            <w:tcW w:w="115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Abeeway</w:t>
            </w:r>
          </w:p>
        </w:tc>
        <w:tc>
          <w:tcPr>
            <w:tcW w:w="60" w:type="dxa"/>
            <w:tcBorders/>
            <w:tcMar>
              <w:bottom w:w="0" w:type="dxa"/>
            </w:tcMar>
            <w:vAlign w:val="center"/>
          </w:tcPr>
          <w:p>
            <w:pPr>
              <w:pStyle w:val="TableContents"/>
              <w:bidi w:val="0"/>
              <w:spacing w:before="0" w:after="283"/>
              <w:jc w:val="left"/>
              <w:rPr/>
            </w:pPr>
            <w:r>
              <w:rPr/>
              <w:t> </w:t>
            </w:r>
          </w:p>
        </w:tc>
        <w:tc>
          <w:tcPr>
            <w:tcW w:w="165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Biot, France</w:t>
            </w:r>
          </w:p>
        </w:tc>
        <w:tc>
          <w:tcPr>
            <w:tcW w:w="60" w:type="dxa"/>
            <w:tcBorders/>
            <w:tcMar>
              <w:bottom w:w="0" w:type="dxa"/>
            </w:tcMar>
            <w:vAlign w:val="center"/>
          </w:tcPr>
          <w:p>
            <w:pPr>
              <w:pStyle w:val="TableContents"/>
              <w:bidi w:val="0"/>
              <w:spacing w:before="0" w:after="283"/>
              <w:jc w:val="left"/>
              <w:rPr/>
            </w:pPr>
            <w:r>
              <w:rPr/>
              <w:t> </w:t>
            </w:r>
          </w:p>
        </w:tc>
        <w:tc>
          <w:tcPr>
            <w:tcW w:w="727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Lorawan and BLE, indoor and outdoor capability</w:t>
            </w:r>
          </w:p>
        </w:tc>
      </w:tr>
      <w:tr>
        <w:trPr/>
        <w:tc>
          <w:tcPr>
            <w:tcW w:w="11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74" w:type="dxa"/>
            <w:tcBorders/>
            <w:tcMar>
              <w:bottom w:w="0" w:type="dxa"/>
            </w:tcMar>
            <w:vAlign w:val="center"/>
          </w:tcPr>
          <w:p>
            <w:pPr>
              <w:pStyle w:val="TableContents"/>
              <w:bidi w:val="0"/>
              <w:spacing w:before="0" w:after="283"/>
              <w:jc w:val="left"/>
              <w:rPr/>
            </w:pPr>
            <w:r>
              <w:rPr/>
              <w:t> </w:t>
            </w:r>
          </w:p>
        </w:tc>
      </w:tr>
      <w:tr>
        <w:trPr/>
        <w:tc>
          <w:tcPr>
            <w:tcW w:w="115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Kontakt.io</w:t>
            </w:r>
          </w:p>
        </w:tc>
        <w:tc>
          <w:tcPr>
            <w:tcW w:w="60" w:type="dxa"/>
            <w:tcBorders/>
            <w:tcMar>
              <w:bottom w:w="0" w:type="dxa"/>
            </w:tcMar>
            <w:vAlign w:val="center"/>
          </w:tcPr>
          <w:p>
            <w:pPr>
              <w:pStyle w:val="TableContents"/>
              <w:bidi w:val="0"/>
              <w:spacing w:before="0" w:after="283"/>
              <w:jc w:val="left"/>
              <w:rPr/>
            </w:pPr>
            <w:r>
              <w:rPr/>
              <w:t> </w:t>
            </w:r>
          </w:p>
        </w:tc>
        <w:tc>
          <w:tcPr>
            <w:tcW w:w="165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Krakow, Poland</w:t>
            </w:r>
          </w:p>
        </w:tc>
        <w:tc>
          <w:tcPr>
            <w:tcW w:w="60" w:type="dxa"/>
            <w:tcBorders/>
            <w:tcMar>
              <w:bottom w:w="0" w:type="dxa"/>
            </w:tcMar>
            <w:vAlign w:val="center"/>
          </w:tcPr>
          <w:p>
            <w:pPr>
              <w:pStyle w:val="TableContents"/>
              <w:bidi w:val="0"/>
              <w:spacing w:before="0" w:after="283"/>
              <w:jc w:val="left"/>
              <w:rPr/>
            </w:pPr>
            <w:r>
              <w:rPr/>
              <w:t> </w:t>
            </w:r>
          </w:p>
        </w:tc>
        <w:tc>
          <w:tcPr>
            <w:tcW w:w="727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Initially a hardware vendor, have grown into full solution with hardware as a key element</w:t>
            </w:r>
          </w:p>
        </w:tc>
      </w:tr>
      <w:tr>
        <w:trPr/>
        <w:tc>
          <w:tcPr>
            <w:tcW w:w="11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74" w:type="dxa"/>
            <w:tcBorders/>
            <w:tcMar>
              <w:bottom w:w="0" w:type="dxa"/>
            </w:tcMar>
            <w:vAlign w:val="center"/>
          </w:tcPr>
          <w:p>
            <w:pPr>
              <w:pStyle w:val="TableContents"/>
              <w:bidi w:val="0"/>
              <w:spacing w:before="0" w:after="283"/>
              <w:jc w:val="left"/>
              <w:rPr/>
            </w:pPr>
            <w:r>
              <w:rPr/>
              <w:t> </w:t>
            </w:r>
          </w:p>
        </w:tc>
      </w:tr>
      <w:tr>
        <w:trPr/>
        <w:tc>
          <w:tcPr>
            <w:tcW w:w="115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Ubisense</w:t>
            </w:r>
          </w:p>
        </w:tc>
        <w:tc>
          <w:tcPr>
            <w:tcW w:w="60" w:type="dxa"/>
            <w:tcBorders/>
            <w:tcMar>
              <w:bottom w:w="0" w:type="dxa"/>
            </w:tcMar>
            <w:vAlign w:val="center"/>
          </w:tcPr>
          <w:p>
            <w:pPr>
              <w:pStyle w:val="TableContents"/>
              <w:bidi w:val="0"/>
              <w:spacing w:before="0" w:after="283"/>
              <w:jc w:val="left"/>
              <w:rPr/>
            </w:pPr>
            <w:r>
              <w:rPr/>
              <w:t> </w:t>
            </w:r>
          </w:p>
        </w:tc>
        <w:tc>
          <w:tcPr>
            <w:tcW w:w="165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Cambridge, UK</w:t>
            </w:r>
          </w:p>
        </w:tc>
        <w:tc>
          <w:tcPr>
            <w:tcW w:w="60" w:type="dxa"/>
            <w:tcBorders/>
            <w:tcMar>
              <w:bottom w:w="0" w:type="dxa"/>
            </w:tcMar>
            <w:vAlign w:val="center"/>
          </w:tcPr>
          <w:p>
            <w:pPr>
              <w:pStyle w:val="TableContents"/>
              <w:bidi w:val="0"/>
              <w:spacing w:before="0" w:after="283"/>
              <w:jc w:val="left"/>
              <w:rPr/>
            </w:pPr>
            <w:r>
              <w:rPr/>
              <w:t> </w:t>
            </w:r>
          </w:p>
        </w:tc>
        <w:tc>
          <w:tcPr>
            <w:tcW w:w="727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UWB high precision tracking is the focus, also have a line of BLE tracking solutions.</w:t>
            </w:r>
          </w:p>
        </w:tc>
      </w:tr>
      <w:tr>
        <w:trPr/>
        <w:tc>
          <w:tcPr>
            <w:tcW w:w="11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74" w:type="dxa"/>
            <w:tcBorders/>
            <w:tcMar>
              <w:bottom w:w="0" w:type="dxa"/>
            </w:tcMar>
            <w:vAlign w:val="center"/>
          </w:tcPr>
          <w:p>
            <w:pPr>
              <w:pStyle w:val="TableContents"/>
              <w:bidi w:val="0"/>
              <w:spacing w:before="0" w:after="283"/>
              <w:jc w:val="left"/>
              <w:rPr/>
            </w:pPr>
            <w:r>
              <w:rPr/>
              <w:t> </w:t>
            </w:r>
          </w:p>
        </w:tc>
      </w:tr>
      <w:tr>
        <w:trPr/>
        <w:tc>
          <w:tcPr>
            <w:tcW w:w="115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Radiant RFID</w:t>
            </w:r>
          </w:p>
        </w:tc>
        <w:tc>
          <w:tcPr>
            <w:tcW w:w="60" w:type="dxa"/>
            <w:tcBorders/>
            <w:tcMar>
              <w:bottom w:w="0" w:type="dxa"/>
            </w:tcMar>
            <w:vAlign w:val="center"/>
          </w:tcPr>
          <w:p>
            <w:pPr>
              <w:pStyle w:val="TableContents"/>
              <w:bidi w:val="0"/>
              <w:spacing w:before="0" w:after="283"/>
              <w:jc w:val="left"/>
              <w:rPr/>
            </w:pPr>
            <w:r>
              <w:rPr/>
              <w:t> </w:t>
            </w:r>
          </w:p>
        </w:tc>
        <w:tc>
          <w:tcPr>
            <w:tcW w:w="165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Austin, Texas</w:t>
            </w:r>
          </w:p>
        </w:tc>
        <w:tc>
          <w:tcPr>
            <w:tcW w:w="60" w:type="dxa"/>
            <w:tcBorders/>
            <w:tcMar>
              <w:bottom w:w="0" w:type="dxa"/>
            </w:tcMar>
            <w:vAlign w:val="center"/>
          </w:tcPr>
          <w:p>
            <w:pPr>
              <w:pStyle w:val="TableContents"/>
              <w:bidi w:val="0"/>
              <w:spacing w:before="0" w:after="283"/>
              <w:jc w:val="left"/>
              <w:rPr/>
            </w:pPr>
            <w:r>
              <w:rPr/>
              <w:t> </w:t>
            </w:r>
          </w:p>
        </w:tc>
        <w:tc>
          <w:tcPr>
            <w:tcW w:w="727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UHF RFID systems, attempting to migrate to next generation technology</w:t>
            </w:r>
          </w:p>
        </w:tc>
      </w:tr>
      <w:tr>
        <w:trPr/>
        <w:tc>
          <w:tcPr>
            <w:tcW w:w="11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74" w:type="dxa"/>
            <w:tcBorders/>
            <w:tcMar>
              <w:bottom w:w="0" w:type="dxa"/>
            </w:tcMar>
            <w:vAlign w:val="center"/>
          </w:tcPr>
          <w:p>
            <w:pPr>
              <w:pStyle w:val="TableContents"/>
              <w:bidi w:val="0"/>
              <w:spacing w:before="0" w:after="283"/>
              <w:jc w:val="left"/>
              <w:rPr/>
            </w:pPr>
            <w:r>
              <w:rPr/>
              <w:t> </w:t>
            </w:r>
          </w:p>
        </w:tc>
      </w:tr>
      <w:tr>
        <w:trPr/>
        <w:tc>
          <w:tcPr>
            <w:tcW w:w="115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Sensolus</w:t>
            </w:r>
          </w:p>
        </w:tc>
        <w:tc>
          <w:tcPr>
            <w:tcW w:w="60" w:type="dxa"/>
            <w:tcBorders/>
            <w:tcMar>
              <w:bottom w:w="0" w:type="dxa"/>
            </w:tcMar>
            <w:vAlign w:val="center"/>
          </w:tcPr>
          <w:p>
            <w:pPr>
              <w:pStyle w:val="TableContents"/>
              <w:bidi w:val="0"/>
              <w:spacing w:before="0" w:after="283"/>
              <w:jc w:val="left"/>
              <w:rPr/>
            </w:pPr>
            <w:r>
              <w:rPr/>
              <w:t> </w:t>
            </w:r>
          </w:p>
        </w:tc>
        <w:tc>
          <w:tcPr>
            <w:tcW w:w="165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Ghent, Belgium</w:t>
            </w:r>
          </w:p>
        </w:tc>
        <w:tc>
          <w:tcPr>
            <w:tcW w:w="60" w:type="dxa"/>
            <w:tcBorders/>
            <w:tcMar>
              <w:bottom w:w="0" w:type="dxa"/>
            </w:tcMar>
            <w:vAlign w:val="center"/>
          </w:tcPr>
          <w:p>
            <w:pPr>
              <w:pStyle w:val="TableContents"/>
              <w:bidi w:val="0"/>
              <w:spacing w:before="0" w:after="283"/>
              <w:jc w:val="left"/>
              <w:rPr/>
            </w:pPr>
            <w:r>
              <w:rPr/>
              <w:t> </w:t>
            </w:r>
          </w:p>
        </w:tc>
        <w:tc>
          <w:tcPr>
            <w:tcW w:w="727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Tracking and workflow systems</w:t>
            </w:r>
          </w:p>
        </w:tc>
      </w:tr>
      <w:tr>
        <w:trPr/>
        <w:tc>
          <w:tcPr>
            <w:tcW w:w="11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74" w:type="dxa"/>
            <w:tcBorders/>
            <w:tcMar>
              <w:bottom w:w="0" w:type="dxa"/>
            </w:tcMar>
            <w:vAlign w:val="center"/>
          </w:tcPr>
          <w:p>
            <w:pPr>
              <w:pStyle w:val="TableContents"/>
              <w:bidi w:val="0"/>
              <w:spacing w:before="0" w:after="283"/>
              <w:jc w:val="left"/>
              <w:rPr/>
            </w:pPr>
            <w:r>
              <w:rPr/>
              <w:t> </w:t>
            </w:r>
          </w:p>
        </w:tc>
      </w:tr>
      <w:tr>
        <w:trPr/>
        <w:tc>
          <w:tcPr>
            <w:tcW w:w="115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Litum</w:t>
            </w:r>
          </w:p>
        </w:tc>
        <w:tc>
          <w:tcPr>
            <w:tcW w:w="60" w:type="dxa"/>
            <w:tcBorders/>
            <w:tcMar>
              <w:bottom w:w="0" w:type="dxa"/>
            </w:tcMar>
            <w:vAlign w:val="center"/>
          </w:tcPr>
          <w:p>
            <w:pPr>
              <w:pStyle w:val="TableContents"/>
              <w:bidi w:val="0"/>
              <w:spacing w:before="0" w:after="283"/>
              <w:jc w:val="left"/>
              <w:rPr/>
            </w:pPr>
            <w:r>
              <w:rPr/>
              <w:t> </w:t>
            </w:r>
          </w:p>
        </w:tc>
        <w:tc>
          <w:tcPr>
            <w:tcW w:w="165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Izmir, Turkey</w:t>
            </w:r>
          </w:p>
        </w:tc>
        <w:tc>
          <w:tcPr>
            <w:tcW w:w="60" w:type="dxa"/>
            <w:tcBorders/>
            <w:tcMar>
              <w:bottom w:w="0" w:type="dxa"/>
            </w:tcMar>
            <w:vAlign w:val="center"/>
          </w:tcPr>
          <w:p>
            <w:pPr>
              <w:pStyle w:val="TableContents"/>
              <w:bidi w:val="0"/>
              <w:spacing w:before="0" w:after="283"/>
              <w:jc w:val="left"/>
              <w:rPr/>
            </w:pPr>
            <w:r>
              <w:rPr/>
              <w:t> </w:t>
            </w:r>
          </w:p>
        </w:tc>
        <w:tc>
          <w:tcPr>
            <w:tcW w:w="727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UWB high precision tracking is the focus, also have a line of BLE tracking solutions.</w:t>
            </w:r>
          </w:p>
        </w:tc>
      </w:tr>
      <w:tr>
        <w:trPr/>
        <w:tc>
          <w:tcPr>
            <w:tcW w:w="11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74" w:type="dxa"/>
            <w:tcBorders/>
            <w:tcMar>
              <w:bottom w:w="0" w:type="dxa"/>
            </w:tcMar>
            <w:vAlign w:val="center"/>
          </w:tcPr>
          <w:p>
            <w:pPr>
              <w:pStyle w:val="TableContents"/>
              <w:bidi w:val="0"/>
              <w:spacing w:before="0" w:after="283"/>
              <w:jc w:val="left"/>
              <w:rPr/>
            </w:pPr>
            <w:r>
              <w:rPr/>
              <w:t> </w:t>
            </w:r>
          </w:p>
        </w:tc>
      </w:tr>
      <w:tr>
        <w:trPr/>
        <w:tc>
          <w:tcPr>
            <w:tcW w:w="115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Savi</w:t>
            </w:r>
          </w:p>
        </w:tc>
        <w:tc>
          <w:tcPr>
            <w:tcW w:w="60" w:type="dxa"/>
            <w:tcBorders/>
            <w:tcMar>
              <w:bottom w:w="0" w:type="dxa"/>
            </w:tcMar>
            <w:vAlign w:val="center"/>
          </w:tcPr>
          <w:p>
            <w:pPr>
              <w:pStyle w:val="TableContents"/>
              <w:bidi w:val="0"/>
              <w:spacing w:before="0" w:after="283"/>
              <w:jc w:val="left"/>
              <w:rPr/>
            </w:pPr>
            <w:r>
              <w:rPr/>
              <w:t> </w:t>
            </w:r>
          </w:p>
        </w:tc>
        <w:tc>
          <w:tcPr>
            <w:tcW w:w="165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Alexandria, VA</w:t>
            </w:r>
          </w:p>
        </w:tc>
        <w:tc>
          <w:tcPr>
            <w:tcW w:w="60" w:type="dxa"/>
            <w:tcBorders/>
            <w:tcMar>
              <w:bottom w:w="0" w:type="dxa"/>
            </w:tcMar>
            <w:vAlign w:val="center"/>
          </w:tcPr>
          <w:p>
            <w:pPr>
              <w:pStyle w:val="TableContents"/>
              <w:bidi w:val="0"/>
              <w:spacing w:before="0" w:after="283"/>
              <w:jc w:val="left"/>
              <w:rPr/>
            </w:pPr>
            <w:r>
              <w:rPr/>
              <w:t> </w:t>
            </w:r>
          </w:p>
        </w:tc>
        <w:tc>
          <w:tcPr>
            <w:tcW w:w="727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Military supplier, long range tracking tags for containers and pallets. ISO 18000-7</w:t>
            </w:r>
          </w:p>
        </w:tc>
      </w:tr>
      <w:tr>
        <w:trPr/>
        <w:tc>
          <w:tcPr>
            <w:tcW w:w="11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74" w:type="dxa"/>
            <w:tcBorders/>
            <w:tcMar>
              <w:bottom w:w="0" w:type="dxa"/>
            </w:tcMar>
            <w:vAlign w:val="center"/>
          </w:tcPr>
          <w:p>
            <w:pPr>
              <w:pStyle w:val="TableContents"/>
              <w:bidi w:val="0"/>
              <w:spacing w:before="0" w:after="283"/>
              <w:jc w:val="left"/>
              <w:rPr/>
            </w:pPr>
            <w:r>
              <w:rPr/>
              <w:t> </w:t>
            </w:r>
          </w:p>
        </w:tc>
      </w:tr>
      <w:tr>
        <w:trPr/>
        <w:tc>
          <w:tcPr>
            <w:tcW w:w="115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Inpixion</w:t>
            </w:r>
          </w:p>
        </w:tc>
        <w:tc>
          <w:tcPr>
            <w:tcW w:w="60" w:type="dxa"/>
            <w:tcBorders/>
            <w:tcMar>
              <w:bottom w:w="0" w:type="dxa"/>
            </w:tcMar>
            <w:vAlign w:val="center"/>
          </w:tcPr>
          <w:p>
            <w:pPr>
              <w:pStyle w:val="TableContents"/>
              <w:bidi w:val="0"/>
              <w:spacing w:before="0" w:after="283"/>
              <w:jc w:val="left"/>
              <w:rPr/>
            </w:pPr>
            <w:r>
              <w:rPr/>
              <w:t> </w:t>
            </w:r>
          </w:p>
        </w:tc>
        <w:tc>
          <w:tcPr>
            <w:tcW w:w="165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Palo Alto, CA</w:t>
            </w:r>
          </w:p>
        </w:tc>
        <w:tc>
          <w:tcPr>
            <w:tcW w:w="60" w:type="dxa"/>
            <w:tcBorders/>
            <w:tcMar>
              <w:bottom w:w="0" w:type="dxa"/>
            </w:tcMar>
            <w:vAlign w:val="center"/>
          </w:tcPr>
          <w:p>
            <w:pPr>
              <w:pStyle w:val="TableContents"/>
              <w:bidi w:val="0"/>
              <w:spacing w:before="0" w:after="283"/>
              <w:jc w:val="left"/>
              <w:rPr/>
            </w:pPr>
            <w:r>
              <w:rPr/>
              <w:t> </w:t>
            </w:r>
          </w:p>
        </w:tc>
        <w:tc>
          <w:tcPr>
            <w:tcW w:w="727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 of BLE and UWB as needed. Open architecture. Inpixon is a business unit of XTI Aerospace, Inc.</w:t>
            </w:r>
          </w:p>
        </w:tc>
      </w:tr>
      <w:tr>
        <w:trPr/>
        <w:tc>
          <w:tcPr>
            <w:tcW w:w="11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74" w:type="dxa"/>
            <w:tcBorders/>
            <w:tcMar>
              <w:bottom w:w="0" w:type="dxa"/>
            </w:tcMar>
            <w:vAlign w:val="center"/>
          </w:tcPr>
          <w:p>
            <w:pPr>
              <w:pStyle w:val="TableContents"/>
              <w:bidi w:val="0"/>
              <w:spacing w:before="0" w:after="283"/>
              <w:jc w:val="left"/>
              <w:rPr/>
            </w:pPr>
            <w:r>
              <w:rPr/>
              <w:t> </w:t>
            </w:r>
          </w:p>
        </w:tc>
      </w:tr>
      <w:tr>
        <w:trPr/>
        <w:tc>
          <w:tcPr>
            <w:tcW w:w="115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Airista</w:t>
            </w:r>
          </w:p>
        </w:tc>
        <w:tc>
          <w:tcPr>
            <w:tcW w:w="60" w:type="dxa"/>
            <w:tcBorders/>
            <w:tcMar>
              <w:bottom w:w="0" w:type="dxa"/>
            </w:tcMar>
            <w:vAlign w:val="center"/>
          </w:tcPr>
          <w:p>
            <w:pPr>
              <w:pStyle w:val="TableContents"/>
              <w:bidi w:val="0"/>
              <w:spacing w:before="0" w:after="283"/>
              <w:jc w:val="left"/>
              <w:rPr/>
            </w:pPr>
            <w:r>
              <w:rPr/>
              <w:t> </w:t>
            </w:r>
          </w:p>
        </w:tc>
        <w:tc>
          <w:tcPr>
            <w:tcW w:w="165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Timonium, Maryland</w:t>
            </w:r>
          </w:p>
        </w:tc>
        <w:tc>
          <w:tcPr>
            <w:tcW w:w="60" w:type="dxa"/>
            <w:tcBorders/>
            <w:tcMar>
              <w:bottom w:w="0" w:type="dxa"/>
            </w:tcMar>
            <w:vAlign w:val="center"/>
          </w:tcPr>
          <w:p>
            <w:pPr>
              <w:pStyle w:val="TableContents"/>
              <w:bidi w:val="0"/>
              <w:spacing w:before="0" w:after="283"/>
              <w:jc w:val="left"/>
              <w:rPr/>
            </w:pPr>
            <w:r>
              <w:rPr/>
              <w:t> </w:t>
            </w:r>
          </w:p>
        </w:tc>
        <w:tc>
          <w:tcPr>
            <w:tcW w:w="727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Partnership with Cisco, wifi and BLE product line with good software interfaces</w:t>
            </w:r>
          </w:p>
        </w:tc>
      </w:tr>
      <w:tr>
        <w:trPr/>
        <w:tc>
          <w:tcPr>
            <w:tcW w:w="11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74" w:type="dxa"/>
            <w:tcBorders/>
            <w:tcMar>
              <w:bottom w:w="0" w:type="dxa"/>
            </w:tcMar>
            <w:vAlign w:val="center"/>
          </w:tcPr>
          <w:p>
            <w:pPr>
              <w:pStyle w:val="TableContents"/>
              <w:bidi w:val="0"/>
              <w:spacing w:before="0" w:after="283"/>
              <w:jc w:val="left"/>
              <w:rPr/>
            </w:pPr>
            <w:r>
              <w:rPr/>
              <w:t> </w:t>
            </w:r>
          </w:p>
        </w:tc>
      </w:tr>
      <w:tr>
        <w:trPr/>
        <w:tc>
          <w:tcPr>
            <w:tcW w:w="115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Centrak</w:t>
            </w:r>
          </w:p>
        </w:tc>
        <w:tc>
          <w:tcPr>
            <w:tcW w:w="60" w:type="dxa"/>
            <w:tcBorders/>
            <w:tcMar>
              <w:bottom w:w="0" w:type="dxa"/>
            </w:tcMar>
            <w:vAlign w:val="center"/>
          </w:tcPr>
          <w:p>
            <w:pPr>
              <w:pStyle w:val="TableContents"/>
              <w:bidi w:val="0"/>
              <w:spacing w:before="0" w:after="283"/>
              <w:jc w:val="left"/>
              <w:rPr/>
            </w:pPr>
            <w:r>
              <w:rPr/>
              <w:t> </w:t>
            </w:r>
          </w:p>
        </w:tc>
        <w:tc>
          <w:tcPr>
            <w:tcW w:w="165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Newtown, PA</w:t>
            </w:r>
          </w:p>
        </w:tc>
        <w:tc>
          <w:tcPr>
            <w:tcW w:w="60" w:type="dxa"/>
            <w:tcBorders/>
            <w:tcMar>
              <w:bottom w:w="0" w:type="dxa"/>
            </w:tcMar>
            <w:vAlign w:val="center"/>
          </w:tcPr>
          <w:p>
            <w:pPr>
              <w:pStyle w:val="TableContents"/>
              <w:bidi w:val="0"/>
              <w:spacing w:before="0" w:after="283"/>
              <w:jc w:val="left"/>
              <w:rPr/>
            </w:pPr>
            <w:r>
              <w:rPr/>
              <w:t> </w:t>
            </w:r>
          </w:p>
        </w:tc>
        <w:tc>
          <w:tcPr>
            <w:tcW w:w="727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Health care focus, Indoor location using wifi and BLE VA contract win was very large.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479"/>
        <w:gridCol w:w="60"/>
        <w:gridCol w:w="1698"/>
        <w:gridCol w:w="60"/>
        <w:gridCol w:w="6908"/>
      </w:tblGrid>
      <w:tr>
        <w:trPr/>
        <w:tc>
          <w:tcPr>
            <w:tcW w:w="1479"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169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Location</w:t>
            </w:r>
          </w:p>
        </w:tc>
        <w:tc>
          <w:tcPr>
            <w:tcW w:w="60" w:type="dxa"/>
            <w:tcBorders/>
            <w:tcMar>
              <w:bottom w:w="0" w:type="dxa"/>
            </w:tcMar>
            <w:vAlign w:val="center"/>
          </w:tcPr>
          <w:p>
            <w:pPr>
              <w:pStyle w:val="TableContents"/>
              <w:bidi w:val="0"/>
              <w:spacing w:before="0" w:after="283"/>
              <w:jc w:val="left"/>
              <w:rPr/>
            </w:pPr>
            <w:r>
              <w:rPr/>
              <w:t> </w:t>
            </w:r>
          </w:p>
        </w:tc>
        <w:tc>
          <w:tcPr>
            <w:tcW w:w="690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r>
      <w:tr>
        <w:trPr/>
        <w:tc>
          <w:tcPr>
            <w:tcW w:w="147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Pozyx</w:t>
            </w:r>
          </w:p>
        </w:tc>
        <w:tc>
          <w:tcPr>
            <w:tcW w:w="60" w:type="dxa"/>
            <w:tcBorders/>
            <w:tcMar>
              <w:bottom w:w="0" w:type="dxa"/>
            </w:tcMar>
            <w:vAlign w:val="center"/>
          </w:tcPr>
          <w:p>
            <w:pPr>
              <w:pStyle w:val="TableContents"/>
              <w:bidi w:val="0"/>
              <w:spacing w:before="0" w:after="283"/>
              <w:jc w:val="left"/>
              <w:rPr/>
            </w:pPr>
            <w:r>
              <w:rPr/>
              <w:t> </w:t>
            </w:r>
          </w:p>
        </w:tc>
        <w:tc>
          <w:tcPr>
            <w:tcW w:w="169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Ghent, Belgium</w:t>
            </w:r>
          </w:p>
        </w:tc>
        <w:tc>
          <w:tcPr>
            <w:tcW w:w="60" w:type="dxa"/>
            <w:tcBorders/>
            <w:tcMar>
              <w:bottom w:w="0" w:type="dxa"/>
            </w:tcMar>
            <w:vAlign w:val="center"/>
          </w:tcPr>
          <w:p>
            <w:pPr>
              <w:pStyle w:val="TableContents"/>
              <w:bidi w:val="0"/>
              <w:spacing w:before="0" w:after="283"/>
              <w:jc w:val="left"/>
              <w:rPr/>
            </w:pPr>
            <w:r>
              <w:rPr/>
              <w:t> </w:t>
            </w:r>
          </w:p>
        </w:tc>
        <w:tc>
          <w:tcPr>
            <w:tcW w:w="6908"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Indoor and outdoor rtls. Use of GPS BLE and other technologies opportunistically</w:t>
            </w:r>
          </w:p>
        </w:tc>
      </w:tr>
      <w:tr>
        <w:trPr/>
        <w:tc>
          <w:tcPr>
            <w:tcW w:w="147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08" w:type="dxa"/>
            <w:tcBorders/>
            <w:tcMar>
              <w:bottom w:w="0" w:type="dxa"/>
            </w:tcMar>
            <w:vAlign w:val="center"/>
          </w:tcPr>
          <w:p>
            <w:pPr>
              <w:pStyle w:val="TableContents"/>
              <w:bidi w:val="0"/>
              <w:spacing w:before="0" w:after="283"/>
              <w:jc w:val="left"/>
              <w:rPr/>
            </w:pPr>
            <w:r>
              <w:rPr/>
              <w:t> </w:t>
            </w:r>
          </w:p>
        </w:tc>
      </w:tr>
      <w:tr>
        <w:trPr/>
        <w:tc>
          <w:tcPr>
            <w:tcW w:w="147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Sewio</w:t>
            </w:r>
          </w:p>
        </w:tc>
        <w:tc>
          <w:tcPr>
            <w:tcW w:w="60" w:type="dxa"/>
            <w:tcBorders/>
            <w:tcMar>
              <w:bottom w:w="0" w:type="dxa"/>
            </w:tcMar>
            <w:vAlign w:val="center"/>
          </w:tcPr>
          <w:p>
            <w:pPr>
              <w:pStyle w:val="TableContents"/>
              <w:bidi w:val="0"/>
              <w:spacing w:before="0" w:after="283"/>
              <w:jc w:val="left"/>
              <w:rPr/>
            </w:pPr>
            <w:r>
              <w:rPr/>
              <w:t> </w:t>
            </w:r>
          </w:p>
        </w:tc>
        <w:tc>
          <w:tcPr>
            <w:tcW w:w="169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Brno, Czech Republic</w:t>
            </w:r>
          </w:p>
        </w:tc>
        <w:tc>
          <w:tcPr>
            <w:tcW w:w="60" w:type="dxa"/>
            <w:tcBorders/>
            <w:tcMar>
              <w:bottom w:w="0" w:type="dxa"/>
            </w:tcMar>
            <w:vAlign w:val="center"/>
          </w:tcPr>
          <w:p>
            <w:pPr>
              <w:pStyle w:val="TableContents"/>
              <w:bidi w:val="0"/>
              <w:spacing w:before="0" w:after="283"/>
              <w:jc w:val="left"/>
              <w:rPr/>
            </w:pPr>
            <w:r>
              <w:rPr/>
              <w:t> </w:t>
            </w:r>
          </w:p>
        </w:tc>
        <w:tc>
          <w:tcPr>
            <w:tcW w:w="6908"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Primarily a UWB player, competing in the precision location space. Some edge cases with BLE</w:t>
            </w:r>
          </w:p>
        </w:tc>
      </w:tr>
      <w:tr>
        <w:trPr/>
        <w:tc>
          <w:tcPr>
            <w:tcW w:w="147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08" w:type="dxa"/>
            <w:tcBorders/>
            <w:tcMar>
              <w:bottom w:w="0" w:type="dxa"/>
            </w:tcMar>
            <w:vAlign w:val="center"/>
          </w:tcPr>
          <w:p>
            <w:pPr>
              <w:pStyle w:val="TableContents"/>
              <w:bidi w:val="0"/>
              <w:spacing w:before="0" w:after="283"/>
              <w:jc w:val="left"/>
              <w:rPr/>
            </w:pPr>
            <w:r>
              <w:rPr/>
              <w:t> </w:t>
            </w:r>
          </w:p>
        </w:tc>
      </w:tr>
      <w:tr>
        <w:trPr/>
        <w:tc>
          <w:tcPr>
            <w:tcW w:w="147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Ekahau</w:t>
            </w:r>
          </w:p>
        </w:tc>
        <w:tc>
          <w:tcPr>
            <w:tcW w:w="60" w:type="dxa"/>
            <w:tcBorders/>
            <w:tcMar>
              <w:bottom w:w="0" w:type="dxa"/>
            </w:tcMar>
            <w:vAlign w:val="center"/>
          </w:tcPr>
          <w:p>
            <w:pPr>
              <w:pStyle w:val="TableContents"/>
              <w:bidi w:val="0"/>
              <w:spacing w:before="0" w:after="283"/>
              <w:jc w:val="left"/>
              <w:rPr/>
            </w:pPr>
            <w:r>
              <w:rPr/>
              <w:t> </w:t>
            </w:r>
          </w:p>
        </w:tc>
        <w:tc>
          <w:tcPr>
            <w:tcW w:w="169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Reston, VA</w:t>
            </w:r>
          </w:p>
        </w:tc>
        <w:tc>
          <w:tcPr>
            <w:tcW w:w="60" w:type="dxa"/>
            <w:tcBorders/>
            <w:tcMar>
              <w:bottom w:w="0" w:type="dxa"/>
            </w:tcMar>
            <w:vAlign w:val="center"/>
          </w:tcPr>
          <w:p>
            <w:pPr>
              <w:pStyle w:val="TableContents"/>
              <w:bidi w:val="0"/>
              <w:spacing w:before="0" w:after="283"/>
              <w:jc w:val="left"/>
              <w:rPr/>
            </w:pPr>
            <w:r>
              <w:rPr/>
              <w:t> </w:t>
            </w:r>
          </w:p>
        </w:tc>
        <w:tc>
          <w:tcPr>
            <w:tcW w:w="6908"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Wifi and BLE locating health care and indoor focus</w:t>
            </w:r>
          </w:p>
        </w:tc>
      </w:tr>
      <w:tr>
        <w:trPr/>
        <w:tc>
          <w:tcPr>
            <w:tcW w:w="147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08" w:type="dxa"/>
            <w:tcBorders/>
            <w:tcMar>
              <w:bottom w:w="0" w:type="dxa"/>
            </w:tcMar>
            <w:vAlign w:val="center"/>
          </w:tcPr>
          <w:p>
            <w:pPr>
              <w:pStyle w:val="TableContents"/>
              <w:bidi w:val="0"/>
              <w:spacing w:before="0" w:after="283"/>
              <w:jc w:val="left"/>
              <w:rPr/>
            </w:pPr>
            <w:r>
              <w:rPr/>
              <w:t> </w:t>
            </w:r>
          </w:p>
        </w:tc>
      </w:tr>
      <w:tr>
        <w:trPr/>
        <w:tc>
          <w:tcPr>
            <w:tcW w:w="147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Stanley Healthcare</w:t>
            </w:r>
          </w:p>
        </w:tc>
        <w:tc>
          <w:tcPr>
            <w:tcW w:w="60" w:type="dxa"/>
            <w:tcBorders/>
            <w:tcMar>
              <w:bottom w:w="0" w:type="dxa"/>
            </w:tcMar>
            <w:vAlign w:val="center"/>
          </w:tcPr>
          <w:p>
            <w:pPr>
              <w:pStyle w:val="TableContents"/>
              <w:bidi w:val="0"/>
              <w:spacing w:before="0" w:after="283"/>
              <w:jc w:val="left"/>
              <w:rPr/>
            </w:pPr>
            <w:r>
              <w:rPr/>
              <w:t> </w:t>
            </w:r>
          </w:p>
        </w:tc>
        <w:tc>
          <w:tcPr>
            <w:tcW w:w="169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Litchfield, UK</w:t>
            </w:r>
          </w:p>
        </w:tc>
        <w:tc>
          <w:tcPr>
            <w:tcW w:w="60" w:type="dxa"/>
            <w:tcBorders/>
            <w:tcMar>
              <w:bottom w:w="0" w:type="dxa"/>
            </w:tcMar>
            <w:vAlign w:val="center"/>
          </w:tcPr>
          <w:p>
            <w:pPr>
              <w:pStyle w:val="TableContents"/>
              <w:bidi w:val="0"/>
              <w:spacing w:before="0" w:after="283"/>
              <w:jc w:val="left"/>
              <w:rPr/>
            </w:pPr>
            <w:r>
              <w:rPr/>
              <w:t> </w:t>
            </w:r>
          </w:p>
        </w:tc>
        <w:tc>
          <w:tcPr>
            <w:tcW w:w="6908"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Health care focus, Indoor location using wifi and 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Automation and Sensor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automation players such as </w:t>
      </w:r>
      <w:r>
        <w:rPr>
          <w:rFonts w:ascii="Times New Roman;Times;Serif" w:hAnsi="Times New Roman;Times;Serif"/>
          <w:b/>
          <w:i w:val="false"/>
          <w:caps w:val="false"/>
          <w:smallCaps w:val="false"/>
          <w:sz w:val="20"/>
        </w:rPr>
        <w:t>Honeywell, Siemens, Rockwell Automation, Mitsubishi, Panasonic, Omron, Sick, Schneider Electric </w:t>
      </w:r>
      <w:r>
        <w:rPr>
          <w:rFonts w:ascii="Times New Roman;Times;Serif" w:hAnsi="Times New Roman;Times;Serif"/>
          <w:b w:val="false"/>
          <w:i w:val="false"/>
          <w:caps w:val="false"/>
          <w:smallCaps w:val="false"/>
          <w:sz w:val="20"/>
        </w:rPr>
        <w:t>and their peers are adept at selling hardware and software solutions to improve operations in the target markets of the company. Many of them are involved in IoT/AI and have incubators or have acquired small companies that are direct competitors to the company. While they can compete in specific applications, this group are more often seen as complimentary to the solutions of the company. Their channel partners are prime targets to take on the solution set provided by the company to augment existing offerings from their primary line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ERP, MES or WMS Players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group includes </w:t>
      </w:r>
      <w:r>
        <w:rPr>
          <w:rFonts w:ascii="Times New Roman;Times;Serif" w:hAnsi="Times New Roman;Times;Serif"/>
          <w:b/>
          <w:i w:val="false"/>
          <w:caps w:val="false"/>
          <w:smallCaps w:val="false"/>
          <w:sz w:val="20"/>
        </w:rPr>
        <w:t>Korber, SAP, Microsoft, Oracle, Blue Yonder, Infor, Manhattan Associates</w:t>
      </w:r>
      <w:r>
        <w:rPr>
          <w:rFonts w:ascii="Times New Roman;Times;Serif" w:hAnsi="Times New Roman;Times;Serif"/>
          <w:b w:val="false"/>
          <w:i w:val="false"/>
          <w:caps w:val="false"/>
          <w:smallCaps w:val="false"/>
          <w:sz w:val="20"/>
        </w:rPr>
        <w:t> etc. and can compete with the company in some applications but are most often commercial partners in the solution. SEE ID will act as an edge module that is integrated into their platform for enhanced visibility, safety, assurance, or execution in the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Infrastructure and Integrator Vendor Consultants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IBM, CiscoJuniper Networks, JMA, Sirerra Wireless, Dell, Arista, HPE</w:t>
      </w:r>
      <w:r>
        <w:rPr>
          <w:rFonts w:ascii="Times New Roman;Times;Serif" w:hAnsi="Times New Roman;Times;Serif"/>
          <w:b w:val="false"/>
          <w:i w:val="false"/>
          <w:caps w:val="false"/>
          <w:smallCaps w:val="false"/>
          <w:sz w:val="20"/>
        </w:rPr>
        <w:t> have some extensive infrastructure and software of their own to enhance systems processes. This group can be very competitive with the company in capturing enterprise digital migration adoption, they have a primary mission of being the “pipe” that the enterprise looks to for the future. Once they have mindshare in an account, they often play a primary role in specifying other systems (particularly hardware) with the customer to enhance the process over time, leveraging their position, AI and workflow software can be competitive but are not the focus of their mission, often providing only general solutions. They are complementary at the edge level and may be cultivated as channel partners for our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Workflow Automation, Integration &amp; AI Vendor Consultants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Microsoft, Appian, SS&amp;C Blue Prism, Pegasystems, Automation Anywhere, UiPath have some extensive software to enhance systems processes. This group can be very competitive with the company in capturing enterprise digital migration adoption, they have a primary mission of being the “pane of glass” that the enterprise looks to for the future of their digital enterprise. Once they have mindshare in an account, they often play a primary role in specifying other systems with the customer to enhance the process over time, leveraging their position. Their dashboard, AI and workflow software are competitive, but they are complementary at the edge level and may be cultivated as channel commercial partners for our hardware solutionsIoT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Competitive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competitive factors in the markets in which we operate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AI Implementation</w:t>
            </w:r>
            <w:r>
              <w:rPr>
                <w:rFonts w:ascii="Times New Roman;Times;Serif" w:hAnsi="Times New Roman;Times;Serif"/>
              </w:rPr>
              <w:t> — while this is an emerging area, we are investing heavily in this battleground feature. We believe that soon the most important aspect of the buying decision will be the extent to which AI has been implemented to simplify the complex logistics processes and intervene when needed to enable greater enterprise performance.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TCO (Total Cost of Ownership) </w:t>
            </w:r>
            <w:r>
              <w:rPr>
                <w:rFonts w:ascii="Times New Roman;Times;Serif" w:hAnsi="Times New Roman;Times;Serif"/>
              </w:rPr>
              <w:t>— Our systems are intended to run for decades in an enterprise, with costs over that time playing a key role in the buying decision. The ability for the customer to extend the system easily, not be subject to custom programming charges, avoid proprietary devices and keep pace with data structure and security changes is an important competitive advantage.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ROI (Return on Investment) </w:t>
            </w:r>
            <w:r>
              <w:rPr>
                <w:rFonts w:ascii="Times New Roman;Times;Serif" w:hAnsi="Times New Roman;Times;Serif"/>
              </w:rPr>
              <w:t>— Our value to the enterprise vs the benefit is part of every buy decision. This includes the total cost of ownership over time and the installation costs borne by the customer during adoption of the system. The impact we have on key workflows (inventory, order processing, picking, packing, putting etc) is measurable and significant. Our unique ability to use low-cost passive transponders (less than a tenth of the cost of the active transponders used by almost every other competitor) is a key factor in our success. The long-range nature of our radio network (up to 15 miles) also impacts this equation by lowering the infrastructure required for operation.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Accuracy and Reliability</w:t>
            </w:r>
            <w:r>
              <w:rPr>
                <w:rFonts w:ascii="Times New Roman;Times;Serif" w:hAnsi="Times New Roman;Times;Serif"/>
              </w:rPr>
              <w:t> — many competitors advertise pinpoint location accuracy to win customers. However, most processes do not need location accuracy better than a couple of meters to direct and execute their operations. What is more important for the enterprise, is the reliability of the identification of the asset. Since our patented mesh system can normally identify the presence of an asset at two sigma (95%) for very minimal cost or three sigma (99.7%) at a somewhat higher cost, we are in an enviable market leadership position relative to customer need.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Support Services</w:t>
            </w:r>
            <w:r>
              <w:rPr>
                <w:rFonts w:ascii="Times New Roman;Times;Serif" w:hAnsi="Times New Roman;Times;Serif"/>
              </w:rPr>
              <w:t> — The processes that we impact are critical to the functioning of an enterprise. To commit to this new technology, users need to know they will have support when things inevitably go wrong. Use of an extensive channel partner network means they will have a trusted local partner to assist them, with a powerful technology vendor behind them. Backing the channel with high-availability support lines and customer service is essential.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Friendly country sourcing </w:t>
            </w:r>
            <w:r>
              <w:rPr>
                <w:rFonts w:ascii="Times New Roman;Times;Serif" w:hAnsi="Times New Roman;Times;Serif"/>
              </w:rPr>
              <w:t>— So many competitors rely on Chinese or Taiwan sourcing, excluding them from consideration for USA Government or Military contracts and making them less desirable for private sector selection. Sourcing from DFAR compliant countries and making our core components in the USA positions us particularly well for the crucial US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these factors, we believe we are positioned favorably against our competitors. However, some of our competitors have substantially greater financial resources, greater brand recognition, larger sales forces and marketing budgets, as well as broader distribution networks. Large corporations may be able to utilize their distribution networks and existing relationships to offer new solutions in addition to solutions already being provided to customers. We expect additional competition as our market grows and rapidly changes, and we may choose to enter or expand into new markets as 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pursue the following growth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Focused Customer Acquisition:  </w:t>
      </w:r>
      <w:r>
        <w:rPr>
          <w:rFonts w:ascii="Times New Roman;Times;Serif" w:hAnsi="Times New Roman;Times;Serif"/>
          <w:b w:val="false"/>
          <w:i w:val="false"/>
          <w:caps w:val="false"/>
          <w:smallCaps w:val="false"/>
          <w:sz w:val="20"/>
        </w:rPr>
        <w:t>With a rapidly digitizing market, we believe that there is a significant opportunity to continue to grow our customer base as we promote our capabilities. We plan to continually invest in our sales and marketing coverage, including channel partners, and leverage our go-to-market model to continue acquiring new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Expand Within Our Existing Customer Base.  </w:t>
      </w:r>
      <w:r>
        <w:rPr>
          <w:rFonts w:ascii="Times New Roman;Times;Serif" w:hAnsi="Times New Roman;Times;Serif"/>
          <w:b w:val="false"/>
          <w:i w:val="false"/>
          <w:caps w:val="false"/>
          <w:smallCaps w:val="false"/>
          <w:sz w:val="20"/>
        </w:rPr>
        <w:t>Once we solve the first problem for our customers, we see a significant opportunity to expand application adoption within that same account. This includes increasing the number of physical assets enrolled as well as expanding across our customers’ multiple sites and divisions.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Customer-centric Innovation and Rapid Product Releases.  </w:t>
      </w:r>
      <w:r>
        <w:rPr>
          <w:rFonts w:ascii="Times New Roman;Times;Serif" w:hAnsi="Times New Roman;Times;Serif"/>
          <w:b w:val="false"/>
          <w:i w:val="false"/>
          <w:caps w:val="false"/>
          <w:smallCaps w:val="false"/>
          <w:sz w:val="20"/>
        </w:rPr>
        <w:t>Our architecture was designed as a platform from the beginning to enable fast turns and parallel development. This means we can move at a faster cadence than anyone else in bringing enhanced products to market and in enhancing our products as customer needs emerge. Our goal is to continue to add market-driven capabilities and product features on at least a quarterly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Channel development.  </w:t>
      </w:r>
      <w:r>
        <w:rPr>
          <w:rFonts w:ascii="Times New Roman;Times;Serif" w:hAnsi="Times New Roman;Times;Serif"/>
          <w:b w:val="false"/>
          <w:i w:val="false"/>
          <w:caps w:val="false"/>
          <w:smallCaps w:val="false"/>
          <w:sz w:val="20"/>
        </w:rPr>
        <w:t>Our vision is to be a channel focused company. Rapid acquisition of targeted channel partners in all of the global markets will be a primary metric. Our unique technology, very attractive commercial model, as well as the training and support capability we offer will drive channel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Expand Technology Partnerships and Integrations.  </w:t>
      </w:r>
      <w:r>
        <w:rPr>
          <w:rFonts w:ascii="Times New Roman;Times;Serif" w:hAnsi="Times New Roman;Times;Serif"/>
          <w:b w:val="false"/>
          <w:i w:val="false"/>
          <w:caps w:val="false"/>
          <w:smallCaps w:val="false"/>
          <w:sz w:val="20"/>
        </w:rPr>
        <w:t>Our use of COTS devices and integration with existing software for many of our solutions makes us useful collaborators in our markets. We leverage the combined expertise of multiple partners, each looking at specific technical and commercial areas to ensure we are at the forefront. This solutions stance also enables commercial growth, as we are referenced into accounts and opportunities by our partners. Our backend software integrations are especially important here. Continued growth in integrations will strengthen our ecosystem, further increasing the opportunity to attract customers that prioritize interoperability with their existing applications. We also believe that additional partnerships will further enhance our distribution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Expand Internationally.  </w:t>
      </w:r>
      <w:r>
        <w:rPr>
          <w:rFonts w:ascii="Times New Roman;Times;Serif" w:hAnsi="Times New Roman;Times;Serif"/>
          <w:b w:val="false"/>
          <w:i w:val="false"/>
          <w:caps w:val="false"/>
          <w:smallCaps w:val="false"/>
          <w:sz w:val="20"/>
        </w:rPr>
        <w:t>A key focus of our company is to continue to expand our global reach. In the short term we are already expanding channel in Europe and expect to form a sales company in Southern Germany or Northern Switzerland next year. To support our offshore engineering team, add customer support capability and some sales opportunities already emerging in the region, we also plan to form an Indian subsidiary in 2025. Note that our product platforms were designed from the outset to meet international standards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Monetizing data streams.  </w:t>
      </w:r>
      <w:r>
        <w:rPr>
          <w:rFonts w:ascii="Times New Roman;Times;Serif" w:hAnsi="Times New Roman;Times;Serif"/>
          <w:b w:val="false"/>
          <w:i w:val="false"/>
          <w:caps w:val="false"/>
          <w:smallCaps w:val="false"/>
          <w:sz w:val="20"/>
        </w:rPr>
        <w:t>As a data producer, the company has access to valuable data that is of interest to industry analysts, financial markets, insurance providers, Equipment OEMs, regulatory bodies and many other stakeholders. Current EULAs and contracts allow the company to use non-PII data for any purpose, including for sale. This emerging opportunity to monetize the data streams can be significant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Acquisitions.  </w:t>
      </w:r>
      <w:r>
        <w:rPr>
          <w:rFonts w:ascii="Times New Roman;Times;Serif" w:hAnsi="Times New Roman;Times;Serif"/>
          <w:b w:val="false"/>
          <w:i w:val="false"/>
          <w:caps w:val="false"/>
          <w:smallCaps w:val="false"/>
          <w:sz w:val="20"/>
        </w:rPr>
        <w:t>Note that it is likely that we will also look to accelerate growth by acquisition. Potential targets are being evaluated based on the extent to which they can help us in one or more of the strategies’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 Factors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numerous risks and uncertainties, including those highlighted in the section titled “Risk Factors”. These risks include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have a history of operating losses as we have built our technology and market position, and we may not be able to achieve or sustain profitability on a consistent basis for an extended period of time.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rapid growth makes it difficult to evaluate future prospects and increases the risk that we will not continue to grow at or near projected rates. Forecasts may be unreliable.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While this has not happened in our history to date, our emerging technology may encounter failures, up to and including broad recalls, as we continue to product maturity and beyond. With this comes the threat of financial penalties and legal action from customers.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Regulatory uncertainty, particularly in the AI space, makes it difficult to anticipate potential impacts on the business of the company.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IoT and AI spaces already have a history of IP challenges and litigation. Our patents may be challenged, and suits may be brought against us, especially as we gain momentum and public success. This may result in unexpected legal costs, settlements, license fees and barriers to growth.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Material Supply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agreements in place with Wiliot, the company which provides our chip and passive labels for tracking and ARSHON, the company which helped create our initial PCB board. However, the remaining individual components are purchased using purchase orders and are not yet subject to supplier agreements. Following our initial production runs, we plan to implement a dual source policy for our components wherever possible so we’re not reliant on one provider. For example, we are ordering PCB boards from both AET and ARSHON. We’re ordering chips from Wiliot and from Identiv. Identiv is recognized as one of the world’s largest producers of specialty RFID tags, inlays and labels. In fact, Identiv is the main supplier for Wiliot.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between CID Holdco, Inc. (Client) and Arshon Technology (Contractor) outlines several material terms, including the rights and obligations of both parties, as well as termination and payment provisions. The Contractor is responsible for providing services such as designing and developing Perth PCBs, including schematics, prototypes, production boards, and test jigs. Deliverables include Gerber files, BOM, schematics, and PCBs. These services are to be performed independently, with the Contractor taking responsibility for reporting compensation as income and complying with all applicable laws. The Client is obligated to provide payments as outlined in the Statement of Work (SOW) and reimburse pre-approved travel and related expenses. Intellectual property rights for all deliverables created during the performance of services are assigned to the Client, and the Contractor is required to maintain confidentiality of all Client-provided information, returning or destroying such information upon termination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may be terminated for breach if the defaulting party does not remedy the breach within 10 days of notice. Additionally, it can be terminated immediately in cases involving fraud, misconduct, tax violations, or bankruptcy. Either party may also terminate the agreement for convenience with at least 10 days’ written notice, and the agreement automatically terminates if the Deel platform terms are terminated or if either party loses access to Deel. Upon termination, the Contractor is required to return all work products and confidential information, while the Client must pay any accrued but unpaid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of the agreement between Wiliot Ltd. and CID Holdco Inc. dba Dot Ai Corporation (the “Partner”) include key rights, obligations, termination provisions, and payment terms. Under the agreement, Wiliot grants the Partner non-exclusive rights to promote, market, and resell Wiliot’s IoT Pixels, Hardware, and Cloud subscriptions as part of an Integrated Solution. The Partner also has the right to provide professional services related to Wiliot’s products. The Partner is required to maintain certification and compliance with integration requirements while ensuring customer relationships align with the agreement’s terms. Intellectual property rights remain with Wiliot for its products and solutions, while the Partner retains rights to its own developments based on Wiliot’s intellectual property with proper attribution.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can be terminated under several conditions, including mutual convenience with 90 days’ notice, material breach not remedied within 30 days, insolvency, or bankruptcy. Upon termination, the Partner must cease use of Wiliot’s branding and fulfill existing purchase orders. Wiliot retains discretion over customer approvals and the supply chain, and the Partner cannot market or distribute Wiliot products outside the agreed-upon territory and vertical without prior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provisions include milestone-based invoicing, with 50% due upon purchase order acceptance and the remainder upon delivery. Wiliot Cloud subscriptions are billed monthly or annually, with fees based on the chosen functionalities. Payments must be made in U.S. dollars and within specified timeframes, and are non-refundable. Pricing adjustments require 30 days’ notice, and taxes and additional charges are the Partner’s responsibility. Overall, the agreement emphasizes a collaborative yet clearly delineated partnership, protecting both parties’ intellectual property and operational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under the agreement are milestone-based, tied to the completion of specific deliverables as outlined in the SOW. The Client is also responsible for reimbursing reasonable, pre-approved expenses incurred by the Contractor during service performance. All payments are processed through the Deel platform in accordance with Deel’s terms and conditions, ensuring compliance with their payment facilitation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headquartered in Las Vegas, Nevada, where we also host a Customer Experience Center in the warehouse area of one of our channel partners. Our management and administrative staff are in Bethesda, MD where we maintain an office for east coast customer engagement, government meetings and supporting lobbying activity. Our embedded development team and DFM capability is built around our CTO in Worcester, MA and our core software team is in Bangalore India. At the time of this filing, we are in the process of setting up our manufacturing subsidiary with assembly and test lines in Puerto Rico.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75"/>
        <w:gridCol w:w="60"/>
        <w:gridCol w:w="1526"/>
        <w:gridCol w:w="60"/>
        <w:gridCol w:w="1704"/>
        <w:gridCol w:w="60"/>
        <w:gridCol w:w="1574"/>
        <w:gridCol w:w="60"/>
        <w:gridCol w:w="1315"/>
        <w:gridCol w:w="60"/>
        <w:gridCol w:w="1424"/>
        <w:gridCol w:w="60"/>
        <w:gridCol w:w="1127"/>
      </w:tblGrid>
      <w:tr>
        <w:trPr/>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6"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Admin</w:t>
            </w:r>
          </w:p>
        </w:tc>
        <w:tc>
          <w:tcPr>
            <w:tcW w:w="60" w:type="dxa"/>
            <w:tcBorders/>
            <w:shd w:fill="FFFFFF" w:val="clear"/>
            <w:vAlign w:val="center"/>
          </w:tcPr>
          <w:p>
            <w:pPr>
              <w:pStyle w:val="TableContents"/>
              <w:bidi w:val="0"/>
              <w:spacing w:before="0" w:after="283"/>
              <w:jc w:val="left"/>
              <w:rPr/>
            </w:pPr>
            <w:r>
              <w:rPr/>
              <w:t> </w:t>
            </w:r>
          </w:p>
        </w:tc>
        <w:tc>
          <w:tcPr>
            <w:tcW w:w="1704"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Corporate HQ</w:t>
            </w:r>
          </w:p>
        </w:tc>
        <w:tc>
          <w:tcPr>
            <w:tcW w:w="60" w:type="dxa"/>
            <w:tcBorders/>
            <w:shd w:fill="FFFFFF" w:val="clear"/>
            <w:vAlign w:val="center"/>
          </w:tcPr>
          <w:p>
            <w:pPr>
              <w:pStyle w:val="TableContents"/>
              <w:bidi w:val="0"/>
              <w:spacing w:before="0" w:after="283"/>
              <w:jc w:val="left"/>
              <w:rPr/>
            </w:pPr>
            <w:r>
              <w:rPr/>
              <w:t> </w:t>
            </w:r>
          </w:p>
        </w:tc>
        <w:tc>
          <w:tcPr>
            <w:tcW w:w="1574"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Systems Lab</w:t>
            </w:r>
          </w:p>
        </w:tc>
        <w:tc>
          <w:tcPr>
            <w:tcW w:w="60" w:type="dxa"/>
            <w:tcBorders/>
            <w:shd w:fill="FFFFFF" w:val="clear"/>
            <w:vAlign w:val="center"/>
          </w:tcPr>
          <w:p>
            <w:pPr>
              <w:pStyle w:val="TableContents"/>
              <w:bidi w:val="0"/>
              <w:spacing w:before="0" w:after="283"/>
              <w:jc w:val="left"/>
              <w:rPr/>
            </w:pPr>
            <w:r>
              <w:rPr/>
              <w:t> </w:t>
            </w:r>
          </w:p>
        </w:tc>
        <w:tc>
          <w:tcPr>
            <w:tcW w:w="131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Assembly &amp;</w:t>
              <w:br/>
              <w:t>Test</w:t>
            </w:r>
          </w:p>
        </w:tc>
        <w:tc>
          <w:tcPr>
            <w:tcW w:w="60" w:type="dxa"/>
            <w:tcBorders/>
            <w:shd w:fill="FFFFFF" w:val="clear"/>
            <w:vAlign w:val="center"/>
          </w:tcPr>
          <w:p>
            <w:pPr>
              <w:pStyle w:val="TableContents"/>
              <w:bidi w:val="0"/>
              <w:spacing w:before="0" w:after="283"/>
              <w:jc w:val="left"/>
              <w:rPr/>
            </w:pPr>
            <w:r>
              <w:rPr/>
              <w:t> </w:t>
            </w:r>
          </w:p>
        </w:tc>
        <w:tc>
          <w:tcPr>
            <w:tcW w:w="1424"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EU</w:t>
              <w:br/>
              <w:t>Subsidiary</w:t>
            </w:r>
          </w:p>
        </w:tc>
        <w:tc>
          <w:tcPr>
            <w:tcW w:w="60" w:type="dxa"/>
            <w:tcBorders/>
            <w:shd w:fill="FFFFFF" w:val="clear"/>
            <w:vAlign w:val="center"/>
          </w:tcPr>
          <w:p>
            <w:pPr>
              <w:pStyle w:val="TableContents"/>
              <w:bidi w:val="0"/>
              <w:spacing w:before="0" w:after="283"/>
              <w:jc w:val="left"/>
              <w:rPr/>
            </w:pPr>
            <w:r>
              <w:rPr/>
              <w:t> </w:t>
            </w:r>
          </w:p>
        </w:tc>
        <w:tc>
          <w:tcPr>
            <w:tcW w:w="1127"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India</w:t>
              <w:br/>
              <w:t>Subsidiary</w:t>
            </w:r>
          </w:p>
        </w:tc>
      </w:tr>
      <w:tr>
        <w:trPr/>
        <w:tc>
          <w:tcPr>
            <w:tcW w:w="11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Location</w:t>
            </w:r>
          </w:p>
        </w:tc>
        <w:tc>
          <w:tcPr>
            <w:tcW w:w="60"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Bethesda, Maryland</w:t>
            </w:r>
          </w:p>
        </w:tc>
        <w:tc>
          <w:tcPr>
            <w:tcW w:w="60"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Las Vegas</w:t>
              <w:br/>
              <w:t>Nevada</w:t>
            </w:r>
          </w:p>
        </w:tc>
        <w:tc>
          <w:tcPr>
            <w:tcW w:w="60" w:type="dxa"/>
            <w:tcBorders/>
            <w:shd w:fill="FFFFFF" w:val="clear"/>
            <w:vAlign w:val="center"/>
          </w:tcPr>
          <w:p>
            <w:pPr>
              <w:pStyle w:val="TableContents"/>
              <w:bidi w:val="0"/>
              <w:spacing w:before="0" w:after="283"/>
              <w:jc w:val="left"/>
              <w:rPr/>
            </w:pPr>
            <w:r>
              <w:rPr/>
              <w:t> </w:t>
            </w:r>
          </w:p>
        </w:tc>
        <w:tc>
          <w:tcPr>
            <w:tcW w:w="157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Worcester Massachusetts</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Manati</w:t>
              <w:br/>
              <w:t>Puerto Rico</w:t>
            </w:r>
          </w:p>
        </w:tc>
        <w:tc>
          <w:tcPr>
            <w:tcW w:w="60"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Germany or Switzerland</w:t>
            </w:r>
          </w:p>
        </w:tc>
        <w:tc>
          <w:tcPr>
            <w:tcW w:w="60"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Bangalore India</w:t>
            </w:r>
          </w:p>
        </w:tc>
      </w:tr>
      <w:tr>
        <w:trPr/>
        <w:tc>
          <w:tcPr>
            <w:tcW w:w="11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Size (sq ft)</w:t>
            </w:r>
          </w:p>
        </w:tc>
        <w:tc>
          <w:tcPr>
            <w:tcW w:w="60"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2,969</w:t>
            </w:r>
          </w:p>
        </w:tc>
        <w:tc>
          <w:tcPr>
            <w:tcW w:w="60"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2,000</w:t>
            </w:r>
          </w:p>
        </w:tc>
        <w:tc>
          <w:tcPr>
            <w:tcW w:w="60" w:type="dxa"/>
            <w:tcBorders/>
            <w:shd w:fill="FFFFFF" w:val="clear"/>
            <w:vAlign w:val="center"/>
          </w:tcPr>
          <w:p>
            <w:pPr>
              <w:pStyle w:val="TableContents"/>
              <w:bidi w:val="0"/>
              <w:spacing w:before="0" w:after="283"/>
              <w:jc w:val="left"/>
              <w:rPr/>
            </w:pPr>
            <w:r>
              <w:rPr/>
              <w:t> </w:t>
            </w:r>
          </w:p>
        </w:tc>
        <w:tc>
          <w:tcPr>
            <w:tcW w:w="157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600</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800</w:t>
            </w:r>
          </w:p>
        </w:tc>
        <w:tc>
          <w:tcPr>
            <w:tcW w:w="60"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center"/>
              <w:rPr/>
            </w:pPr>
            <w:r>
              <w:rPr/>
              <w:t> </w:t>
            </w:r>
          </w:p>
        </w:tc>
      </w:tr>
      <w:tr>
        <w:trPr/>
        <w:tc>
          <w:tcPr>
            <w:tcW w:w="11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Terms</w:t>
            </w:r>
          </w:p>
        </w:tc>
        <w:tc>
          <w:tcPr>
            <w:tcW w:w="60"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 months</w:t>
            </w:r>
          </w:p>
        </w:tc>
        <w:tc>
          <w:tcPr>
            <w:tcW w:w="60"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annual sub-lease</w:t>
            </w:r>
          </w:p>
        </w:tc>
        <w:tc>
          <w:tcPr>
            <w:tcW w:w="60" w:type="dxa"/>
            <w:tcBorders/>
            <w:shd w:fill="FFFFFF" w:val="clear"/>
            <w:vAlign w:val="center"/>
          </w:tcPr>
          <w:p>
            <w:pPr>
              <w:pStyle w:val="TableContents"/>
              <w:bidi w:val="0"/>
              <w:spacing w:before="0" w:after="283"/>
              <w:jc w:val="left"/>
              <w:rPr/>
            </w:pPr>
            <w:r>
              <w:rPr/>
              <w:t> </w:t>
            </w:r>
          </w:p>
        </w:tc>
        <w:tc>
          <w:tcPr>
            <w:tcW w:w="157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monthly lease</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monthly sub-lease</w:t>
            </w:r>
          </w:p>
        </w:tc>
        <w:tc>
          <w:tcPr>
            <w:tcW w:w="60" w:type="dxa"/>
            <w:tcBorders/>
            <w:shd w:fill="FFFFFF" w:val="clear"/>
            <w:vAlign w:val="center"/>
          </w:tcPr>
          <w:p>
            <w:pPr>
              <w:pStyle w:val="TableContents"/>
              <w:bidi w:val="0"/>
              <w:spacing w:before="0" w:after="283"/>
              <w:jc w:val="left"/>
              <w:rPr/>
            </w:pPr>
            <w:r>
              <w:rPr/>
              <w:t> </w:t>
            </w:r>
          </w:p>
        </w:tc>
        <w:tc>
          <w:tcPr>
            <w:tcW w:w="2611" w:type="dxa"/>
            <w:gridSpan w:val="3"/>
            <w:tcBorders/>
            <w:shd w:fill="FFFFFF" w:val="clear"/>
            <w:vAlign w:val="center"/>
          </w:tcPr>
          <w:p>
            <w:pPr>
              <w:pStyle w:val="TableContents"/>
              <w:bidi w:val="0"/>
              <w:spacing w:before="0" w:after="283"/>
              <w:jc w:val="center"/>
              <w:rPr/>
            </w:pPr>
            <w:r>
              <w:rPr/>
              <w:t>TBD</w:t>
            </w:r>
          </w:p>
        </w:tc>
      </w:tr>
      <w:tr>
        <w:trPr/>
        <w:tc>
          <w:tcPr>
            <w:tcW w:w="11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Lessor</w:t>
            </w:r>
          </w:p>
        </w:tc>
        <w:tc>
          <w:tcPr>
            <w:tcW w:w="60"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IN-REL 7500 OGR, LLC</w:t>
            </w:r>
          </w:p>
        </w:tc>
        <w:tc>
          <w:tcPr>
            <w:tcW w:w="60"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POPE TECHNOLOGIES</w:t>
            </w:r>
          </w:p>
        </w:tc>
        <w:tc>
          <w:tcPr>
            <w:tcW w:w="60" w:type="dxa"/>
            <w:tcBorders/>
            <w:shd w:fill="FFFFFF" w:val="clear"/>
            <w:vAlign w:val="center"/>
          </w:tcPr>
          <w:p>
            <w:pPr>
              <w:pStyle w:val="TableContents"/>
              <w:bidi w:val="0"/>
              <w:spacing w:before="0" w:after="283"/>
              <w:jc w:val="left"/>
              <w:rPr/>
            </w:pPr>
            <w:r>
              <w:rPr/>
              <w:t> </w:t>
            </w:r>
          </w:p>
        </w:tc>
        <w:tc>
          <w:tcPr>
            <w:tcW w:w="157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WORCLAB</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ENZYMATIC</w:t>
            </w:r>
          </w:p>
        </w:tc>
        <w:tc>
          <w:tcPr>
            <w:tcW w:w="60"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center"/>
              <w:rPr/>
            </w:pPr>
            <w:r>
              <w:rPr/>
              <w:t> </w:t>
            </w:r>
          </w:p>
        </w:tc>
      </w:tr>
      <w:tr>
        <w:trPr/>
        <w:tc>
          <w:tcPr>
            <w:tcW w:w="11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Monthly Cost</w:t>
            </w:r>
          </w:p>
        </w:tc>
        <w:tc>
          <w:tcPr>
            <w:tcW w:w="60"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$7,051.38</w:t>
            </w:r>
          </w:p>
        </w:tc>
        <w:tc>
          <w:tcPr>
            <w:tcW w:w="60"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$3,500</w:t>
            </w:r>
          </w:p>
        </w:tc>
        <w:tc>
          <w:tcPr>
            <w:tcW w:w="60" w:type="dxa"/>
            <w:tcBorders/>
            <w:shd w:fill="FFFFFF" w:val="clear"/>
            <w:vAlign w:val="center"/>
          </w:tcPr>
          <w:p>
            <w:pPr>
              <w:pStyle w:val="TableContents"/>
              <w:bidi w:val="0"/>
              <w:spacing w:before="0" w:after="283"/>
              <w:jc w:val="left"/>
              <w:rPr/>
            </w:pPr>
            <w:r>
              <w:rPr/>
              <w:t> </w:t>
            </w:r>
          </w:p>
        </w:tc>
        <w:tc>
          <w:tcPr>
            <w:tcW w:w="157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$650</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$1,250</w:t>
            </w:r>
          </w:p>
        </w:tc>
        <w:tc>
          <w:tcPr>
            <w:tcW w:w="60"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any real property. We believe that these facilities are suitable to meet our needs in the short term, and that, when needed, suitable additional or alternative space will be available to accommodate any expansion of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rights are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offerings are equally important to establishing and maintaining our technology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control access to and use of our proprietary technology and other confidential information through the use of internal and external controls, including contractual protections with employees, contractors, customers and partners. We generally require our employees, consultants and other third parties to enter into confidentiality and proprietary rights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 See the section titled “</w:t>
      </w:r>
      <w:r>
        <w:rPr>
          <w:rFonts w:ascii="Times New Roman;Times;Serif" w:hAnsi="Times New Roman;Times;Serif"/>
          <w:b w:val="false"/>
          <w:i/>
          <w:caps w:val="false"/>
          <w:smallCaps w:val="false"/>
          <w:sz w:val="20"/>
        </w:rPr>
        <w:t>Risk Factors — Intellectual Property</w:t>
      </w:r>
      <w:r>
        <w:rPr>
          <w:rFonts w:ascii="Times New Roman;Times;Serif" w:hAnsi="Times New Roman;Times;Serif"/>
          <w:b w:val="false"/>
          <w:i w:val="false"/>
          <w:caps w:val="false"/>
          <w:smallCaps w:val="false"/>
          <w:sz w:val="20"/>
        </w:rPr>
        <w:t>” for a discussion of risks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wide variety of laws and regulations in the United States and other jurisdictions and devote considerable resources to compliance with these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and regulations governing issues such as privacy, data security, telecommunications, the use of biometric data, labor and employment, anti-discrimination, whistleblowing and worker confidentiality obligations, product liability, consumer protection and warnings, marketing, taxation, competition, arbitration agreements and class action waiver provisions, and terms of service, among other issues. We could become subject to additional legal or regulatory requirements if laws, regulations, or guidance change in the jurisdictions in which we operate. This could include the need to obtain new and different types of licenses or certifications to offer certain products or functionalities. Overall, we are committed to complying with, and helping our customers comply with, applicable regulations and requirements, and we will continue to devote significant internal resources to these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w:t>
      </w:r>
      <w:r>
        <w:rPr>
          <w:rFonts w:ascii="Times New Roman;Times;Serif" w:hAnsi="Times New Roman;Times;Serif"/>
          <w:b w:val="false"/>
          <w:i/>
          <w:caps w:val="false"/>
          <w:smallCaps w:val="false"/>
          <w:sz w:val="20"/>
        </w:rPr>
        <w:t>Risk Factors — Risks Related to Government Regulation</w:t>
      </w:r>
      <w:r>
        <w:rPr>
          <w:rFonts w:ascii="Times New Roman;Times;Serif" w:hAnsi="Times New Roman;Times;Serif"/>
          <w:b w:val="false"/>
          <w:i w:val="false"/>
          <w:caps w:val="false"/>
          <w:smallCaps w:val="false"/>
          <w:sz w:val="20"/>
        </w:rPr>
        <w:t>” for additional information about the laws and regulations to which we are subject and the risks to our business associated with such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Protection and Privacy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dedicated to protecting and securing the data of our customers as part of our overall data protection and privacy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privacy and security measures that we incorporate into the design, engineering, and testing processes for our solution, we have company-wide policies that describe how we collect, use, protect and disclose data. We provide ongoing training to our employees to appropriately handle and secure data. We are also able to assist our customers in demonstrating their compliance with applicable data protection and privacy regulations through the use of template accountability documentation (e.g., data protection impact assessments and supporting policies), which can be configured and tailored by customers to address their particular use cases and organizational requirements. We offer EU Model Clauses, also known as Standard Contractual Clauses, for the purpose of helping enable our customers’ continued compliance with the changing regulatory landscape in connection with transferring personal data subject to the GDPR to third countries that have not been found to provide adequate protection to such personal data, including the United States, highlighting a commitment to protect personal information in accordance with a set of privacy principles that offer meaningful privacy protections and recourse for EU individuals. We also maintain a self-certification under EU-US and Swiss-US Privacy Shield. We hold our service providers and sub processors to the same high data-protection and privacy standards to which we hold ourselves, including through contractual commitments and periodic reviews and audits.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w:t>
      </w:r>
      <w:r>
        <w:rPr>
          <w:rFonts w:ascii="Times New Roman;Times;Serif" w:hAnsi="Times New Roman;Times;Serif"/>
          <w:b w:val="false"/>
          <w:i/>
          <w:caps w:val="false"/>
          <w:smallCaps w:val="false"/>
          <w:sz w:val="20"/>
        </w:rPr>
        <w:t>Risk Factors — Risks Related to Government Regulation</w:t>
      </w:r>
      <w:r>
        <w:rPr>
          <w:rFonts w:ascii="Times New Roman;Times;Serif" w:hAnsi="Times New Roman;Times;Serif"/>
          <w:b w:val="false"/>
          <w:i w:val="false"/>
          <w:caps w:val="false"/>
          <w:smallCaps w:val="false"/>
          <w:sz w:val="20"/>
        </w:rPr>
        <w:t>” for additional information about the laws and regulations to which we are subject and the risks to our business associated with such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litigation or other legal proceedings. Other than as described below,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been made aware of a complaint (the “Complaint”) filed by William Reny (“Plaintiff”), a greater than ten percent (10%) holder of the Company’s outstanding common stock, par value $0.001 per share, against SEE ID, Charles Maddox and Ed Nabrotzky, each a director of SEE ID, and Does 1-20 (collectively with SEE ID, Mr. Maddox and Mr. Nabrotzky, the “Defendants”), in the District Court of Clark County, Nevada.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Complaint alleges, among other things, (a) breach of Plaintiff’s employment agreement, and an implied covenant of good faith and fair dealing in respect thereof, by SEE ID by (i) terminating Mr. Reny’s employment for “cause,” (ii) not paying Plaintiff certain compensation and benefits, (iii) not permitting Plaintiff to transfer shares to a third party, and (iv) otherwise harming Plaintiff; (b) tortious interference with a contract, tortious interference with prospective economic advantage and conspiracy/concert of action by Messrs. Maddox and Nabrotzky with respect to a contract Plaintiff had with a third party to purchase a home by not permitting Mr. Reny to transfer shares to a third party; (c) conversion, failure to produce business records under NRS chapter 78 or unjust enrichment by one or more of the Defendants. Plaintiff seeks direct damages, interest, statutory damages and penalties, records production, injunctive relief as appropriate, an accounting, reasonable attorney’s fees and costs and punitive damages in excess of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Defendants intend to vigorously defend themselves against this litigation and to pursue available legal remedies. Except as required by law, the Company does not intend to comment further on this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spacing w:before="0" w:after="0"/>
        <w:ind w:left="0" w:right="0" w:hanging="0"/>
        <w:jc w:val="left"/>
        <w:rPr>
          <w:caps w:val="false"/>
          <w:smallCaps w:val="false"/>
        </w:rPr>
      </w:pPr>
      <w:r>
        <w:rPr>
          <w:caps w:val="false"/>
          <w:smallCaps w:val="false"/>
        </w:rPr>
        <w:t> </w:t>
      </w:r>
    </w:p>
    <w:tbl>
      <w:tblPr>
        <w:tblW w:w="6600" w:type="dxa"/>
        <w:jc w:val="left"/>
        <w:tblInd w:w="0" w:type="dxa"/>
        <w:tblLayout w:type="fixed"/>
        <w:tblCellMar>
          <w:top w:w="0" w:type="dxa"/>
          <w:left w:w="0" w:type="dxa"/>
          <w:bottom w:w="30" w:type="dxa"/>
          <w:right w:w="0" w:type="dxa"/>
        </w:tblCellMar>
      </w:tblPr>
      <w:tblGrid>
        <w:gridCol w:w="1940"/>
        <w:gridCol w:w="60"/>
        <w:gridCol w:w="350"/>
        <w:gridCol w:w="60"/>
        <w:gridCol w:w="4190"/>
      </w:tblGrid>
      <w:tr>
        <w:trPr/>
        <w:tc>
          <w:tcPr>
            <w:tcW w:w="1940" w:type="dxa"/>
            <w:tcBorders>
              <w:bottom w:val="single" w:sz="12" w:space="0" w:color="000000"/>
            </w:tcBorders>
            <w:vAlign w:val="center"/>
          </w:tcPr>
          <w:p>
            <w:pPr>
              <w:pStyle w:val="TableContents"/>
              <w:bidi w:val="0"/>
              <w:spacing w:before="0" w:after="283"/>
              <w:jc w:val="left"/>
              <w:rPr>
                <w:b/>
                <w:sz w:val="20"/>
              </w:rPr>
            </w:pPr>
            <w:r>
              <w:rPr>
                <w:b/>
                <w:sz w:val="20"/>
              </w:rPr>
              <w:t>Executive Officers</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Age</w:t>
            </w:r>
          </w:p>
        </w:tc>
        <w:tc>
          <w:tcPr>
            <w:tcW w:w="60" w:type="dxa"/>
            <w:tcBorders/>
            <w:tcMar>
              <w:bottom w:w="0" w:type="dxa"/>
            </w:tcMar>
            <w:vAlign w:val="center"/>
          </w:tcPr>
          <w:p>
            <w:pPr>
              <w:pStyle w:val="TableContents"/>
              <w:bidi w:val="0"/>
              <w:spacing w:before="0" w:after="283"/>
              <w:jc w:val="left"/>
              <w:rPr/>
            </w:pPr>
            <w:r>
              <w:rPr/>
              <w:t> </w:t>
            </w:r>
          </w:p>
        </w:tc>
        <w:tc>
          <w:tcPr>
            <w:tcW w:w="419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Positions</w:t>
            </w:r>
          </w:p>
        </w:tc>
      </w:tr>
      <w:tr>
        <w:trPr/>
        <w:tc>
          <w:tcPr>
            <w:tcW w:w="1940" w:type="dxa"/>
            <w:tcBorders/>
            <w:shd w:fill="CCEEFF" w:val="clear"/>
            <w:tcMar>
              <w:bottom w:w="0" w:type="dxa"/>
            </w:tcMar>
            <w:vAlign w:val="center"/>
          </w:tcPr>
          <w:p>
            <w:pPr>
              <w:pStyle w:val="TableContents"/>
              <w:bidi w:val="0"/>
              <w:spacing w:before="0" w:after="283"/>
              <w:jc w:val="left"/>
              <w:rPr>
                <w:sz w:val="20"/>
              </w:rPr>
            </w:pPr>
            <w:r>
              <w:rPr>
                <w:sz w:val="20"/>
              </w:rPr>
              <w:t>Edmund Nabrotzky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pPr>
            <w:r>
              <w:rPr/>
              <w:t>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90" w:type="dxa"/>
            <w:tcBorders/>
            <w:shd w:fill="CCEEFF" w:val="clear"/>
            <w:tcMar>
              <w:bottom w:w="0" w:type="dxa"/>
            </w:tcMar>
            <w:vAlign w:val="center"/>
          </w:tcPr>
          <w:p>
            <w:pPr>
              <w:pStyle w:val="TableContents"/>
              <w:bidi w:val="0"/>
              <w:spacing w:before="0" w:after="283"/>
              <w:jc w:val="left"/>
              <w:rPr>
                <w:sz w:val="20"/>
              </w:rPr>
            </w:pPr>
            <w:r>
              <w:rPr>
                <w:sz w:val="20"/>
              </w:rPr>
              <w:t>Chief Executive Officer, Director (Class III)</w:t>
            </w:r>
          </w:p>
        </w:tc>
      </w:tr>
      <w:tr>
        <w:trPr/>
        <w:tc>
          <w:tcPr>
            <w:tcW w:w="1940" w:type="dxa"/>
            <w:tcBorders/>
            <w:shd w:fill="FFFFFF" w:val="clear"/>
            <w:tcMar>
              <w:bottom w:w="0" w:type="dxa"/>
            </w:tcMar>
            <w:vAlign w:val="center"/>
          </w:tcPr>
          <w:p>
            <w:pPr>
              <w:pStyle w:val="TableContents"/>
              <w:bidi w:val="0"/>
              <w:spacing w:before="0" w:after="283"/>
              <w:jc w:val="left"/>
              <w:rPr>
                <w:sz w:val="20"/>
              </w:rPr>
            </w:pPr>
            <w:r>
              <w:rPr>
                <w:sz w:val="20"/>
              </w:rPr>
              <w:t>Charles Maddox</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90" w:type="dxa"/>
            <w:tcBorders/>
            <w:shd w:fill="FFFFFF" w:val="clear"/>
            <w:tcMar>
              <w:bottom w:w="0" w:type="dxa"/>
            </w:tcMar>
            <w:vAlign w:val="center"/>
          </w:tcPr>
          <w:p>
            <w:pPr>
              <w:pStyle w:val="TableContents"/>
              <w:bidi w:val="0"/>
              <w:spacing w:before="0" w:after="283"/>
              <w:jc w:val="left"/>
              <w:rPr>
                <w:sz w:val="20"/>
              </w:rPr>
            </w:pPr>
            <w:r>
              <w:rPr>
                <w:sz w:val="20"/>
              </w:rPr>
              <w:t>Chief Financial Officer and Chief Operating Officer</w:t>
            </w:r>
          </w:p>
        </w:tc>
      </w:tr>
      <w:tr>
        <w:trPr/>
        <w:tc>
          <w:tcPr>
            <w:tcW w:w="1940" w:type="dxa"/>
            <w:tcBorders/>
            <w:shd w:fill="CCEEFF" w:val="clear"/>
            <w:tcMar>
              <w:bottom w:w="0" w:type="dxa"/>
            </w:tcMar>
            <w:vAlign w:val="center"/>
          </w:tcPr>
          <w:p>
            <w:pPr>
              <w:pStyle w:val="TableContents"/>
              <w:bidi w:val="0"/>
              <w:spacing w:before="0" w:after="283"/>
              <w:jc w:val="left"/>
              <w:rPr>
                <w:sz w:val="20"/>
              </w:rPr>
            </w:pPr>
            <w:r>
              <w:rPr>
                <w:sz w:val="20"/>
              </w:rPr>
              <w:t>Vijayan Nambiar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pPr>
            <w:r>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90" w:type="dxa"/>
            <w:tcBorders/>
            <w:shd w:fill="CCEEFF" w:val="clear"/>
            <w:tcMar>
              <w:bottom w:w="0" w:type="dxa"/>
            </w:tcMar>
            <w:vAlign w:val="center"/>
          </w:tcPr>
          <w:p>
            <w:pPr>
              <w:pStyle w:val="TableContents"/>
              <w:bidi w:val="0"/>
              <w:spacing w:before="0" w:after="283"/>
              <w:jc w:val="left"/>
              <w:rPr>
                <w:sz w:val="20"/>
              </w:rPr>
            </w:pPr>
            <w:r>
              <w:rPr>
                <w:sz w:val="20"/>
              </w:rPr>
              <w:t>Chief Technology Officer</w:t>
            </w:r>
          </w:p>
        </w:tc>
      </w:tr>
      <w:tr>
        <w:trPr/>
        <w:tc>
          <w:tcPr>
            <w:tcW w:w="1940" w:type="dxa"/>
            <w:tcBorders/>
            <w:shd w:fill="FFFFFF" w:val="clear"/>
            <w:tcMar>
              <w:bottom w:w="0" w:type="dxa"/>
            </w:tcMar>
            <w:vAlign w:val="center"/>
          </w:tcPr>
          <w:p>
            <w:pPr>
              <w:pStyle w:val="TableContents"/>
              <w:bidi w:val="0"/>
              <w:spacing w:before="0" w:after="283"/>
              <w:jc w:val="left"/>
              <w:rPr>
                <w:b/>
                <w:sz w:val="20"/>
              </w:rPr>
            </w:pPr>
            <w:r>
              <w:rPr>
                <w:b/>
                <w:sz w:val="20"/>
              </w:rPr>
              <w:t>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90"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sz w:val="20"/>
              </w:rPr>
            </w:pPr>
            <w:r>
              <w:rPr>
                <w:sz w:val="20"/>
              </w:rPr>
              <w:t>Dr. Sheldon Paul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pPr>
            <w:r>
              <w:rPr/>
              <w:t>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90" w:type="dxa"/>
            <w:tcBorders/>
            <w:shd w:fill="CCEEFF" w:val="clear"/>
            <w:tcMar>
              <w:bottom w:w="0" w:type="dxa"/>
            </w:tcMar>
            <w:vAlign w:val="center"/>
          </w:tcPr>
          <w:p>
            <w:pPr>
              <w:pStyle w:val="TableContents"/>
              <w:bidi w:val="0"/>
              <w:spacing w:before="0" w:after="283"/>
              <w:jc w:val="left"/>
              <w:rPr>
                <w:sz w:val="20"/>
              </w:rPr>
            </w:pPr>
            <w:r>
              <w:rPr>
                <w:sz w:val="20"/>
              </w:rPr>
              <w:t>Director (Class I)</w:t>
            </w:r>
          </w:p>
        </w:tc>
      </w:tr>
      <w:tr>
        <w:trPr/>
        <w:tc>
          <w:tcPr>
            <w:tcW w:w="1940" w:type="dxa"/>
            <w:tcBorders/>
            <w:shd w:fill="FFFFFF" w:val="clear"/>
            <w:tcMar>
              <w:bottom w:w="0" w:type="dxa"/>
            </w:tcMar>
            <w:vAlign w:val="center"/>
          </w:tcPr>
          <w:p>
            <w:pPr>
              <w:pStyle w:val="TableContents"/>
              <w:bidi w:val="0"/>
              <w:spacing w:before="0" w:after="283"/>
              <w:jc w:val="left"/>
              <w:rPr>
                <w:sz w:val="20"/>
              </w:rPr>
            </w:pPr>
            <w:r>
              <w:rPr>
                <w:sz w:val="20"/>
              </w:rPr>
              <w:t>Phyllis Newhouse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90" w:type="dxa"/>
            <w:tcBorders/>
            <w:shd w:fill="FFFFFF" w:val="clear"/>
            <w:tcMar>
              <w:bottom w:w="0" w:type="dxa"/>
            </w:tcMar>
            <w:vAlign w:val="center"/>
          </w:tcPr>
          <w:p>
            <w:pPr>
              <w:pStyle w:val="TableContents"/>
              <w:bidi w:val="0"/>
              <w:spacing w:before="0" w:after="283"/>
              <w:jc w:val="left"/>
              <w:rPr>
                <w:sz w:val="20"/>
              </w:rPr>
            </w:pPr>
            <w:r>
              <w:rPr>
                <w:sz w:val="20"/>
              </w:rPr>
              <w:t>Director (Class I)</w:t>
            </w:r>
          </w:p>
        </w:tc>
      </w:tr>
      <w:tr>
        <w:trPr/>
        <w:tc>
          <w:tcPr>
            <w:tcW w:w="1940" w:type="dxa"/>
            <w:tcBorders/>
            <w:shd w:fill="CCEEFF" w:val="clear"/>
            <w:tcMar>
              <w:bottom w:w="0" w:type="dxa"/>
            </w:tcMar>
            <w:vAlign w:val="center"/>
          </w:tcPr>
          <w:p>
            <w:pPr>
              <w:pStyle w:val="TableContents"/>
              <w:bidi w:val="0"/>
              <w:spacing w:before="0" w:after="283"/>
              <w:jc w:val="left"/>
              <w:rPr>
                <w:sz w:val="20"/>
              </w:rPr>
            </w:pPr>
            <w:r>
              <w:rPr>
                <w:sz w:val="20"/>
              </w:rPr>
              <w:t>Janice Bryant Howroyd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pPr>
            <w:r>
              <w:rPr/>
              <w:t>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90" w:type="dxa"/>
            <w:tcBorders/>
            <w:shd w:fill="CCEEFF" w:val="clear"/>
            <w:tcMar>
              <w:bottom w:w="0" w:type="dxa"/>
            </w:tcMar>
            <w:vAlign w:val="center"/>
          </w:tcPr>
          <w:p>
            <w:pPr>
              <w:pStyle w:val="TableContents"/>
              <w:bidi w:val="0"/>
              <w:spacing w:before="0" w:after="283"/>
              <w:jc w:val="left"/>
              <w:rPr>
                <w:sz w:val="20"/>
              </w:rPr>
            </w:pPr>
            <w:r>
              <w:rPr>
                <w:sz w:val="20"/>
              </w:rPr>
              <w:t>Director (Class II)</w:t>
            </w:r>
          </w:p>
        </w:tc>
      </w:tr>
      <w:tr>
        <w:trPr/>
        <w:tc>
          <w:tcPr>
            <w:tcW w:w="1940" w:type="dxa"/>
            <w:tcBorders/>
            <w:shd w:fill="FFFFFF" w:val="clear"/>
            <w:tcMar>
              <w:bottom w:w="0" w:type="dxa"/>
            </w:tcMar>
            <w:vAlign w:val="center"/>
          </w:tcPr>
          <w:p>
            <w:pPr>
              <w:pStyle w:val="TableContents"/>
              <w:bidi w:val="0"/>
              <w:spacing w:before="0" w:after="283"/>
              <w:jc w:val="left"/>
              <w:rPr>
                <w:sz w:val="20"/>
              </w:rPr>
            </w:pPr>
            <w:r>
              <w:rPr>
                <w:sz w:val="20"/>
              </w:rPr>
              <w:t>Walter Skowronski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90" w:type="dxa"/>
            <w:tcBorders/>
            <w:shd w:fill="FFFFFF" w:val="clear"/>
            <w:tcMar>
              <w:bottom w:w="0" w:type="dxa"/>
            </w:tcMar>
            <w:vAlign w:val="center"/>
          </w:tcPr>
          <w:p>
            <w:pPr>
              <w:pStyle w:val="TableContents"/>
              <w:bidi w:val="0"/>
              <w:spacing w:before="0" w:after="283"/>
              <w:jc w:val="left"/>
              <w:rPr>
                <w:sz w:val="20"/>
              </w:rPr>
            </w:pPr>
            <w:r>
              <w:rPr>
                <w:sz w:val="20"/>
              </w:rPr>
              <w:t>Director (Class II)</w:t>
            </w:r>
          </w:p>
        </w:tc>
      </w:tr>
      <w:tr>
        <w:trPr/>
        <w:tc>
          <w:tcPr>
            <w:tcW w:w="1940" w:type="dxa"/>
            <w:tcBorders/>
            <w:shd w:fill="CCEEFF" w:val="clear"/>
            <w:tcMar>
              <w:bottom w:w="0" w:type="dxa"/>
            </w:tcMar>
            <w:vAlign w:val="center"/>
          </w:tcPr>
          <w:p>
            <w:pPr>
              <w:pStyle w:val="TableContents"/>
              <w:bidi w:val="0"/>
              <w:spacing w:before="0" w:after="283"/>
              <w:jc w:val="left"/>
              <w:rPr>
                <w:sz w:val="20"/>
              </w:rPr>
            </w:pPr>
            <w:r>
              <w:rPr>
                <w:sz w:val="20"/>
              </w:rPr>
              <w:t>Dr. David Carlson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pPr>
            <w:r>
              <w:rPr/>
              <w:t>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90" w:type="dxa"/>
            <w:tcBorders/>
            <w:shd w:fill="CCEEFF" w:val="clear"/>
            <w:tcMar>
              <w:bottom w:w="0" w:type="dxa"/>
            </w:tcMar>
            <w:vAlign w:val="center"/>
          </w:tcPr>
          <w:p>
            <w:pPr>
              <w:pStyle w:val="TableContents"/>
              <w:bidi w:val="0"/>
              <w:spacing w:before="0" w:after="283"/>
              <w:jc w:val="left"/>
              <w:rPr>
                <w:sz w:val="20"/>
              </w:rPr>
            </w:pPr>
            <w:r>
              <w:rPr>
                <w:sz w:val="20"/>
              </w:rPr>
              <w:t>Director (Class III)</w:t>
            </w:r>
          </w:p>
        </w:tc>
      </w:tr>
      <w:tr>
        <w:trPr/>
        <w:tc>
          <w:tcPr>
            <w:tcW w:w="1940" w:type="dxa"/>
            <w:tcBorders/>
            <w:shd w:fill="FFFFFF" w:val="clear"/>
            <w:tcMar>
              <w:bottom w:w="0" w:type="dxa"/>
            </w:tcMar>
            <w:vAlign w:val="center"/>
          </w:tcPr>
          <w:p>
            <w:pPr>
              <w:pStyle w:val="TableContents"/>
              <w:bidi w:val="0"/>
              <w:spacing w:before="0" w:after="283"/>
              <w:jc w:val="left"/>
              <w:rPr>
                <w:sz w:val="20"/>
              </w:rPr>
            </w:pPr>
            <w:r>
              <w:rPr>
                <w:sz w:val="20"/>
              </w:rPr>
              <w:t>Jeff Saling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90" w:type="dxa"/>
            <w:tcBorders/>
            <w:shd w:fill="FFFFFF" w:val="clear"/>
            <w:tcMar>
              <w:bottom w:w="0" w:type="dxa"/>
            </w:tcMar>
            <w:vAlign w:val="center"/>
          </w:tcPr>
          <w:p>
            <w:pPr>
              <w:pStyle w:val="TableContents"/>
              <w:bidi w:val="0"/>
              <w:spacing w:before="0" w:after="283"/>
              <w:jc w:val="left"/>
              <w:rPr>
                <w:sz w:val="20"/>
              </w:rPr>
            </w:pPr>
            <w:r>
              <w:rPr>
                <w:sz w:val="20"/>
              </w:rPr>
              <w:t>Director (Class III)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biographical information about each of the individuals named in the tables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Ed Nabrotzky.  </w:t>
      </w:r>
      <w:r>
        <w:rPr>
          <w:rFonts w:ascii="Times New Roman;Times;Serif" w:hAnsi="Times New Roman;Times;Serif"/>
          <w:b w:val="false"/>
          <w:i w:val="false"/>
          <w:caps w:val="false"/>
          <w:smallCaps w:val="false"/>
          <w:sz w:val="20"/>
        </w:rPr>
        <w:t>Mr. Nabrotzky is the co-founder and Chief Executive Officer of CID Holdco. Mr. Nabrotzky previously served as the President of Litum from January 2022 to August 2022, served as an Adjunct Faculty Member at the Simon Business School, University of Rochester from December 2019 to June 2022, and served as the Director, Sales &amp; Strategy at Panasonic North America from January 2019 to October 2021. From September 2011 to January 2019, Mr. Nabrotzky served as the Chief Solutions Officer at Omni-ID. Mr. Nabrotzky also served as the President of Dynamic e-Horizons Inc. from August 2009 to March 2012. Prior to that, he was with Molex as the Group Product Marketing from January 2006 to December 2009. Mr. Nabrotzky started his career with Woodhead Industries Inc. in April 1998 and served the company until December 2006 as the VP &amp; General Manager. Mr. Nabrotzky is preparing to defend his dissertation in completing a PhD in Technology Management from Indiana State University, an MBA from Ivey Business School at Western University, and a B.Sc. in Computer Science from Western University. Mr. Nabrotzky has been selected to serve as a member of the Board of Directors of the Company because of the perspective and experience he brings as our co-founder and Chief Executive Officer as well as his management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Charlie Maddox.  </w:t>
      </w:r>
      <w:r>
        <w:rPr>
          <w:rFonts w:ascii="Times New Roman;Times;Serif" w:hAnsi="Times New Roman;Times;Serif"/>
          <w:b w:val="false"/>
          <w:i w:val="false"/>
          <w:caps w:val="false"/>
          <w:smallCaps w:val="false"/>
          <w:sz w:val="20"/>
        </w:rPr>
        <w:t>Mr. Maddox serves as the Chief Financial Officer and Chief Operating Officer of CID Holdco. A seasoned entrepreneur and leader, Charlie has co-founded multiple startups valued collectively at over $300M and has raised more than $8M in seed capital for CID Holdco. Leveraging over 20 years of experience in finance, operations, and strategic planning, he has been instrumental in scaling technology-driven businesses and driving operational efficiency as CID Holdco transitions to a publicly traded company. Mr. Maddox holds an MBA from Worcester Polytechnic Institute (WPI) and a B.Sc. in Computer Science from Florida State University (FSU).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his tech career, Charlie served as a USAF C-17 pilot and Director of Operations, managing the continuous global deployment of $11.12B in assets. His disciplined, data-driven leadership style has been honed through years of managing high-stakes operations and advising early-stage companies as an angel investor. At CID Holdco, Charlie aligns operational excellence with long-term strategic goals, ensuring robust financial performance while supporting the company’s innovative plug-and-play tracking solutions and mission to streamline operations through AI-powered insights.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Vijayan Nambiar.  </w:t>
      </w:r>
      <w:r>
        <w:rPr>
          <w:rFonts w:ascii="Times New Roman;Times;Serif" w:hAnsi="Times New Roman;Times;Serif"/>
          <w:b w:val="false"/>
          <w:i w:val="false"/>
          <w:caps w:val="false"/>
          <w:smallCaps w:val="false"/>
          <w:sz w:val="20"/>
        </w:rPr>
        <w:t>Mr. Nambiar is Chief Technology Officer of CID Holdco. Ms. Nambiar brings over 24 years of experience in leading product development from conception to field rollout for a variety of next-gen embedded real-time hardware &amp; cloud solutions. Ms. Nambiar holds a Masters in Computer Science and an MBA, showcasing a solid educational foundation in both technical and business domains. As a former Senior Manager of Strategy at Verizon, Mr. Nambiar managed the 5G device ecosystem and the Fios Wi-Fi router teams. During his tenure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Verizon, Mr. Nambiar successfully shipped over 5 million devices and generated more than $1.5 billion in revenue, underscoring his ability to drive substantial business growth and innovation. Mr. Nambiar’s entrepreneurial spirit is evidenced by his involvement in three startups as part of the founding engineering team. Notably, his work at SimpliVity culminated in a significant achievement when the company was acquired by HP for $650 million. Mr. Nambiar’s deep understanding of the startup environment and strategic execution has been pivotal in driving technological advancements and successful exits.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Jeff Saling</w:t>
      </w:r>
      <w:r>
        <w:rPr>
          <w:rFonts w:ascii="Times New Roman;Times;Serif" w:hAnsi="Times New Roman;Times;Serif"/>
          <w:b w:val="false"/>
          <w:i w:val="false"/>
          <w:caps w:val="false"/>
          <w:smallCaps w:val="false"/>
          <w:sz w:val="20"/>
        </w:rPr>
        <w:t> is a serial entrepreneur, seasoned executive, and prolific investor with over 30 years of experience in launching, scaling, and exiting startups in the SaaS and cloud domains. He is currently the executive director and co-founder of StartUpNV, Nevada’s non-profit statewide startup accelerator, where he leads the vision, strategy, and operations to support and accelerate the growth of Nevada-based startups. Jeff is also an active angel investor and co-president of Sierra Angels, one of the longest running angel groups in the US, and a general partner of 1864 Fund, a seed-stage venture capital fund that invests in high-potential startups outside of traditional venture enclaves. He is passionate about creating a vibrant and diverse startup ecosystem in Nevada, and he leverages his extensive network, expertise, and resources to connect founders with mentors, customers, talent, and capital. In addition, Jeff is an adjunct professor in the College of Engineering at the University of Nevada, Reno, where he teaches entrepreneurship and innovation courses.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Janic Bryant Howroyd</w:t>
      </w:r>
      <w:r>
        <w:rPr>
          <w:rFonts w:ascii="Times New Roman;Times;Serif" w:hAnsi="Times New Roman;Times;Serif"/>
          <w:b w:val="false"/>
          <w:i w:val="false"/>
          <w:caps w:val="false"/>
          <w:smallCaps w:val="false"/>
          <w:sz w:val="20"/>
        </w:rPr>
        <w:t> has more than 40 years of experience as a director and executive of not-for-profit and for profit companies. Since September 1978, Ms. Howroyd has served as the founder and chief executive officer of the ActOne Group, an international talent and technology enterprise focusing on employment, talent management and digital solutions. Ms. Howroyd has served as a board member of ShoulderUp Technology Acquisition Gorp., the Los Angeles Economic Development Corporation, Women’s Business Enterprise National Counsel Global Business Committee, and most recently has joined the global board of directors of United Way. Ms. Howroyd previously served on the Board of Advisors for the White House Initiative on Historically Black Colleges and Universities during the Obama Administration. Ms. Howroyd also served on the Federal Communications Commission’s Advisory Committee on diversity and digital empowerment to encourage new entrepreneurs to create digital enterprises during the first Trump administration. Ms. Howroyd attended North Carolina A&amp;T State University from which she received one of several honorary doctorates she holds. Ms. Howroyd is well-qualified to serve on our Board because of her employment and talent management experience, as well as her extensive leadership roles within government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Sheldon W. Paul</w:t>
      </w:r>
      <w:r>
        <w:rPr>
          <w:rFonts w:ascii="Times New Roman;Times;Serif" w:hAnsi="Times New Roman;Times;Serif"/>
          <w:b w:val="false"/>
          <w:i w:val="false"/>
          <w:caps w:val="false"/>
          <w:smallCaps w:val="false"/>
          <w:sz w:val="20"/>
        </w:rPr>
        <w:t> is an obstetrician-gynecologist in Las Vegas, Nevada and is affiliated with Summerlin Hospital Medical Center. He received his medical degree from University of Nevada Reno School of Medicine and has been in practice for more than 25 years. Dr. Paul has developed, owned and operated multiple clinics over his years of practice. He has also branched into other several other successful businesses and investments, including early investments in Dot Ai. Dr. Paul is a founder and controlling member of Pope Technologies LLC, which is SEE ID’s primary distributor and currently subleases office space to SEE ID. He brings unique practical entrepreneurial experience to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David Carlson</w:t>
      </w:r>
      <w:r>
        <w:rPr>
          <w:rFonts w:ascii="Times New Roman;Times;Serif" w:hAnsi="Times New Roman;Times;Serif"/>
          <w:b w:val="false"/>
          <w:i w:val="false"/>
          <w:caps w:val="false"/>
          <w:smallCaps w:val="false"/>
          <w:sz w:val="20"/>
        </w:rPr>
        <w:t>, DO, MBA has been the Chief Medical Officer in South King County for Virginia Mason Franciscan Health since 2023. He recently served as a medical director for Seamar Community Health Centers in Pierce and Thurston Counties from during 2023. Prior to joining VMFH, Dr. Carlson served as chief physician officer for Multicare from 2017 to 2022, chief physician executive for Hospital Sisters Health System from 2014 to 2017, and chief medical officer for Conemaugh Health System in Johnstown, PA from 2007 to 2014. Previous leadership roles also include Ochsner Clinic Foundation in Baton Rouge, LA; Summit Health System in Chambersburg, PA; and Lovelace Health Systems in Albuquerque, NM. Dr. Carlson is a member and is currently Chairman of the Board for the Physician Insurance Company, and has been a board member of United Way Pierce County since 2018. He has also served on the boards of the Washington Healthcare Alliance and Physicians of Southwest Washington. Dr. Carlson is a board-certified family practice physician, with a subspecialty in geriatrics. He earned his Bachelor of Science degree from Pennsylvania State University, his medical degree from Philadelphia College of Osteopathic Medicine, and his Master of Business Administration from Alvernia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Walter Skowronski</w:t>
      </w:r>
      <w:r>
        <w:rPr>
          <w:rFonts w:ascii="Times New Roman;Times;Serif" w:hAnsi="Times New Roman;Times;Serif"/>
          <w:b w:val="false"/>
          <w:i w:val="false"/>
          <w:caps w:val="false"/>
          <w:smallCaps w:val="false"/>
          <w:sz w:val="20"/>
        </w:rPr>
        <w:t> has more than 40 years of experience as a senior financial executive of NYSE-listed public companies. From July 2023 through December 30, 2024, Mr. Skowronski served as a director of Coliseum Acquisition Corp., which completed a business combination with Rain Enhancement Technologies (NASDAQ: RAIN, RAINW) in December of 2024. From 2003 to his retirement in 2009, Mr. Skowronski served as Senior Vice President of The Boeing Company and President of Boeing Capital Company, a wholly-owned Boeing subsidiary responsible for arranging, structuring and providing financing for Boeing’s commercial airplane and space and defense products and services. While at Boeing, Mr. Skowronski instituted new risk management, customer relations and investor outreach programs. Previously, he served as Senior Vice President of Finance and Treasurer of Boeing from 1999 to 2003. Mr. Skowronski joined Lockheed Corp. in 1990, where he served as Vice President and Treasurer and Vice President of Investor Relations. Mr. Skowronski became Vice President and Treasurer of Lockheed Martin in March 1999 upon the merger of Lockheed Corp. and Martin Marietta Corp. and developed the new finance and treasury function for the organization. Mr. Skowronski is a former director of the National Investor Relations Institute, serving as its chairman and chief executive officer in 1989. He previously served on the board of Physicians Insurance Company and was a member of the board of directors of United States Enrichment Corp. (USEC) from 2011 to the company’s emergence from Chapter 11 bankruptcy in September 2014. He was also the Lockheed Martin-designated director on the board of directors of Calcomp Corp. from 1997 to 1999. Mr. Skowronski holds a Bachelor’s of Electrical Engineering from Northeastern University and a Master’s degree in Corporate Finance from Boston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Phyllis Newhouse</w:t>
      </w:r>
      <w:r>
        <w:rPr>
          <w:rFonts w:ascii="Times New Roman;Times;Serif" w:hAnsi="Times New Roman;Times;Serif"/>
          <w:b w:val="false"/>
          <w:i w:val="false"/>
          <w:caps w:val="false"/>
          <w:smallCaps w:val="false"/>
          <w:sz w:val="20"/>
        </w:rPr>
        <w:t xml:space="preserve"> previously served as Chief Executive Officer of ShoulderUp Technology Acquisition Corp. Ms. Newhouse is known as a pioneer in cybersecurity. Ms. Newhouse is an entrepreneur, retired military senior non-commissioned officer, mentor, founder and Chief Executive Officer of XtremeSolutions, Inc., an Atlanta-based cybersecurity firm (“XSI”), and a founder, Chief Executive Officer and Director of Athena Technology Acquisition Corp., a blank check company focused on identifying acquisitions of business in technology, direct to consumer and fintech industries. While serving in the United States Army on various assignments, Ms. Newhouse focused on national security and worked on several projects, which outlined the Cyber Espionage Task Force. After her service in the army, Ms. Newhouse founded XSI in 2002, which offers a wide range of IT expertise and provides industry leading, state-of-the-art information technology and cybersecurity services and solutions. XSI has employees in 42 states, with 40% of its workforce made up of veterans. In 2019, Ms. Newhouse founded ShoulderUp, a nonprofit dedicated to connecting and supporting women in their entrepreneurial journeys. Ms. Newhouse currently serves on the board of directors of the Technology Association of Georgia, is a member of the Business Executives for National Security, and since April 2021, has served on the Board of Directors of the Sabre Corporation. She also serves on the executive board and is a member of the Women President Organization. Ms. Newhouse also serves on the Board of Directors of Girls Inc., a nonprofit organization that encourages all girls to be “Strong, Smart, and Bold.” Ms. Newhouse received her B.A. in Liberal Arts Science from Saint Leo College in 1986, she is a graduate of the Institute of Entrepreneurial Leadership program sponsored by John F. Kennedy University, and she received an Honorary Doctor of Philosophy from CICA International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any of our executive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affairs are organized under the direction of our board of directors. Our board of directors currently consists of seven members. The primary responsibilities of our board of directors are to provide oversight, strategic guidance, counseling and direction to our management. Our board of directors meets on a regular basis and additionally as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divided into three classes, Class I, Class II and Class III, with members of each class serving staggered three-year terms. Currently, our board of directors is divided into the following classes:</w:t>
      </w:r>
    </w:p>
    <w:p>
      <w:pPr>
        <w:pStyle w:val="TextBody"/>
        <w:bidi w:val="0"/>
        <w:spacing w:before="0" w:after="0"/>
        <w:ind w:left="5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Class I, which consists of Dr. Sheldon Paul and Phyllis Newhouse, whose terms will expire at the first annual meeting of stockholders to be held in 2026;</w:t>
            </w:r>
          </w:p>
        </w:tc>
      </w:tr>
    </w:tbl>
    <w:p>
      <w:pPr>
        <w:pStyle w:val="TextBody"/>
        <w:bidi w:val="0"/>
        <w:spacing w:before="0" w:after="0"/>
        <w:ind w:left="5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Class II, which consists of Janice Bryant Howroyd and Walter Skowronski whose term will expire at the Company’s second annual meeting of stockholders to be held in 2027; and</w:t>
            </w:r>
          </w:p>
        </w:tc>
      </w:tr>
    </w:tbl>
    <w:p>
      <w:pPr>
        <w:pStyle w:val="TextBody"/>
        <w:bidi w:val="0"/>
        <w:spacing w:before="0" w:after="0"/>
        <w:ind w:left="5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Class III, which consists of Edmund Nabrotzky, Dr. David Carlson and Jeff Saling, whose terms will expire at the Company’s third annual meeting of stockholders to be held in 2028.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our board of directors may have the effect of delaying or preventing changes in our control 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adhere to the rules of Nasdaq in determining whether a director is independent. The Board consults with its counsel to ensure that the Board’s determinations are consistent with those rules and all relevant securities and other laws and regulations regarding the independence of directors. The Nasdaq listing standards generally define an “independent director” as a person that, in the opinion of the issuer’s board of directors, has no material relationship with the listed company (either directly or as a partner, stockholder or officer of an organization that has a relationship with the company). The Board has determined that each of the directors on the Board (other than Edmund Nabrotzky) are independent as defined under the listing standards of Nasdaq. Our independent directors will have regularly scheduled meetings at which only independent directors are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 and Role in Risk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oversees the risk management activities designed and implemented by our management. The Board does not anticipate having a standing risk management committee, but rather executes its oversight responsibility both directly and through its standing committees. The Board also considers specific risk topics, including risks associated with our strategic initiatives, business plans and capital structure. Our management, including our executive officers, are primarily responsible for managing the risks associated with operation and business of the company and provide appropriate updates to the Board and the Audit Committee. The Board delegates to the Audit Committee oversight of its risk management process, and our other Board committees also consider risks as they perform their respective committee responsibilities. All board committees report to the Board as appropriate, including, but not limited to, when a matter rises to the level of a material or enterprise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an Audit Committee, a Compensation Committee and a Nominating and Corporate Governance Committee, each of which has the composition and responsibilities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responsible for, among other things: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performance, independence and qualifications of the Company’s independent auditors and determining whether to retain the Company’s existing independent auditors or engage new independent auditors;</w:t>
      </w:r>
    </w:p>
    <w:p>
      <w:pPr>
        <w:pStyle w:val="TextBody"/>
        <w:bidi w:val="0"/>
        <w:spacing w:before="0" w:after="0"/>
        <w:ind w:left="320" w:right="0" w:hanging="360"/>
        <w:jc w:val="both"/>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38"/>
        <w:gridCol w:w="17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both"/>
              <w:rPr/>
            </w:pPr>
            <w:r>
              <w:rPr/>
              <w:t>reviewing the Company’s financial reporting processes and disclosure controls;</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reviewing and approving the engagement of the Company’s independent auditors to perform audit services and any permissible non-audit services;</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reviewing the adequacy and effectiveness of the Company’s internal control policies and procedures, including the responsibilities, budget, staffing and effectiveness of the Company’s internal audit function;</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reviewing with the independent auditors the annual audit plan, including the scope of audit activities and all critical accounting policies and practices to be used by the Company;</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obtaining and reviewing at least annually a report by the Company’s independent auditors describing the independent auditors’ internal quality control procedures and any material issues raised by the most recent internal quality-control review;</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monitoring the rotation of partners of the Company’s independent auditors on the Company’s engagement team as required by law;</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prior to engagement of any independent auditor, and at least annually thereafter, reviewing relationships that may reasonably be thought to bear on their independence, and assessing and otherwise taking the appropriate action to oversee the independence of the Company’s independent auditor;</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reviewing the Company’s annual and quarterly financial statements and reports, including the disclosures contained in the “Management’s Discussion and Analysis of Financial Condition and Results of Operations” section of such periodic reports, and discussing the statements and reports with the Company’s independent auditors and management;</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reviewing with the Company’s independent auditors and management significant issues that arise regarding accounting principles and financial statement presentation and matters concerning the scope, adequacy, and effectiveness of the Company’s financial controls and critical accounting policies;</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reviewing with management and the Company’s auditors any earnings announcements and other public announcements regarding material developments;</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establishing procedures for the receipt, retention and treatment of complaints received by the Company regarding financial controls, accounting, auditing or other matters;</w:t>
            </w:r>
          </w:p>
        </w:tc>
      </w:tr>
    </w:tbl>
    <w:p>
      <w:pPr>
        <w:pStyle w:val="TextBody"/>
        <w:bidi w:val="0"/>
        <w:spacing w:before="0" w:after="0"/>
        <w:ind w:left="320" w:right="0" w:hanging="36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17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both"/>
              <w:rPr/>
            </w:pPr>
            <w:r>
              <w:rPr/>
              <w:t>preparing the report that the SEC requires in the Company’s annual proxy statement;</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reviewing and providing oversight of any related party transactions in accordance with the Company’s related party transaction policy and reviewing and monitoring compliance with legal and regulatory responsibilities, including the Company’s code of ethics;</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reviewing the Company’s major financial risk exposures, including the guidelines and policies to govern the process by which risk assessment and risk management is implemented; and</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reviewing and evaluating on an annual basis the performance of the audit committee and the audit committee charter.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Janice Bryant Howroyd, Walter Skowronski and Dr. David Carlson, with Walter Skowronski serving as the audit committee chair. The Board has affirmatively determined that Janice Bryant Howroyd, Walter Skowronski and Dr. David Carlson, each meet the definition of “independent director” for purposes of serving on the audit committee under Rule 10A-3 of the Exchange Act and the Nasdaq rules. Each member of our Audit Committee also meets the financial literacy requirements of the Nasdaq listing standards. The Board has adopted a written charter for the Audit Committee, which is available on our corporate website. The information contained on our website is not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responsible for, among other things: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reviewing and approving the corporate objectives that pertain to the determination of executive compensation;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and approving the compensation and other terms of employment of the Company’s executive officers;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and approving performance goals and objectives relevant to the compensation of the Company’s executive officers and assessing their performance against these goals and objectives;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making recommendations to the Board regarding the adoption or amendment of equity and cash incentive plans and approving amendments to such plans to the extent authorized by the Board;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and making recommendations to the Board regarding the type and amount of compensation to be paid or awarded to the Company’s non-employee board members;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and assessing the independence of compensation consultants, legal counsel and other advisors as required by Section 10C of the Exchange Act;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administering the Company’s equity incentive plans, to the extent such authority is delegated by the Board;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and approving the terms of any employment agreements, severance arrangements, change in control protections, indemnification agreements and any other material arrangements for the Company’s executive officers;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with management the Company’s disclosures under the caption “Compensation Discussion and Analysis” in the Company’s periodic reports or proxy statements to be filed with the SEC, to the extent such caption is included in any such periodic report or proxy statement;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preparing an annual report on executive compensation that the SEC requires in the Company’s annual proxy statement;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and evaluating on an annual basis the performance of the compensation committee and recommending such changes as deemed necessary with the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Jeff Saling, and Dr. David Carlson, with Jeff Saling serving as chairman. Our board of directors has determined that each of the members of the compensation committee is a non- employee director, as defined in Rule 16b-3 promulgated under the Exchange Act, and satisfies the independence requirements of the Nasdaq. The Board has adopted a written charter for the Compensation Committee, which is available on our corporate website. The information contained on our website is not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is responsible for, among other things: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00"/>
        <w:gridCol w:w="9961"/>
      </w:tblGrid>
      <w:tr>
        <w:trPr/>
        <w:tc>
          <w:tcPr>
            <w:tcW w:w="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identifying, reviewing and making recommendations of candidates to serve on the Board;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evaluating the performance of the Board, committees of the Board and individual directors and determining whether continued service on the Board is appropriate;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5"/>
        <w:gridCol w:w="9930"/>
      </w:tblGrid>
      <w:tr>
        <w:trPr/>
        <w:tc>
          <w:tcPr>
            <w:tcW w:w="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both"/>
              <w:rPr/>
            </w:pPr>
            <w:r>
              <w:rPr/>
              <w:t>evaluating nominations by stockholders of candidates for election to the Board;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evaluating the current size, composition and organization of the Board and its committees and making recommendations to the Board for approvals;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developing a set of corporate governance policies and principles and recommending to the Board any changes to such policies and principles;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issues and developments related to corporate governance and identifying and bringing to the attention of the Board current and emerging corporate governance trends;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periodically the nominating and corporate governance committee charter, structure and membership requirements and recommending any proposed changes to the Board, including undertaking an annual review of its own performance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consists of Dr. David Carlson, Janice Bryant Howroyd, and Walter Skowronski, with Dr. David Carlson serving as chairman. Our board of directors has determined that each of the members of nominating and corporate governance committee satisfies the independence requirements of Nasdaq and the SEC. The Board has adopted a written charter for the Nominating and Corporate Governance Committee, which is available on our corporate website. The information contained on our website is not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limits the Company’s directors’ liability to the fullest extent permitted under the DGCL. The DGCL allows for directors of a corporation to not be personally liable for monetary damages for breach of their fiduciary duties as directors, except for liability:</w:t>
      </w:r>
    </w:p>
    <w:p>
      <w:pPr>
        <w:pStyle w:val="TextBody"/>
        <w:bidi w:val="0"/>
        <w:spacing w:before="0" w:after="0"/>
        <w:ind w:left="0" w:right="0" w:hanging="0"/>
        <w:jc w:val="both"/>
        <w:rPr>
          <w:caps w:val="false"/>
          <w:smallCaps w:val="false"/>
        </w:rPr>
      </w:pPr>
      <w:r>
        <w:rPr>
          <w:caps w:val="false"/>
          <w:smallCaps w:val="false"/>
        </w:rPr>
        <w:t> </w:t>
      </w:r>
    </w:p>
    <w:tbl>
      <w:tblPr>
        <w:tblW w:w="7833" w:type="dxa"/>
        <w:jc w:val="left"/>
        <w:tblInd w:w="0" w:type="dxa"/>
        <w:tblLayout w:type="fixed"/>
        <w:tblCellMar>
          <w:top w:w="0" w:type="dxa"/>
          <w:left w:w="0" w:type="dxa"/>
          <w:bottom w:w="0" w:type="dxa"/>
          <w:right w:w="0" w:type="dxa"/>
        </w:tblCellMar>
      </w:tblPr>
      <w:tblGrid>
        <w:gridCol w:w="38"/>
        <w:gridCol w:w="170"/>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pPr>
            <w:r>
              <w:rPr/>
              <w:t>for any transaction from which the director derives an improper personal benefit;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for any act or omission not in good faith or that involves intentional misconduct or a knowing violation of law;</w:t>
            </w:r>
          </w:p>
        </w:tc>
      </w:tr>
    </w:tbl>
    <w:p>
      <w:pPr>
        <w:pStyle w:val="TextBody"/>
        <w:bidi w:val="0"/>
        <w:spacing w:before="0" w:after="0"/>
        <w:ind w:left="0" w:right="0" w:hanging="0"/>
        <w:jc w:val="both"/>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17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pPr>
            <w:r>
              <w:rPr/>
              <w:t>for any unlawful payment of dividends or redemption of shares; or</w:t>
            </w:r>
          </w:p>
        </w:tc>
      </w:tr>
    </w:tbl>
    <w:p>
      <w:pPr>
        <w:pStyle w:val="TextBody"/>
        <w:bidi w:val="0"/>
        <w:spacing w:before="0" w:after="0"/>
        <w:ind w:left="0" w:right="0" w:hanging="0"/>
        <w:jc w:val="both"/>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170"/>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both"/>
              <w:rPr/>
            </w:pPr>
            <w:r>
              <w:rPr/>
              <w:t>for any breach of a director’s duty of loyalty to the corporation or its stockholders.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directors, then the liability of our directors will be eliminated or limited to the fullest extent permitted by the DGCL, as so amended. The DGCL and our Bylaws provide that the Company will, in certain situations, indemnify the Company’s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insurance policy pursuant to which our directors and officers are insured against liability for actions taken in their capacities as directors and officers. We believe these provisions in our Amended and Restated Certificate of Incorporation and Bylaws and the indemnification agreements are necessary to attract and retain qualified persons as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Business Ethics for Employees,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Code of Conduct and Business Ethics applicable to its directors, executive officers and employees, including its principal executive officer, principal financial officer, principal accounting officer or controller, or persons performing similar functions that complies with the rules and regulations of the Nasdaq. The Code of Conduct and Business Ethics codifies the business and ethical principles that govern all aspects of the Company’s business. A copy of the Code of Conduct and Business Ethics has been filed with the SEC and is provided on our website, https://daic.ai/. The Company will disclose on its website all disclosures that are required by law or the Nasdaq listing standards concerning any amendments to or waivers of certain provisions of its Code of Conduct and Business Ethics. The information on any of our websites is deemed not to be incorporated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discussion may contain forward-looking statements that are based on our current plans, considerations, expectations and determinations regarding future compensation programs. Actual compensation programs that we adopt may differ materially from the prior programs summarized or referred to in this discussion. All descriptions and share counts in this section are provided on a pre-Business Combination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we have opted to comply with the executive compensation rules applicable to “smaller reporting companies,” as such term is defined under the Securities Act of 1933, as amended, which require compensation disclosure for our principal executive officer and our next two most highly compensated executive officers (other than our principal executive officer (collectively, the “Named Executive Officers” or “NEOs”). Also, as an emerging growth company, we are not required to include, and have not included, a Compensation Discussion and Analysis (CD&amp;A) and certain of the other compensation tables required by Item 402 of Regulation S-K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executives are our Named Executive Officers:</w:t>
      </w:r>
    </w:p>
    <w:p>
      <w:pPr>
        <w:pStyle w:val="TextBody"/>
        <w:bidi w:val="0"/>
        <w:spacing w:before="0" w:after="0"/>
        <w:ind w:left="320" w:right="0" w:hanging="360"/>
        <w:jc w:val="left"/>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pPr>
            <w:r>
              <w:rPr/>
              <w:t>Ed Nabrotzky, Chief Executive Officer;</w:t>
            </w:r>
          </w:p>
        </w:tc>
      </w:tr>
    </w:tbl>
    <w:p>
      <w:pPr>
        <w:pStyle w:val="TextBody"/>
        <w:bidi w:val="0"/>
        <w:spacing w:before="0" w:after="0"/>
        <w:ind w:left="320" w:right="0" w:hanging="360"/>
        <w:jc w:val="left"/>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170"/>
        <w:gridCol w:w="6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pPr>
            <w:r>
              <w:rPr/>
              <w:t>Charles Maddox, Chief Financial Officer/Chief Operations Officer; and</w:t>
            </w:r>
          </w:p>
        </w:tc>
      </w:tr>
    </w:tbl>
    <w:p>
      <w:pPr>
        <w:pStyle w:val="TextBody"/>
        <w:bidi w:val="0"/>
        <w:spacing w:before="0" w:after="0"/>
        <w:ind w:left="320" w:right="0" w:hanging="360"/>
        <w:jc w:val="left"/>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17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283"/>
              <w:jc w:val="both"/>
              <w:rPr/>
            </w:pPr>
            <w:r>
              <w:rPr/>
              <w:t>Vijayan Nambiar, Chief Technology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compensation of SEE ID’s named executive officers for the years ended December 31, 2024 and 2023.</w:t>
      </w:r>
    </w:p>
    <w:p>
      <w:pPr>
        <w:pStyle w:val="TextBody"/>
        <w:bidi w:val="0"/>
        <w:spacing w:before="0" w:after="0"/>
        <w:ind w:left="0" w:right="0" w:hanging="0"/>
        <w:jc w:val="left"/>
        <w:rPr>
          <w:caps w:val="false"/>
          <w:smallCaps w:val="false"/>
        </w:rPr>
      </w:pPr>
      <w:r>
        <w:rPr>
          <w:caps w:val="false"/>
          <w:smallCaps w:val="false"/>
        </w:rPr>
        <w:t> </w:t>
      </w:r>
    </w:p>
    <w:tbl>
      <w:tblPr>
        <w:tblW w:w="10715" w:type="dxa"/>
        <w:jc w:val="left"/>
        <w:tblInd w:w="0" w:type="dxa"/>
        <w:tblLayout w:type="fixed"/>
        <w:tblCellMar>
          <w:top w:w="0" w:type="dxa"/>
          <w:left w:w="0" w:type="dxa"/>
          <w:bottom w:w="28" w:type="dxa"/>
          <w:right w:w="0" w:type="dxa"/>
        </w:tblCellMar>
      </w:tblPr>
      <w:tblGrid>
        <w:gridCol w:w="2945"/>
        <w:gridCol w:w="60"/>
        <w:gridCol w:w="60"/>
        <w:gridCol w:w="500"/>
        <w:gridCol w:w="60"/>
        <w:gridCol w:w="60"/>
        <w:gridCol w:w="140"/>
        <w:gridCol w:w="800"/>
        <w:gridCol w:w="60"/>
        <w:gridCol w:w="60"/>
        <w:gridCol w:w="141"/>
        <w:gridCol w:w="689"/>
        <w:gridCol w:w="60"/>
        <w:gridCol w:w="60"/>
        <w:gridCol w:w="279"/>
        <w:gridCol w:w="1211"/>
        <w:gridCol w:w="60"/>
        <w:gridCol w:w="60"/>
        <w:gridCol w:w="90"/>
        <w:gridCol w:w="575"/>
        <w:gridCol w:w="60"/>
        <w:gridCol w:w="60"/>
        <w:gridCol w:w="298"/>
        <w:gridCol w:w="1192"/>
        <w:gridCol w:w="60"/>
        <w:gridCol w:w="60"/>
        <w:gridCol w:w="140"/>
        <w:gridCol w:w="800"/>
        <w:gridCol w:w="75"/>
      </w:tblGrid>
      <w:tr>
        <w:trPr/>
        <w:tc>
          <w:tcPr>
            <w:tcW w:w="2945" w:type="dxa"/>
            <w:tcBorders>
              <w:bottom w:val="single" w:sz="12"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Salary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b/>
              </w:rPr>
            </w:pPr>
            <w:r>
              <w:rPr>
                <w:b/>
              </w:rPr>
              <w:t>Option Awards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Nonequity Incentive 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12" w:space="0" w:color="000000"/>
            </w:tcBorders>
            <w:vAlign w:val="center"/>
          </w:tcPr>
          <w:p>
            <w:pPr>
              <w:pStyle w:val="TableContents"/>
              <w:bidi w:val="0"/>
              <w:spacing w:before="0" w:after="283"/>
              <w:jc w:val="center"/>
              <w:rPr>
                <w:b/>
              </w:rPr>
            </w:pPr>
            <w:r>
              <w:rPr>
                <w:b/>
              </w:rPr>
              <w:t>Bonus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All Other Compensation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Total ($)</w:t>
            </w:r>
          </w:p>
        </w:tc>
        <w:tc>
          <w:tcPr>
            <w:tcW w:w="75" w:type="dxa"/>
            <w:tcBorders/>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pPr>
            <w:r>
              <w:rPr/>
              <w:t>Ed Nabrotzky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68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8" w:type="dxa"/>
            <w:tcBorders/>
            <w:shd w:fill="CCEEFF" w:val="clear"/>
            <w:tcMar>
              <w:bottom w:w="0" w:type="dxa"/>
            </w:tcMar>
            <w:vAlign w:val="center"/>
          </w:tcPr>
          <w:p>
            <w:pPr>
              <w:pStyle w:val="TableContents"/>
              <w:bidi w:val="0"/>
              <w:spacing w:before="0" w:after="283"/>
              <w:jc w:val="left"/>
              <w:rPr/>
            </w:pPr>
            <w:r>
              <w:rPr/>
              <w:t>$</w:t>
            </w:r>
          </w:p>
        </w:tc>
        <w:tc>
          <w:tcPr>
            <w:tcW w:w="1192" w:type="dxa"/>
            <w:tcBorders/>
            <w:shd w:fill="CCEEFF" w:val="clear"/>
            <w:tcMar>
              <w:bottom w:w="0" w:type="dxa"/>
            </w:tcMar>
            <w:vAlign w:val="center"/>
          </w:tcPr>
          <w:p>
            <w:pPr>
              <w:pStyle w:val="TableContents"/>
              <w:bidi w:val="0"/>
              <w:spacing w:before="0" w:after="283"/>
              <w:jc w:val="right"/>
              <w:rPr/>
            </w:pPr>
            <w:r>
              <w:rPr/>
              <w:t>5,821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235,821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i/>
              </w:rPr>
            </w:pPr>
            <w:r>
              <w:rPr>
                <w:i/>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68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8" w:type="dxa"/>
            <w:tcBorders/>
            <w:shd w:fill="CCEEFF" w:val="clear"/>
            <w:tcMar>
              <w:bottom w:w="0" w:type="dxa"/>
            </w:tcMar>
            <w:vAlign w:val="center"/>
          </w:tcPr>
          <w:p>
            <w:pPr>
              <w:pStyle w:val="TableContents"/>
              <w:bidi w:val="0"/>
              <w:spacing w:before="0" w:after="283"/>
              <w:jc w:val="left"/>
              <w:rPr/>
            </w:pPr>
            <w:r>
              <w:rPr/>
              <w:t>$</w:t>
            </w:r>
          </w:p>
        </w:tc>
        <w:tc>
          <w:tcPr>
            <w:tcW w:w="1192" w:type="dxa"/>
            <w:tcBorders/>
            <w:shd w:fill="CCEEFF" w:val="clear"/>
            <w:tcMar>
              <w:bottom w:w="0" w:type="dxa"/>
            </w:tcMar>
            <w:vAlign w:val="center"/>
          </w:tcPr>
          <w:p>
            <w:pPr>
              <w:pStyle w:val="TableContents"/>
              <w:bidi w:val="0"/>
              <w:spacing w:before="0" w:after="283"/>
              <w:jc w:val="right"/>
              <w:rPr/>
            </w:pPr>
            <w:r>
              <w:rPr/>
              <w:t>5,821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235,821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left"/>
              <w:rPr/>
            </w:pPr>
            <w:r>
              <w:rPr/>
              <w:t>Charles Maddox</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68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8" w:type="dxa"/>
            <w:tcBorders/>
            <w:shd w:fill="FFFFFF" w:val="clear"/>
            <w:tcMar>
              <w:bottom w:w="0" w:type="dxa"/>
            </w:tcMar>
            <w:vAlign w:val="center"/>
          </w:tcPr>
          <w:p>
            <w:pPr>
              <w:pStyle w:val="TableContents"/>
              <w:bidi w:val="0"/>
              <w:spacing w:before="0" w:after="283"/>
              <w:jc w:val="left"/>
              <w:rPr/>
            </w:pPr>
            <w:r>
              <w:rPr/>
              <w:t> </w:t>
            </w:r>
          </w:p>
        </w:tc>
        <w:tc>
          <w:tcPr>
            <w:tcW w:w="11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230,000</w:t>
            </w:r>
          </w:p>
        </w:tc>
        <w:tc>
          <w:tcPr>
            <w:tcW w:w="7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945" w:type="dxa"/>
            <w:tcBorders/>
            <w:shd w:fill="FFFFFF" w:val="clear"/>
            <w:tcMar>
              <w:bottom w:w="0" w:type="dxa"/>
            </w:tcMar>
            <w:vAlign w:val="center"/>
          </w:tcPr>
          <w:p>
            <w:pPr>
              <w:pStyle w:val="TableContents"/>
              <w:bidi w:val="0"/>
              <w:spacing w:before="0" w:after="283"/>
              <w:jc w:val="left"/>
              <w:rPr>
                <w:i/>
              </w:rPr>
            </w:pPr>
            <w:r>
              <w:rPr>
                <w:i/>
              </w:rPr>
              <w:t>Chief Financial Officer/Chief Operations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68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8" w:type="dxa"/>
            <w:tcBorders/>
            <w:shd w:fill="FFFFFF" w:val="clear"/>
            <w:tcMar>
              <w:bottom w:w="0" w:type="dxa"/>
            </w:tcMar>
            <w:vAlign w:val="center"/>
          </w:tcPr>
          <w:p>
            <w:pPr>
              <w:pStyle w:val="TableContents"/>
              <w:bidi w:val="0"/>
              <w:spacing w:before="0" w:after="283"/>
              <w:jc w:val="left"/>
              <w:rPr/>
            </w:pPr>
            <w:r>
              <w:rPr/>
              <w:t> </w:t>
            </w:r>
          </w:p>
        </w:tc>
        <w:tc>
          <w:tcPr>
            <w:tcW w:w="11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230,000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pPr>
            <w:r>
              <w:rPr/>
              <w:t>Vijayan Nambiar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68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8" w:type="dxa"/>
            <w:tcBorders/>
            <w:shd w:fill="CCEEFF" w:val="clear"/>
            <w:tcMar>
              <w:bottom w:w="0" w:type="dxa"/>
            </w:tcMar>
            <w:vAlign w:val="center"/>
          </w:tcPr>
          <w:p>
            <w:pPr>
              <w:pStyle w:val="TableContents"/>
              <w:bidi w:val="0"/>
              <w:spacing w:before="0" w:after="283"/>
              <w:jc w:val="left"/>
              <w:rPr/>
            </w:pPr>
            <w:r>
              <w:rPr/>
              <w:t> </w:t>
            </w:r>
          </w:p>
        </w:tc>
        <w:tc>
          <w:tcPr>
            <w:tcW w:w="11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230,000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i/>
              </w:rPr>
            </w:pPr>
            <w:r>
              <w:rPr>
                <w:i/>
              </w:rPr>
              <w:t>Chief Technology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689" w:type="dxa"/>
            <w:tcBorders/>
            <w:shd w:fill="CCEEFF" w:val="clear"/>
            <w:tcMar>
              <w:bottom w:w="0" w:type="dxa"/>
            </w:tcMar>
            <w:vAlign w:val="center"/>
          </w:tcPr>
          <w:p>
            <w:pPr>
              <w:pStyle w:val="TableContents"/>
              <w:bidi w:val="0"/>
              <w:spacing w:before="0" w:after="283"/>
              <w:jc w:val="right"/>
              <w:rPr/>
            </w:pPr>
            <w:r>
              <w:rPr/>
              <w:t>18,585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8" w:type="dxa"/>
            <w:tcBorders/>
            <w:shd w:fill="CCEEFF" w:val="clear"/>
            <w:tcMar>
              <w:bottom w:w="0" w:type="dxa"/>
            </w:tcMar>
            <w:vAlign w:val="center"/>
          </w:tcPr>
          <w:p>
            <w:pPr>
              <w:pStyle w:val="TableContents"/>
              <w:bidi w:val="0"/>
              <w:spacing w:before="0" w:after="283"/>
              <w:jc w:val="left"/>
              <w:rPr/>
            </w:pPr>
            <w:r>
              <w:rPr/>
              <w:t> </w:t>
            </w:r>
          </w:p>
        </w:tc>
        <w:tc>
          <w:tcPr>
            <w:tcW w:w="11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248,585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had not issued any equity awards as of December 31,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description of the employment agreements of the named executive officers as of December 31, 2024. Each employment agreement of the named executive officers does not have a specific term and provides that the applicable named executive officer is an at-will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between Edmund Nabrotzky and SEE 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Nabrotzky is employed by SEE ID for the position of Chief Executive Officer (CEO), and his duties are those normally associated with his position and such duties as are assigned to him from time to time, subject to the oversight and direction of the Board of Directors of SEE ID or its designee. Mr. Nabrotzky’s annual base salary as of December 31, 2024 was $230,000 and he is entitled to receive a cash bonus from SEE ID as incentive for key performance milestones, to be paid in amounts and at such times as are reasonably determined by the Board of Directors of SEE 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between Charles Maddox and SEE 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Maddox is employed by SEE ID for the positions of Chief Operating Officer and Chief Financial Officer, and his duties are those normally associated with his position and such duties as are assigned to him from time to time, subject to the oversight and direction of the CEO or his designee. Mr. Maddox’s annual base salary as of December 31, 2024 was $230,000 and he is eligible to receive an annual cash bonus from SEE ID’s net income, to be paid in amounts and at such times as are reasonably determined by the Board of Directors of SEE 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between Vijayan Nambiar and SEE 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Nambiar is employed by SEE ID for the position of Chief Technology Officer, and his duties are those normally associated with his position and such duties as are assigned to him from time to time, subject to the oversight and direction of the CEO or his designee. Mr. Nambiar’s annual base salary as of December 31, 2024 was $230,000.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of Control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Business Combination, the following Change of Control Payments were made to the following executive officers of SEE ID:</w:t>
      </w:r>
    </w:p>
    <w:p>
      <w:pPr>
        <w:pStyle w:val="TextBody"/>
        <w:bidi w:val="0"/>
        <w:spacing w:before="0" w:after="0"/>
        <w:ind w:left="960" w:right="0" w:hanging="480"/>
        <w:jc w:val="left"/>
        <w:rPr>
          <w:caps w:val="false"/>
          <w:smallCaps w:val="false"/>
        </w:rPr>
      </w:pPr>
      <w:r>
        <w:rPr>
          <w:caps w:val="false"/>
          <w:smallCaps w:val="false"/>
        </w:rPr>
        <w:t> </w:t>
      </w:r>
    </w:p>
    <w:tbl>
      <w:tblPr>
        <w:tblW w:w="5613" w:type="dxa"/>
        <w:jc w:val="left"/>
        <w:tblInd w:w="0" w:type="dxa"/>
        <w:tblLayout w:type="fixed"/>
        <w:tblCellMar>
          <w:top w:w="0" w:type="dxa"/>
          <w:left w:w="0" w:type="dxa"/>
          <w:bottom w:w="0" w:type="dxa"/>
          <w:right w:w="0" w:type="dxa"/>
        </w:tblCellMar>
      </w:tblPr>
      <w:tblGrid>
        <w:gridCol w:w="38"/>
        <w:gridCol w:w="17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both"/>
              <w:rPr/>
            </w:pPr>
            <w:r>
              <w:rPr/>
              <w:t>Edmund Nabrotzky (Chief Executive Officer): $320,000</w:t>
            </w:r>
          </w:p>
        </w:tc>
      </w:tr>
    </w:tbl>
    <w:p>
      <w:pPr>
        <w:pStyle w:val="TextBody"/>
        <w:bidi w:val="0"/>
        <w:spacing w:before="0" w:after="0"/>
        <w:ind w:left="960" w:right="0" w:hanging="480"/>
        <w:jc w:val="left"/>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170"/>
        <w:gridCol w:w="7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jc w:val="both"/>
              <w:rPr/>
            </w:pPr>
            <w:r>
              <w:rPr/>
              <w:t>Charles Maddox (Chief Financial Officer/Chief Operations Officer): $250,000</w:t>
            </w:r>
          </w:p>
        </w:tc>
      </w:tr>
    </w:tbl>
    <w:p>
      <w:pPr>
        <w:pStyle w:val="TextBody"/>
        <w:bidi w:val="0"/>
        <w:spacing w:before="0" w:after="0"/>
        <w:ind w:left="960" w:right="0" w:hanging="48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170"/>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both"/>
              <w:rPr/>
            </w:pPr>
            <w:r>
              <w:rPr/>
              <w:t>Vijayan Nambiar (Chief Technology Officer): $200,000</w:t>
            </w:r>
          </w:p>
        </w:tc>
      </w:tr>
    </w:tbl>
    <w:p>
      <w:pPr>
        <w:pStyle w:val="TextBody"/>
        <w:bidi w:val="0"/>
        <w:spacing w:before="0" w:after="0"/>
        <w:ind w:left="960" w:right="0" w:hanging="480"/>
        <w:jc w:val="left"/>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17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both"/>
              <w:rPr/>
            </w:pPr>
            <w:r>
              <w:rPr/>
              <w:t>Bob Reny (Chief Revenue Officer): $60,000</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Change of Control Payments could constitute “parachute payments” under Section 280G of the Internal Revenue Code of 1986, as amended (the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Prior to the Closing, the SEE ID intends to (i) solicit from each person who has a right to Change of Control Payments that would be deemed to constitute “parachute payments” a waiver of such person’s rights to some of such payments (a “</w:t>
      </w:r>
      <w:r>
        <w:rPr>
          <w:rFonts w:ascii="Times New Roman;Times;Serif" w:hAnsi="Times New Roman;Times;Serif"/>
          <w:b/>
          <w:i/>
          <w:caps w:val="false"/>
          <w:smallCaps w:val="false"/>
          <w:sz w:val="20"/>
        </w:rPr>
        <w:t>Parachute Payment Waiver</w:t>
      </w:r>
      <w:r>
        <w:rPr>
          <w:rFonts w:ascii="Times New Roman;Times;Serif" w:hAnsi="Times New Roman;Times;Serif"/>
          <w:b w:val="false"/>
          <w:i w:val="false"/>
          <w:caps w:val="false"/>
          <w:smallCaps w:val="false"/>
          <w:sz w:val="20"/>
        </w:rPr>
        <w:t>”) so that all remaining payments applicable to such person shall not be deemed “excess parachute payments” that would not be deductible under Section 280G of the Code (“</w:t>
      </w:r>
      <w:r>
        <w:rPr>
          <w:rFonts w:ascii="Times New Roman;Times;Serif" w:hAnsi="Times New Roman;Times;Serif"/>
          <w:b/>
          <w:i/>
          <w:caps w:val="false"/>
          <w:smallCaps w:val="false"/>
          <w:sz w:val="20"/>
        </w:rPr>
        <w:t>Waived 280G Payments</w:t>
      </w:r>
      <w:r>
        <w:rPr>
          <w:rFonts w:ascii="Times New Roman;Times;Serif" w:hAnsi="Times New Roman;Times;Serif"/>
          <w:b w:val="false"/>
          <w:i w:val="false"/>
          <w:caps w:val="false"/>
          <w:smallCaps w:val="false"/>
          <w:sz w:val="20"/>
        </w:rPr>
        <w:t>”) and (ii) submit to the SEE ID stockholders for approval all Waived 280G Payments that may be received by a person who has delivered a Parachute Payment Waiver in accordance with Section 280G(b)(5)(B) of the Code. If the requisite approval is not obtained, the applicable Waived 280G Payment will not be made to the extent that it would cause any amount to constitute a “parachute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adopt other change of control bonus plans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Sales Incentive Plan will be adopted to incentivize the business development team’s achievement of certain performance targets, and such plan will be subject to change from time to time. Certain employees may receive cash commissions and/or incentive stock options under the sales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engage a third-party compensation consultant to identify a peer group of similarly situated companies and assist the Company with designing an appropriate compensation structure, targeting a structure and compensation metrics that are within the median range for peer group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and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certificate of incorporation of the Combined Company and amended and restated bylaws, each to be effective upon the Closing, will provide that we will indemnify our directors and officers, and may indemnify our employees and other agents, to the fullest extent permitted by Delaware law. Delaware law prohibits the amended and restated certificate of incorporation of the Combined Company from limiting the liability of our directors for the following:</w:t>
      </w:r>
    </w:p>
    <w:p>
      <w:pPr>
        <w:pStyle w:val="TextBody"/>
        <w:bidi w:val="0"/>
        <w:spacing w:before="0" w:after="0"/>
        <w:ind w:left="960" w:right="0" w:hanging="480"/>
        <w:jc w:val="left"/>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38"/>
        <w:gridCol w:w="170"/>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pPr>
            <w:r>
              <w:rPr/>
              <w:t>any breach of the director’s duty of loyalty to us or to our stockholders;</w:t>
            </w:r>
          </w:p>
        </w:tc>
      </w:tr>
    </w:tbl>
    <w:p>
      <w:pPr>
        <w:pStyle w:val="TextBody"/>
        <w:bidi w:val="0"/>
        <w:spacing w:before="0" w:after="0"/>
        <w:ind w:left="960" w:right="0" w:hanging="480"/>
        <w:jc w:val="left"/>
        <w:rPr>
          <w:caps w:val="false"/>
          <w:smallCaps w:val="false"/>
        </w:rPr>
      </w:pPr>
      <w:r>
        <w:rPr>
          <w:caps w:val="false"/>
          <w:smallCaps w:val="false"/>
        </w:rPr>
        <w:t> </w:t>
      </w:r>
    </w:p>
    <w:tbl>
      <w:tblPr>
        <w:tblW w:w="10008" w:type="dxa"/>
        <w:jc w:val="left"/>
        <w:tblInd w:w="0" w:type="dxa"/>
        <w:tblLayout w:type="fixed"/>
        <w:tblCellMar>
          <w:top w:w="0" w:type="dxa"/>
          <w:left w:w="0" w:type="dxa"/>
          <w:bottom w:w="0" w:type="dxa"/>
          <w:right w:w="0" w:type="dxa"/>
        </w:tblCellMar>
      </w:tblPr>
      <w:tblGrid>
        <w:gridCol w:w="38"/>
        <w:gridCol w:w="170"/>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both"/>
              <w:rPr/>
            </w:pPr>
            <w:r>
              <w:rPr/>
              <w:t>acts or omissions not in good faith or that involve intentional misconduct or a knowing violation of law;</w:t>
            </w:r>
          </w:p>
        </w:tc>
      </w:tr>
    </w:tbl>
    <w:p>
      <w:pPr>
        <w:pStyle w:val="TextBody"/>
        <w:bidi w:val="0"/>
        <w:spacing w:before="0" w:after="0"/>
        <w:ind w:left="960" w:right="0" w:hanging="480"/>
        <w:jc w:val="left"/>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17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both"/>
              <w:rPr/>
            </w:pPr>
            <w:r>
              <w:rPr/>
              <w:t>unlawful payment of dividends or unlawful stock repurchases or redemptions; and</w:t>
            </w:r>
          </w:p>
        </w:tc>
      </w:tr>
    </w:tbl>
    <w:p>
      <w:pPr>
        <w:pStyle w:val="TextBody"/>
        <w:bidi w:val="0"/>
        <w:spacing w:before="0" w:after="0"/>
        <w:ind w:left="960" w:right="0" w:hanging="480"/>
        <w:jc w:val="left"/>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17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pPr>
            <w:r>
              <w:rPr/>
              <w:t>any transaction from which the director derived an improper personal benefit.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Delaware law is amended to authorize corporate action further eliminating or limiting the personal liability of a director, then the liability of our directors will be eliminated or limited to the fullest extent permitted by Delaware law, as so amended. The amended and restated certificate of incorporation of the Combined Company does not eliminate a director’s duty of care and, in appropriate circumstances, equitable remedies, such as injunctive or other forms of non-monetary relief, remain available under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indemnification required in the amended and restated certificate of incorporation of the Combined Company and amended and restated bylaws, we intend to enter into an indemnification agreement with each member of our board of directors and each of our officers prior to the Closing.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and indemnification provisions in the amended and restated certificate of incorporation of the Combined Company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under the JOBS Act. As an emerging growth company, we are exempt from certain disclosure requirements related to executive compensation, including the requirement to hold advisory votes on the executive pay of our NEOs, as well as the requirement to disclose the ratio of the CEO’s annual total compensation to the median annual total compensation of our employee who is paid at the median of our employee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CERTAIN RELATIONSHIPS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and Lock 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the Company entered into that certain Registration Rights and Lock-Up Agreement with the Holders pursuant to which, (1) subject to certain exceptions, the Holders may not transfer or make any public announcement of any intention to effect a transfer of any of the equity interests of securities of the Company beneficially owned by the Holder during the period ending 180 days after the Closing Date; and (2) the Holders are entitled to certain “shelf” and “piggyback” registration rights. The Registration Rights and Lock-Up Agreement also provides that the Company will pay certain expenses relating to such registrations and indemnify the stockholder signatories thereto against (or make contributions in respect of) certain liabilities that may arise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Assumption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 in and to,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our board of directors has adopted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pPr>
      <w:r>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pStyle w:val="TextBody"/>
        <w:bidi w:val="0"/>
        <w:jc w:val="both"/>
        <w:rPr>
          <w:caps w:val="false"/>
          <w:smallCaps w:val="false"/>
        </w:rPr>
      </w:pPr>
      <w:r>
        <w:rPr>
          <w:caps w:val="false"/>
          <w:smallCaps w:val="false"/>
        </w:rPr>
        <w:t> </w:t>
      </w:r>
    </w:p>
    <w:p>
      <w:pPr>
        <w:pStyle w:val="TextBody"/>
        <w:bidi w:val="0"/>
        <w:jc w:val="both"/>
        <w:rPr/>
      </w:pPr>
      <w:r>
        <w:rPr/>
        <w:t>In August 2024, the Company entered into a $1,500,000 purchase order with Pope Technologies LLC for certain products, hardware, installation, programming, subscription, and training services. As of December 31, 2024, $750,000 had been received and recorded as deferred revenue in the accompanying condensed consolidated balance sheets. During the three and nine months ended September 30, 2025, the Company delivered a portion of the products and recognized $24,750 of revenue from the deferred revenue balance. Pope Technologies LLC is owned by a director of the Company.</w:t>
      </w:r>
    </w:p>
    <w:p>
      <w:pPr>
        <w:pStyle w:val="TextBody"/>
        <w:bidi w:val="0"/>
        <w:jc w:val="both"/>
        <w:rPr>
          <w:caps w:val="false"/>
          <w:smallCaps w:val="false"/>
        </w:rPr>
      </w:pPr>
      <w:r>
        <w:rPr>
          <w:caps w:val="false"/>
          <w:smallCaps w:val="false"/>
        </w:rPr>
        <w:t> </w:t>
      </w:r>
    </w:p>
    <w:p>
      <w:pPr>
        <w:pStyle w:val="TextBody"/>
        <w:bidi w:val="0"/>
        <w:jc w:val="both"/>
        <w:rPr/>
      </w:pPr>
      <w:r>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$11,737 and $3,445 for the three months ended September 30, 2025 and 2024, respectively, and $20,328 and $11,978 for the nine months ended September 30, 2025 and 2024, respectively. As of September 30, 2025 and December 31, 2024, amounts outstanding under this agreement were $0 and $1,164, respectively, and are included in “Accounts receivable” on the accompanying condensed consolidated balance sheets.</w:t>
      </w:r>
    </w:p>
    <w:p>
      <w:pPr>
        <w:pStyle w:val="TextBody"/>
        <w:bidi w:val="0"/>
        <w:jc w:val="both"/>
        <w:rPr>
          <w:caps w:val="false"/>
          <w:smallCaps w:val="false"/>
        </w:rPr>
      </w:pPr>
      <w:r>
        <w:rPr>
          <w:caps w:val="false"/>
          <w:smallCaps w:val="false"/>
        </w:rPr>
        <w:t> </w:t>
      </w:r>
    </w:p>
    <w:p>
      <w:pPr>
        <w:pStyle w:val="TextBody"/>
        <w:bidi w:val="0"/>
        <w:jc w:val="both"/>
        <w:rPr/>
      </w:pPr>
      <w:r>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$16,170 and $23,850 for the three and nine months ended September 30, 2025, respectively. In September 2025, the Company paid a one-time fee of $13,610 to terminate the lease. The lease was terminated as of September 30, 2025.</w:t>
      </w:r>
    </w:p>
    <w:p>
      <w:pPr>
        <w:pStyle w:val="TextBody"/>
        <w:bidi w:val="0"/>
        <w:jc w:val="both"/>
        <w:rPr>
          <w:caps w:val="false"/>
          <w:smallCaps w:val="false"/>
        </w:rPr>
      </w:pPr>
      <w:r>
        <w:rPr>
          <w:caps w:val="false"/>
          <w:smallCaps w:val="false"/>
        </w:rPr>
        <w:t> </w:t>
      </w:r>
    </w:p>
    <w:p>
      <w:pPr>
        <w:pStyle w:val="TextBody"/>
        <w:bidi w:val="0"/>
        <w:jc w:val="both"/>
        <w:rPr/>
      </w:pPr>
      <w:r>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$0 and $2,334 for the three and nine months ended September 30, 2025, respectively. For the three and nine months ended September 30, 2024, the rent expense was $3,501 and $8,169, respectively.</w:t>
      </w:r>
    </w:p>
    <w:p>
      <w:pPr>
        <w:pStyle w:val="TextBody"/>
        <w:bidi w:val="0"/>
        <w:jc w:val="both"/>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a_014"/>
      <w:bookmarkEnd w:id="15"/>
      <w:r>
        <w:rPr>
          <w:rFonts w:ascii="Times New Roman;Times;Serif" w:hAnsi="Times New Roman;Times;Serif"/>
          <w:b/>
          <w:i w:val="false"/>
          <w:caps/>
          <w:sz w:val="20"/>
        </w:rPr>
        <w:t>SECURITY OWNERSHIP OF CERTAIN BENEFICIAL OWNERS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shares of Common Stock of the Company as of December 1, 2025 by:</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each person known by the Company to be the beneficial owner of more than 5% of the Common Stock of the Company;</w:t>
            </w:r>
          </w:p>
        </w:tc>
      </w:tr>
    </w:tbl>
    <w:p>
      <w:pPr>
        <w:pStyle w:val="TextBody"/>
        <w:bidi w:val="0"/>
        <w:spacing w:before="0" w:after="0"/>
        <w:ind w:left="720" w:right="0" w:hanging="360"/>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17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pPr>
            <w:r>
              <w:rPr/>
              <w:t>each of the Company’s executive officers and directors; and</w:t>
            </w:r>
          </w:p>
        </w:tc>
      </w:tr>
    </w:tbl>
    <w:p>
      <w:pPr>
        <w:pStyle w:val="TextBody"/>
        <w:bidi w:val="0"/>
        <w:spacing w:before="0" w:after="0"/>
        <w:ind w:left="720" w:right="0" w:hanging="360"/>
        <w:jc w:val="both"/>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170"/>
        <w:gridCol w:w="5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pPr>
            <w:r>
              <w:rPr/>
              <w:t>all executive officers and directors of the Company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below have sole voting and investment power with respect to all shares of the Company’s Common Stock beneficially owned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Common Stock is based on 27,636,939 shares of our Common Stock issued and outstanding.</w:t>
      </w:r>
    </w:p>
    <w:p>
      <w:pPr>
        <w:pStyle w:val="TextBody"/>
        <w:bidi w:val="0"/>
        <w:spacing w:before="0" w:after="0"/>
        <w:ind w:left="0" w:right="0" w:hanging="0"/>
        <w:jc w:val="both"/>
        <w:rPr>
          <w:caps w:val="false"/>
          <w:smallCaps w:val="false"/>
        </w:rPr>
      </w:pPr>
      <w:r>
        <w:rPr>
          <w:caps w:val="false"/>
          <w:smallCaps w:val="false"/>
        </w:rPr>
        <w:t> </w:t>
      </w:r>
    </w:p>
    <w:tbl>
      <w:tblPr>
        <w:tblW w:w="6409" w:type="dxa"/>
        <w:jc w:val="left"/>
        <w:tblInd w:w="0" w:type="dxa"/>
        <w:tblLayout w:type="fixed"/>
        <w:tblCellMar>
          <w:top w:w="0" w:type="dxa"/>
          <w:left w:w="0" w:type="dxa"/>
          <w:bottom w:w="0" w:type="dxa"/>
          <w:right w:w="0" w:type="dxa"/>
        </w:tblCellMar>
      </w:tblPr>
      <w:tblGrid>
        <w:gridCol w:w="4370"/>
        <w:gridCol w:w="60"/>
        <w:gridCol w:w="65"/>
        <w:gridCol w:w="1064"/>
        <w:gridCol w:w="60"/>
        <w:gridCol w:w="60"/>
        <w:gridCol w:w="60"/>
        <w:gridCol w:w="440"/>
        <w:gridCol w:w="230"/>
      </w:tblGrid>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37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Name of Beneficial Owners</w:t>
            </w:r>
            <w:r>
              <w:rPr>
                <w:rFonts w:ascii="Times New Roman;Times;Serif" w:hAnsi="Times New Roman;Times;Serif"/>
                <w:b/>
                <w:i/>
                <w:position w:val="7"/>
                <w:sz w:val="16"/>
                <w:sz w:val="20"/>
              </w:rPr>
              <w:t>(1)</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b/>
                <w:i/>
              </w:rPr>
            </w:pPr>
            <w:r>
              <w:rPr>
                <w:b/>
                <w:i/>
              </w:rPr>
              <w:t>Directors and Executive Officers</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Edmund Nabrotzky</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3,571,614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12.9</w:t>
            </w:r>
          </w:p>
        </w:tc>
        <w:tc>
          <w:tcPr>
            <w:tcW w:w="23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left"/>
              <w:rPr/>
            </w:pPr>
            <w:r>
              <w:rPr/>
              <w:t>Charles Maddox</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2,052,788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7.4</w:t>
            </w:r>
          </w:p>
        </w:tc>
        <w:tc>
          <w:tcPr>
            <w:tcW w:w="230" w:type="dxa"/>
            <w:tcBorders/>
            <w:shd w:fill="FFFFFF" w:val="clear"/>
            <w:vAlign w:val="center"/>
          </w:tcPr>
          <w:p>
            <w:pPr>
              <w:pStyle w:val="TableContents"/>
              <w:bidi w:val="0"/>
              <w:spacing w:before="0" w:after="283"/>
              <w:jc w:val="left"/>
              <w:rPr/>
            </w:pPr>
            <w:r>
              <w:rPr/>
              <w:t>%</w:t>
            </w:r>
          </w:p>
        </w:tc>
      </w:tr>
      <w:tr>
        <w:trPr/>
        <w:tc>
          <w:tcPr>
            <w:tcW w:w="4370" w:type="dxa"/>
            <w:tcBorders/>
            <w:shd w:fill="CCEEFF" w:val="clear"/>
            <w:vAlign w:val="center"/>
          </w:tcPr>
          <w:p>
            <w:pPr>
              <w:pStyle w:val="TableContents"/>
              <w:bidi w:val="0"/>
              <w:spacing w:before="0" w:after="283"/>
              <w:jc w:val="left"/>
              <w:rPr/>
            </w:pPr>
            <w:r>
              <w:rPr/>
              <w:t>Vijayan Nambiar</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Sheldon Paul</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709,717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2.6</w:t>
            </w:r>
          </w:p>
        </w:tc>
        <w:tc>
          <w:tcPr>
            <w:tcW w:w="230" w:type="dxa"/>
            <w:tcBorders/>
            <w:shd w:fill="FFFFFF" w:val="clear"/>
            <w:vAlign w:val="center"/>
          </w:tcPr>
          <w:p>
            <w:pPr>
              <w:pStyle w:val="TableContents"/>
              <w:bidi w:val="0"/>
              <w:spacing w:before="0" w:after="283"/>
              <w:jc w:val="left"/>
              <w:rPr/>
            </w:pPr>
            <w:r>
              <w:rPr/>
              <w:t>%</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Janice Bryant Howroyd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79,689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Walter Skowronski</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David Carlson</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Jeff Saling</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Phyllis Newhouse </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3,377,730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12.2</w:t>
            </w:r>
          </w:p>
        </w:tc>
        <w:tc>
          <w:tcPr>
            <w:tcW w:w="23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left"/>
              <w:rPr/>
            </w:pPr>
            <w:r>
              <w:rPr/>
              <w:t>All directors and executive officers as a group</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9,711,849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35.1</w:t>
            </w:r>
          </w:p>
        </w:tc>
        <w:tc>
          <w:tcPr>
            <w:tcW w:w="230" w:type="dxa"/>
            <w:tcBorders/>
            <w:shd w:fill="FFFFFF" w:val="clear"/>
            <w:vAlign w:val="center"/>
          </w:tcPr>
          <w:p>
            <w:pPr>
              <w:pStyle w:val="TableContents"/>
              <w:bidi w:val="0"/>
              <w:spacing w:before="0" w:after="283"/>
              <w:jc w:val="left"/>
              <w:rPr/>
            </w:pPr>
            <w:r>
              <w:rPr/>
              <w:t>%</w:t>
            </w:r>
          </w:p>
        </w:tc>
      </w:tr>
      <w:tr>
        <w:trPr/>
        <w:tc>
          <w:tcPr>
            <w:tcW w:w="4370" w:type="dxa"/>
            <w:tcBorders/>
            <w:shd w:fill="CCEEFF" w:val="clear"/>
            <w:vAlign w:val="center"/>
          </w:tcPr>
          <w:p>
            <w:pPr>
              <w:pStyle w:val="TableContents"/>
              <w:bidi w:val="0"/>
              <w:spacing w:before="0" w:after="283"/>
              <w:jc w:val="left"/>
              <w:rPr>
                <w:b/>
                <w:i/>
              </w:rPr>
            </w:pPr>
            <w:r>
              <w:rPr>
                <w:b/>
                <w:i/>
              </w:rPr>
              <w:t>Five Percent Holders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William Tremaine Renny</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4,967,391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18.0</w:t>
            </w:r>
          </w:p>
        </w:tc>
        <w:tc>
          <w:tcPr>
            <w:tcW w:w="230" w:type="dxa"/>
            <w:tcBorders/>
            <w:shd w:fill="FFFFFF" w:val="clear"/>
            <w:vAlign w:val="center"/>
          </w:tcPr>
          <w:p>
            <w:pPr>
              <w:pStyle w:val="TableContents"/>
              <w:bidi w:val="0"/>
              <w:spacing w:before="0" w:after="283"/>
              <w:jc w:val="left"/>
              <w:rPr/>
            </w:pPr>
            <w:r>
              <w:rPr/>
              <w:t>%</w:t>
            </w:r>
          </w:p>
        </w:tc>
      </w:tr>
      <w:tr>
        <w:trPr/>
        <w:tc>
          <w:tcPr>
            <w:tcW w:w="4370" w:type="dxa"/>
            <w:tcBorders/>
            <w:shd w:fill="CCEEFF" w:val="clear"/>
            <w:vAlign w:val="center"/>
          </w:tcPr>
          <w:p>
            <w:pPr>
              <w:pStyle w:val="TableContents"/>
              <w:bidi w:val="0"/>
              <w:spacing w:before="0" w:after="283"/>
              <w:jc w:val="left"/>
              <w:rPr/>
            </w:pPr>
            <w:r>
              <w:rPr/>
              <w:t>Jeffery Andersen</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1,524,924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5.5</w:t>
            </w:r>
          </w:p>
        </w:tc>
        <w:tc>
          <w:tcPr>
            <w:tcW w:w="23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ShoulderUp 2021 Trust </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1,751.180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8.5</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38"/>
        <w:gridCol w:w="125"/>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w:t>
            </w:r>
          </w:p>
        </w:tc>
        <w:tc>
          <w:tcPr>
            <w:tcW w:w="1835" w:type="dxa"/>
            <w:tcBorders/>
            <w:vAlign w:val="center"/>
          </w:tcPr>
          <w:p>
            <w:pPr>
              <w:pStyle w:val="TableContents"/>
              <w:bidi w:val="0"/>
              <w:spacing w:before="0" w:after="283"/>
              <w:jc w:val="both"/>
              <w:rPr>
                <w:sz w:val="20"/>
              </w:rPr>
            </w:pPr>
            <w:r>
              <w:rPr>
                <w:sz w:val="20"/>
              </w:rPr>
              <w:t>Less than one percent.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sz w:val="20"/>
              </w:rPr>
            </w:pPr>
            <w:r>
              <w:rPr>
                <w:sz w:val="20"/>
              </w:rPr>
              <w:t>(1)</w:t>
            </w:r>
          </w:p>
        </w:tc>
        <w:tc>
          <w:tcPr>
            <w:tcW w:w="9959" w:type="dxa"/>
            <w:tcBorders/>
            <w:vAlign w:val="center"/>
          </w:tcPr>
          <w:p>
            <w:pPr>
              <w:pStyle w:val="TableContents"/>
              <w:bidi w:val="0"/>
              <w:spacing w:before="0" w:after="283"/>
              <w:jc w:val="both"/>
              <w:rPr>
                <w:sz w:val="20"/>
              </w:rPr>
            </w:pPr>
            <w:r>
              <w:rPr>
                <w:sz w:val="20"/>
              </w:rPr>
              <w:t>Unless otherwise noted, the business address of each of those listed in the table above is 5661 S Cameron St, Suite 100, Las Vegas, NV 89118.</w:t>
            </w:r>
          </w:p>
        </w:tc>
      </w:tr>
      <w:tr>
        <w:trPr/>
        <w:tc>
          <w:tcPr>
            <w:tcW w:w="246" w:type="dxa"/>
            <w:tcBorders/>
            <w:vAlign w:val="center"/>
          </w:tcPr>
          <w:p>
            <w:pPr>
              <w:pStyle w:val="TableContents"/>
              <w:bidi w:val="0"/>
              <w:spacing w:before="0" w:after="283"/>
              <w:jc w:val="left"/>
              <w:rPr/>
            </w:pPr>
            <w:r>
              <w:rPr/>
              <w:t> </w:t>
            </w:r>
          </w:p>
        </w:tc>
        <w:tc>
          <w:tcPr>
            <w:tcW w:w="9959" w:type="dxa"/>
            <w:tcBorders/>
            <w:vAlign w:val="center"/>
          </w:tcPr>
          <w:p>
            <w:pPr>
              <w:pStyle w:val="TableContents"/>
              <w:bidi w:val="0"/>
              <w:spacing w:before="0" w:after="283"/>
              <w:jc w:val="both"/>
              <w:rPr/>
            </w:pPr>
            <w:r>
              <w:rPr/>
              <w:t> </w:t>
            </w:r>
          </w:p>
        </w:tc>
      </w:tr>
      <w:tr>
        <w:trPr/>
        <w:tc>
          <w:tcPr>
            <w:tcW w:w="246" w:type="dxa"/>
            <w:tcBorders/>
            <w:vAlign w:val="center"/>
          </w:tcPr>
          <w:p>
            <w:pPr>
              <w:pStyle w:val="TableContents"/>
              <w:bidi w:val="0"/>
              <w:spacing w:before="0" w:after="283"/>
              <w:jc w:val="left"/>
              <w:rPr/>
            </w:pPr>
            <w:r>
              <w:rPr/>
              <w:t>(2)</w:t>
            </w:r>
          </w:p>
        </w:tc>
        <w:tc>
          <w:tcPr>
            <w:tcW w:w="9959" w:type="dxa"/>
            <w:tcBorders/>
            <w:vAlign w:val="center"/>
          </w:tcPr>
          <w:p>
            <w:pPr>
              <w:pStyle w:val="TableContents"/>
              <w:bidi w:val="0"/>
              <w:spacing w:before="0" w:after="283"/>
              <w:jc w:val="both"/>
              <w:rPr/>
            </w:pPr>
            <w:r>
              <w:rPr/>
              <w:t>Represents (i) 112,842 shares directly held by SSP Technology Holdings, LLC; (ii) 478,094 shares directly held by The Paul Family Trust ; and (iii) 118,781 shares directly held The Sheldon Paul IT. Mr. Paul is the managing member of SSP Technology Holdings, LLC and the sole trustee of The Paul Family Trust and The Sheldon Paul IT and may be deemed to share voting and investment power over the shares by the foregoing entities.</w:t>
            </w:r>
          </w:p>
        </w:tc>
      </w:tr>
      <w:tr>
        <w:trPr/>
        <w:tc>
          <w:tcPr>
            <w:tcW w:w="246" w:type="dxa"/>
            <w:tcBorders/>
            <w:vAlign w:val="center"/>
          </w:tcPr>
          <w:p>
            <w:pPr>
              <w:pStyle w:val="TableContents"/>
              <w:bidi w:val="0"/>
              <w:spacing w:before="0" w:after="283"/>
              <w:jc w:val="left"/>
              <w:rPr/>
            </w:pPr>
            <w:r>
              <w:rPr/>
              <w:t> </w:t>
            </w:r>
          </w:p>
        </w:tc>
        <w:tc>
          <w:tcPr>
            <w:tcW w:w="9959" w:type="dxa"/>
            <w:tcBorders/>
            <w:vAlign w:val="center"/>
          </w:tcPr>
          <w:p>
            <w:pPr>
              <w:pStyle w:val="TableContents"/>
              <w:bidi w:val="0"/>
              <w:spacing w:before="0" w:after="283"/>
              <w:jc w:val="both"/>
              <w:rPr/>
            </w:pPr>
            <w:r>
              <w:rPr/>
              <w:t> </w:t>
            </w:r>
          </w:p>
        </w:tc>
      </w:tr>
      <w:tr>
        <w:trPr/>
        <w:tc>
          <w:tcPr>
            <w:tcW w:w="246" w:type="dxa"/>
            <w:tcBorders/>
            <w:vAlign w:val="center"/>
          </w:tcPr>
          <w:p>
            <w:pPr>
              <w:pStyle w:val="TableContents"/>
              <w:bidi w:val="0"/>
              <w:spacing w:before="0" w:after="283"/>
              <w:jc w:val="left"/>
              <w:rPr/>
            </w:pPr>
            <w:r>
              <w:rPr/>
              <w:t>(3)</w:t>
            </w:r>
          </w:p>
        </w:tc>
        <w:tc>
          <w:tcPr>
            <w:tcW w:w="9959" w:type="dxa"/>
            <w:tcBorders/>
            <w:vAlign w:val="center"/>
          </w:tcPr>
          <w:p>
            <w:pPr>
              <w:pStyle w:val="TableContents"/>
              <w:bidi w:val="0"/>
              <w:spacing w:before="0" w:after="283"/>
              <w:jc w:val="both"/>
              <w:rPr/>
            </w:pPr>
            <w:r>
              <w:rPr/>
              <w:t>Represents shares directly held by ASK, LLC. Janice Howroyd is the sole member of ASK, LLC and has voting and investment control of the shares held by ASK, LLC.</w:t>
            </w:r>
          </w:p>
        </w:tc>
      </w:tr>
      <w:tr>
        <w:trPr/>
        <w:tc>
          <w:tcPr>
            <w:tcW w:w="246" w:type="dxa"/>
            <w:tcBorders/>
            <w:vAlign w:val="center"/>
          </w:tcPr>
          <w:p>
            <w:pPr>
              <w:pStyle w:val="TableContents"/>
              <w:bidi w:val="0"/>
              <w:spacing w:before="0" w:after="283"/>
              <w:jc w:val="left"/>
              <w:rPr/>
            </w:pPr>
            <w:r>
              <w:rPr/>
              <w:t> </w:t>
            </w:r>
          </w:p>
        </w:tc>
        <w:tc>
          <w:tcPr>
            <w:tcW w:w="9959" w:type="dxa"/>
            <w:tcBorders/>
            <w:vAlign w:val="center"/>
          </w:tcPr>
          <w:p>
            <w:pPr>
              <w:pStyle w:val="TableContents"/>
              <w:bidi w:val="0"/>
              <w:spacing w:before="0" w:after="283"/>
              <w:jc w:val="both"/>
              <w:rPr/>
            </w:pPr>
            <w:r>
              <w:rPr/>
              <w:t> </w:t>
            </w:r>
          </w:p>
        </w:tc>
      </w:tr>
      <w:tr>
        <w:trPr/>
        <w:tc>
          <w:tcPr>
            <w:tcW w:w="246" w:type="dxa"/>
            <w:tcBorders/>
            <w:vAlign w:val="center"/>
          </w:tcPr>
          <w:p>
            <w:pPr>
              <w:pStyle w:val="TableContents"/>
              <w:bidi w:val="0"/>
              <w:spacing w:before="0" w:after="283"/>
              <w:jc w:val="left"/>
              <w:rPr>
                <w:sz w:val="20"/>
              </w:rPr>
            </w:pPr>
            <w:r>
              <w:rPr>
                <w:sz w:val="20"/>
              </w:rPr>
              <w:t>(4)</w:t>
            </w:r>
          </w:p>
        </w:tc>
        <w:tc>
          <w:tcPr>
            <w:tcW w:w="9959" w:type="dxa"/>
            <w:tcBorders/>
            <w:vAlign w:val="center"/>
          </w:tcPr>
          <w:p>
            <w:pPr>
              <w:pStyle w:val="TableContents"/>
              <w:bidi w:val="0"/>
              <w:spacing w:before="0" w:after="283"/>
              <w:jc w:val="both"/>
              <w:rPr>
                <w:sz w:val="20"/>
              </w:rPr>
            </w:pPr>
            <w:r>
              <w:rPr>
                <w:sz w:val="20"/>
              </w:rPr>
              <w:t>Represents (i) 1,023,314 shares directly held by Phyllis Newhouse; and (ii) 2,354,416 shares directly held by ShoulderUp 2021 Trust. Ms. Newhouse is the trustee of ShoulderUp 2021 Trust and may be deemed to share voting and investment power over the shares held by ShoulderUp 2021 Trust.</w:t>
            </w:r>
          </w:p>
        </w:tc>
      </w:tr>
      <w:tr>
        <w:trPr/>
        <w:tc>
          <w:tcPr>
            <w:tcW w:w="246" w:type="dxa"/>
            <w:tcBorders/>
            <w:vAlign w:val="center"/>
          </w:tcPr>
          <w:p>
            <w:pPr>
              <w:pStyle w:val="TableContents"/>
              <w:bidi w:val="0"/>
              <w:spacing w:before="0" w:after="283"/>
              <w:jc w:val="left"/>
              <w:rPr/>
            </w:pPr>
            <w:r>
              <w:rPr/>
              <w:t> </w:t>
            </w:r>
          </w:p>
        </w:tc>
        <w:tc>
          <w:tcPr>
            <w:tcW w:w="9959" w:type="dxa"/>
            <w:tcBorders/>
            <w:vAlign w:val="center"/>
          </w:tcPr>
          <w:p>
            <w:pPr>
              <w:pStyle w:val="TableContents"/>
              <w:bidi w:val="0"/>
              <w:spacing w:before="0" w:after="283"/>
              <w:jc w:val="both"/>
              <w:rPr/>
            </w:pPr>
            <w:r>
              <w:rPr/>
              <w:t> </w:t>
            </w:r>
          </w:p>
        </w:tc>
      </w:tr>
      <w:tr>
        <w:trPr/>
        <w:tc>
          <w:tcPr>
            <w:tcW w:w="246" w:type="dxa"/>
            <w:tcBorders/>
            <w:vAlign w:val="center"/>
          </w:tcPr>
          <w:p>
            <w:pPr>
              <w:pStyle w:val="TableContents"/>
              <w:bidi w:val="0"/>
              <w:spacing w:before="0" w:after="283"/>
              <w:jc w:val="left"/>
              <w:rPr>
                <w:sz w:val="20"/>
              </w:rPr>
            </w:pPr>
            <w:r>
              <w:rPr>
                <w:sz w:val="20"/>
              </w:rPr>
              <w:t>(5)</w:t>
            </w:r>
          </w:p>
        </w:tc>
        <w:tc>
          <w:tcPr>
            <w:tcW w:w="9959" w:type="dxa"/>
            <w:tcBorders/>
            <w:vAlign w:val="center"/>
          </w:tcPr>
          <w:p>
            <w:pPr>
              <w:pStyle w:val="TableContents"/>
              <w:bidi w:val="0"/>
              <w:spacing w:before="0" w:after="283"/>
              <w:jc w:val="both"/>
              <w:rPr>
                <w:sz w:val="20"/>
              </w:rPr>
            </w:pPr>
            <w:r>
              <w:rPr>
                <w:sz w:val="20"/>
              </w:rPr>
              <w:t>Represents shares directly held by ShoulderUp 2021 Trust. The address of the principal business office of ShoulderUp 2021 Trust is 2291 Loring Oak PL NW Marietta, GA 30064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6" w:name="a_015"/>
      <w:bookmarkEnd w:id="16"/>
      <w:r>
        <w:rPr>
          <w:rFonts w:ascii="Times New Roman;Times;Serif" w:hAnsi="Times New Roman;Times;Serif"/>
          <w:b/>
          <w:i w:val="false"/>
          <w:caps/>
          <w:sz w:val="20"/>
        </w:rPr>
        <w:t>SELLING SECURITYHOLDERS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listed in the table below may from time to time offer and sell any or all of the shares of Common Stock and Warrants set forth below pursuant to this prospectus. When we refer to the “Selling Securityholders” in this prospectus, we refer to the persons listed in the table below, and the pledgees, donees, permitted transferees, assignees, successors and others who later come to hold any of the Selling Securityholders’ interest in the shares of Common Stock after the date of this prospectus other than through a public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date of this prospectus: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name of the Selling Securityholders for whom we are registering shares of Common Stock for resale to the public,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and percentage of shares of Common Stock that the Selling Securityholders beneficially owned prior to the offering for resale of the securities under this prospectus,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rPr>
              <w:t>the number and percentage of shares of Common Stock that may be offered from time to time for resale for the</w:t>
            </w:r>
            <w:r>
              <w:rPr/>
              <w:t xml:space="preserve"> account of the Selling Securityholders pursuant to this prospectus,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number and percentage of shares to be beneficially owned by the Selling Securityholders after the offering of the resale securities (assuming all of the offered shares of Common Stock are sold by the Selling Securityholders).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shares of Common Stock does not necessarily mean that the Selling Securityholders will sell all or any of such Common Stock. A Selling Securityholder may sell all, some or none of such securities in this offering.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68"/>
        <w:gridCol w:w="1122"/>
        <w:gridCol w:w="60"/>
        <w:gridCol w:w="60"/>
        <w:gridCol w:w="63"/>
        <w:gridCol w:w="1037"/>
        <w:gridCol w:w="60"/>
        <w:gridCol w:w="60"/>
        <w:gridCol w:w="223"/>
        <w:gridCol w:w="967"/>
        <w:gridCol w:w="60"/>
        <w:gridCol w:w="60"/>
        <w:gridCol w:w="164"/>
        <w:gridCol w:w="711"/>
        <w:gridCol w:w="60"/>
        <w:gridCol w:w="60"/>
        <w:gridCol w:w="223"/>
        <w:gridCol w:w="967"/>
        <w:gridCol w:w="60"/>
        <w:gridCol w:w="60"/>
        <w:gridCol w:w="206"/>
        <w:gridCol w:w="894"/>
        <w:gridCol w:w="60"/>
        <w:gridCol w:w="60"/>
        <w:gridCol w:w="223"/>
        <w:gridCol w:w="967"/>
        <w:gridCol w:w="60"/>
        <w:gridCol w:w="60"/>
        <w:gridCol w:w="164"/>
        <w:gridCol w:w="711"/>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36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K Maddox</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2,052,788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2,052,788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Edmund S Nabrotzky</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3,571,614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3,571,614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SJP Investments, LLC</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149,459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149,459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SSP Technology Holdings, LLC</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112,842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112,842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ind w:left="0" w:right="0" w:hanging="0"/>
        <w:jc w:val="left"/>
        <w:rPr>
          <w:bdr w:val="single" w:sz="12" w:space="1" w:color="000000"/>
        </w:rPr>
      </w:pPr>
      <w:r>
        <w:rPr>
          <w:bdr w:val="single" w:sz="12" w:space="1" w:color="000000"/>
        </w:rPr>
        <w:t> </w:t>
      </w:r>
    </w:p>
    <w:tbl>
      <w:tblPr>
        <w:tblW w:w="1810" w:type="dxa"/>
        <w:jc w:val="left"/>
        <w:tblInd w:w="0" w:type="dxa"/>
        <w:tblLayout w:type="fixed"/>
        <w:tblCellMar>
          <w:top w:w="0" w:type="dxa"/>
          <w:left w:w="0" w:type="dxa"/>
          <w:bottom w:w="0" w:type="dxa"/>
          <w:right w:w="0" w:type="dxa"/>
        </w:tblCellMar>
      </w:tblPr>
      <w:tblGrid>
        <w:gridCol w:w="170"/>
        <w:gridCol w:w="164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a percent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noted, the business address of each of those listed in the table above is 5661 S Cameron St, Suite 100, Las Vegas, NV 89118.</w:t>
            </w:r>
          </w:p>
        </w:tc>
      </w:tr>
    </w:tbl>
    <w:p>
      <w:pPr>
        <w:pStyle w:val="TextBody"/>
        <w:bidi w:val="0"/>
        <w:spacing w:before="0" w:after="0"/>
        <w:ind w:left="0" w:right="0" w:hanging="0"/>
        <w:jc w:val="both"/>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155"/>
        <w:gridCol w:w="7190"/>
      </w:tblGrid>
      <w:tr>
        <w:trPr/>
        <w:tc>
          <w:tcPr>
            <w:tcW w:w="15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7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Maddox is the Chief Financial Officer and Chief Operating Officer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155"/>
        <w:gridCol w:w="6275"/>
      </w:tblGrid>
      <w:tr>
        <w:trPr/>
        <w:tc>
          <w:tcPr>
            <w:tcW w:w="15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Nabrotzky is the Chief Executive Officer and a director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SJP Investments, LLC. Steven Paul is the managing member of SJP Investments, LLC. The address of the principal business office of SJP Investments, LLC is 1000 N Green Valley Pkwy, Ste 440-350, Henderson, NV 89074.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SSP Technology Holdings, LLC. Sheldon Paul is the managing member of SSP Technology Holdings, LLC. Mr. Paul is a director of the Company. The address of the principal business office of SSP Technology Holdings, LLC is 1000 N Green Valley Pkwy, Ste 440-350, Henderson, NV 89074.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68"/>
        <w:gridCol w:w="1122"/>
        <w:gridCol w:w="60"/>
        <w:gridCol w:w="60"/>
        <w:gridCol w:w="63"/>
        <w:gridCol w:w="1037"/>
        <w:gridCol w:w="60"/>
        <w:gridCol w:w="60"/>
        <w:gridCol w:w="142"/>
        <w:gridCol w:w="1048"/>
        <w:gridCol w:w="60"/>
        <w:gridCol w:w="60"/>
        <w:gridCol w:w="105"/>
        <w:gridCol w:w="770"/>
        <w:gridCol w:w="60"/>
        <w:gridCol w:w="60"/>
        <w:gridCol w:w="142"/>
        <w:gridCol w:w="1048"/>
        <w:gridCol w:w="60"/>
        <w:gridCol w:w="60"/>
        <w:gridCol w:w="132"/>
        <w:gridCol w:w="968"/>
        <w:gridCol w:w="60"/>
        <w:gridCol w:w="60"/>
        <w:gridCol w:w="142"/>
        <w:gridCol w:w="1048"/>
        <w:gridCol w:w="60"/>
        <w:gridCol w:w="60"/>
        <w:gridCol w:w="108"/>
        <w:gridCol w:w="767"/>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36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Paul Family Trust dated June 3, 2005</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478,094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478,094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Sheldon Paul IT</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118,781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118,781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Tracking Technology Holdings, LLC</w:t>
            </w:r>
            <w:r>
              <w:rPr>
                <w:rFonts w:ascii="Times New Roman;Times;Serif" w:hAnsi="Times New Roman;Times;Serif"/>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410,000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410,000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Tremaine Reny</w:t>
            </w:r>
            <w:r>
              <w:rPr>
                <w:rFonts w:ascii="Times New Roman;Times;Serif" w:hAnsi="Times New Roman;Times;Serif"/>
                <w:position w:val="7"/>
                <w:sz w:val="16"/>
                <w:sz w:val="20"/>
              </w:rPr>
              <w:t>9</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4,967,391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4,967,391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Kent Greene Traditional IRA</w:t>
            </w:r>
            <w:r>
              <w:rPr>
                <w:rFonts w:ascii="Times New Roman;Times;Serif" w:hAnsi="Times New Roman;Times;Serif"/>
                <w:position w:val="7"/>
                <w:sz w:val="16"/>
                <w:sz w:val="20"/>
              </w:rPr>
              <w:t>10</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S Creer &amp; Susanne H Creer JT TEN</w:t>
            </w:r>
            <w:r>
              <w:rPr>
                <w:rFonts w:ascii="Times New Roman;Times;Serif" w:hAnsi="Times New Roman;Times;Serif"/>
                <w:position w:val="7"/>
                <w:sz w:val="16"/>
                <w:sz w:val="20"/>
              </w:rPr>
              <w:t>11</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12,500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 Boyack &amp; L Boyack TTEE, Boyack Family TST, U/A DTD 08/17/2011</w:t>
            </w:r>
            <w:r>
              <w:rPr>
                <w:rFonts w:ascii="Times New Roman;Times;Serif" w:hAnsi="Times New Roman;Times;Serif"/>
                <w:position w:val="7"/>
                <w:sz w:val="16"/>
                <w:sz w:val="20"/>
              </w:rPr>
              <w:t>12</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37,500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37,500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Brent Gordon Bergquist</w:t>
            </w:r>
            <w:r>
              <w:rPr>
                <w:rFonts w:ascii="Times New Roman;Times;Serif" w:hAnsi="Times New Roman;Times;Serif"/>
                <w:position w:val="7"/>
                <w:sz w:val="16"/>
                <w:sz w:val="20"/>
              </w:rPr>
              <w:t>13</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6</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The Paul Family Trust dated June 3, 2005. Sheldon Paul is the sole trustee of The Paul Family Trust dated June 3, 2005. Mr. Paul is a director of the Company. The address of the principal business office of The Paul Family Trust dated June 3, 2005 is 8671 Golden Canyon, Las Vegas, NV 89129.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7</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The Sheldon Paul IT. Sheldon Paul is the sole trustee of The Sheldon Paul IT. Mr. Paul is a director of the Company. The address of the principal business office of The Sheldon Paul IT is 333 N Rancho Drive, Ste 730, Las Vegas, NV 89106.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8</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Tracking Technology Holdings, LLC, which includes 1,317,750 issued in a private placement offering on June 18, 2025. The address of the principal business office of Tracking Technology Holdings is 199 N. Arroyo Grande Blvd, Ste 150, Henderson, NV 89074.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9</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William Tremaine Reny. Mr. Renny was the Founder and CEO of SEE ID prior to the closing of the Business Combination. The address of the principal business office of William Tremaine Reny is 9 Hawk Ridge Drive, Las Vegas, NV 89135.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10</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shares directly held by A Kent Greene Traditional IRA. The address of the principal business office of A. Kent Green Traditional IRA is 40 Daisy Meadow Terrace, Henderson, NV 89074.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11</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Adam S. Creer &amp; Susanne H. Creer JT TEN. The address of the principal business office of Adam S. Creer &amp; Susanne H. Creer JT TEN is 8028 South Big Spring Drive, west Jordan, UT 84081.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12</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N. Boyack &amp; L. Boyack TTEE, Boyack Family TST, U/A DTD 08/17/2011. The address of the principal business office of N. Boyack &amp; L. Boyack TTEE, Boyack Family TST, U/A DTD 08/17/2011 is 4325 Jerdon Court, Las Vegas, NV 89129.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13</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Brent Gordon Bergquist. The address of the principal business office of Brent Gordon Bergquist is 2056 Sapphire Valley Avenue, Henderson, NV 89074.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82"/>
        <w:gridCol w:w="1108"/>
        <w:gridCol w:w="60"/>
        <w:gridCol w:w="60"/>
        <w:gridCol w:w="76"/>
        <w:gridCol w:w="1024"/>
        <w:gridCol w:w="60"/>
        <w:gridCol w:w="60"/>
        <w:gridCol w:w="197"/>
        <w:gridCol w:w="993"/>
        <w:gridCol w:w="60"/>
        <w:gridCol w:w="60"/>
        <w:gridCol w:w="145"/>
        <w:gridCol w:w="730"/>
        <w:gridCol w:w="60"/>
        <w:gridCol w:w="60"/>
        <w:gridCol w:w="198"/>
        <w:gridCol w:w="992"/>
        <w:gridCol w:w="60"/>
        <w:gridCol w:w="60"/>
        <w:gridCol w:w="182"/>
        <w:gridCol w:w="918"/>
        <w:gridCol w:w="60"/>
        <w:gridCol w:w="60"/>
        <w:gridCol w:w="198"/>
        <w:gridCol w:w="992"/>
        <w:gridCol w:w="60"/>
        <w:gridCol w:w="60"/>
        <w:gridCol w:w="145"/>
        <w:gridCol w:w="730"/>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Freeman</w:t>
            </w:r>
            <w:r>
              <w:rPr>
                <w:rFonts w:ascii="Times New Roman;Times;Serif" w:hAnsi="Times New Roman;Times;Serif"/>
                <w:position w:val="7"/>
                <w:sz w:val="16"/>
                <w:sz w:val="20"/>
              </w:rPr>
              <w:t>14</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Charlene Denise Hanna</w:t>
            </w:r>
            <w:r>
              <w:rPr>
                <w:rFonts w:ascii="Times New Roman;Times;Serif" w:hAnsi="Times New Roman;Times;Serif"/>
                <w:position w:val="7"/>
                <w:sz w:val="16"/>
                <w:sz w:val="20"/>
              </w:rPr>
              <w:t>15</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Neilson Kenworthy and Julie Edwards Kenworthy</w:t>
            </w:r>
            <w:r>
              <w:rPr>
                <w:rFonts w:ascii="Times New Roman;Times;Serif" w:hAnsi="Times New Roman;Times;Serif"/>
                <w:position w:val="7"/>
                <w:sz w:val="16"/>
                <w:sz w:val="20"/>
              </w:rPr>
              <w:t>16</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18,750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18,750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Conner Paul and Sage Paul</w:t>
            </w:r>
            <w:r>
              <w:rPr>
                <w:rFonts w:ascii="Times New Roman;Times;Serif" w:hAnsi="Times New Roman;Times;Serif"/>
                <w:position w:val="7"/>
                <w:sz w:val="16"/>
                <w:sz w:val="20"/>
              </w:rPr>
              <w:t>17</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13,250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13,250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Darcy Alan Stewart &amp; Colleen Stewart JT TEN</w:t>
            </w:r>
            <w:r>
              <w:rPr>
                <w:rFonts w:ascii="Times New Roman;Times;Serif" w:hAnsi="Times New Roman;Times;Serif"/>
                <w:position w:val="7"/>
                <w:sz w:val="16"/>
                <w:sz w:val="20"/>
              </w:rPr>
              <w:t>18</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Douglas L Glenn</w:t>
            </w:r>
            <w:r>
              <w:rPr>
                <w:rFonts w:ascii="Times New Roman;Times;Serif" w:hAnsi="Times New Roman;Times;Serif"/>
                <w:position w:val="7"/>
                <w:sz w:val="16"/>
                <w:sz w:val="20"/>
              </w:rPr>
              <w:t>19</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Kazuyoshi Hayashi &amp; Diana J Hayashi, TTEES, U/A DTD 08/03/2023 Hayashi Revocable Trust</w:t>
            </w:r>
            <w:r>
              <w:rPr>
                <w:rFonts w:ascii="Times New Roman;Times;Serif" w:hAnsi="Times New Roman;Times;Serif"/>
                <w:position w:val="7"/>
                <w:sz w:val="16"/>
                <w:sz w:val="20"/>
              </w:rPr>
              <w:t>20</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Jacob Reynolds</w:t>
            </w:r>
            <w:r>
              <w:rPr>
                <w:rFonts w:ascii="Times New Roman;Times;Serif" w:hAnsi="Times New Roman;Times;Serif"/>
                <w:position w:val="7"/>
                <w:sz w:val="16"/>
                <w:sz w:val="20"/>
              </w:rPr>
              <w:t>21</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ind w:left="0" w:right="0" w:hanging="0"/>
        <w:jc w:val="both"/>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14</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shares directly held by Brian Freeman. The address of the principal business office of Brian Freeman is 8929 Monte Oro Drive, Las Vegas, NV 89131.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15</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Charlene Denise Hanna. The address of the principal business office of Charlene Denise Hanna is 8012 Funny Cide Street, Las Vegas, NV 89131.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16</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Christopher Neilson Kenworthy and Julie Edwards Kenworthy. The address of the principal business office of Christopher Neilson Kenworthy and Julie Edwards Kenworthy is 13438 South Corner Bridge Lane, Draper, UT 84020.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17</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Conner Paul and Sage Paul. The address of the principal business office of Conner Paul and Sage Paul is 1800 Remembrance Hill Street, Las Vegas, NV 89144.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18</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shares directly held by Darcy Alan Stewart &amp; Colleen Stewart JT Ten. The address of the principal business office of Darcy Alan Stewart &amp; Colleen Stewart JT Ten is 5048 North Long Sky Drive, St. George, UT 84770.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19</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Douglas L. Glenn. The address of the principal business office of Douglas L. Glenn is 5818 Toofer Winds Court, Las Vegas, NV 89131.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20</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Kazuyoshi Hayashi &amp; Diana J. Hayashi, TTEES U/A DTD 08/03/2023 Hayashi Revocable Trust. The address of the principal business office of Kazuyoshi Hayashi &amp; Diana J. Hayashi, TTEES U/A DTD 08/03/2023 Hayashi Revocable Trust is 943 South Signal Hill, Fruit Heights, UT 84037.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21</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shares directly held by Jacob Reynolds. The address of the principal business office of Jacob Reynolds is 8544 Verde Park Circle, Las Vegas, NV 89129.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82"/>
        <w:gridCol w:w="1108"/>
        <w:gridCol w:w="60"/>
        <w:gridCol w:w="60"/>
        <w:gridCol w:w="76"/>
        <w:gridCol w:w="1024"/>
        <w:gridCol w:w="60"/>
        <w:gridCol w:w="60"/>
        <w:gridCol w:w="197"/>
        <w:gridCol w:w="993"/>
        <w:gridCol w:w="60"/>
        <w:gridCol w:w="60"/>
        <w:gridCol w:w="145"/>
        <w:gridCol w:w="730"/>
        <w:gridCol w:w="60"/>
        <w:gridCol w:w="60"/>
        <w:gridCol w:w="198"/>
        <w:gridCol w:w="992"/>
        <w:gridCol w:w="60"/>
        <w:gridCol w:w="60"/>
        <w:gridCol w:w="182"/>
        <w:gridCol w:w="918"/>
        <w:gridCol w:w="60"/>
        <w:gridCol w:w="60"/>
        <w:gridCol w:w="198"/>
        <w:gridCol w:w="992"/>
        <w:gridCol w:w="60"/>
        <w:gridCol w:w="60"/>
        <w:gridCol w:w="145"/>
        <w:gridCol w:w="730"/>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Jared Stewart and Melanie Stewart</w:t>
            </w:r>
            <w:r>
              <w:rPr>
                <w:rFonts w:ascii="Times New Roman;Times;Serif" w:hAnsi="Times New Roman;Times;Serif"/>
                <w:position w:val="7"/>
                <w:sz w:val="16"/>
                <w:sz w:val="20"/>
              </w:rPr>
              <w:t>22</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Kathryn J Skaggs</w:t>
            </w:r>
            <w:r>
              <w:rPr>
                <w:rFonts w:ascii="Times New Roman;Times;Serif" w:hAnsi="Times New Roman;Times;Serif"/>
                <w:position w:val="7"/>
                <w:sz w:val="16"/>
                <w:sz w:val="20"/>
              </w:rPr>
              <w:t>23</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12,500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Kelly Robb Thomas</w:t>
            </w:r>
            <w:r>
              <w:rPr>
                <w:rFonts w:ascii="Times New Roman;Times;Serif" w:hAnsi="Times New Roman;Times;Serif"/>
                <w:position w:val="7"/>
                <w:sz w:val="16"/>
                <w:sz w:val="20"/>
              </w:rPr>
              <w:t>24</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Mahlon B Edwards</w:t>
            </w:r>
            <w:r>
              <w:rPr>
                <w:rFonts w:ascii="Times New Roman;Times;Serif" w:hAnsi="Times New Roman;Times;Serif"/>
                <w:position w:val="7"/>
                <w:sz w:val="16"/>
                <w:sz w:val="20"/>
              </w:rPr>
              <w:t>25</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 R Bawden &amp; Trisha L Bawden Com Pro</w:t>
            </w:r>
            <w:r>
              <w:rPr>
                <w:rFonts w:ascii="Times New Roman;Times;Serif" w:hAnsi="Times New Roman;Times;Serif"/>
                <w:position w:val="7"/>
                <w:sz w:val="16"/>
                <w:sz w:val="20"/>
              </w:rPr>
              <w:t>26</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K Nielsen and Brandi Nielsen</w:t>
            </w:r>
            <w:r>
              <w:rPr>
                <w:rFonts w:ascii="Times New Roman;Times;Serif" w:hAnsi="Times New Roman;Times;Serif"/>
                <w:position w:val="7"/>
                <w:sz w:val="16"/>
                <w:sz w:val="20"/>
              </w:rPr>
              <w:t>27</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and Meagan Shaw Brokerage Account</w:t>
            </w:r>
            <w:r>
              <w:rPr>
                <w:rFonts w:ascii="Times New Roman;Times;Serif" w:hAnsi="Times New Roman;Times;Serif"/>
                <w:position w:val="7"/>
                <w:sz w:val="16"/>
                <w:sz w:val="20"/>
              </w:rPr>
              <w:t>28</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Winston Debry</w:t>
            </w:r>
            <w:r>
              <w:rPr>
                <w:rFonts w:ascii="Times New Roman;Times;Serif" w:hAnsi="Times New Roman;Times;Serif"/>
                <w:position w:val="7"/>
                <w:sz w:val="16"/>
                <w:sz w:val="20"/>
              </w:rPr>
              <w:t>29</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155,000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155,000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Freeman</w:t>
            </w:r>
            <w:r>
              <w:rPr>
                <w:rFonts w:ascii="Times New Roman;Times;Serif" w:hAnsi="Times New Roman;Times;Serif"/>
                <w:position w:val="7"/>
                <w:sz w:val="16"/>
                <w:sz w:val="20"/>
              </w:rPr>
              <w:t>30</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Revocable Trust</w:t>
            </w:r>
            <w:r>
              <w:rPr>
                <w:rFonts w:ascii="Times New Roman;Times;Serif" w:hAnsi="Times New Roman;Times;Serif"/>
                <w:position w:val="7"/>
                <w:sz w:val="16"/>
                <w:sz w:val="20"/>
              </w:rPr>
              <w:t>31</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62,500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62,500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Randall Scott Thomas</w:t>
            </w:r>
            <w:r>
              <w:rPr>
                <w:rFonts w:ascii="Times New Roman;Times;Serif" w:hAnsi="Times New Roman;Times;Serif"/>
                <w:position w:val="7"/>
                <w:sz w:val="16"/>
                <w:sz w:val="20"/>
              </w:rPr>
              <w:t>32</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Ryan Allen</w:t>
            </w:r>
            <w:r>
              <w:rPr>
                <w:rFonts w:ascii="Times New Roman;Times;Serif" w:hAnsi="Times New Roman;Times;Serif"/>
                <w:position w:val="7"/>
                <w:sz w:val="16"/>
                <w:sz w:val="20"/>
              </w:rPr>
              <w:t>33</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22</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shares directly held by Jacob Stewart and Melanie Stewart. The address of the principal business office of Jacob Stewart and Melanie Stewart is 7866 Morning Gallop Court, Las Vegas, NV 89131.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23</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shares directly held by Kathryn J. Skaggs. The address of the principal business office of Kathryn J. Skaggs is 40502 Corte De Opalo, Murrieta, CA 92562.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24</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Kelly Robb Thomas. The address of the principal business office of Kelly Robb Thomas is 2000 Silverton Drive, Henderson, NV 89074.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25</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Mahlon B. Edwards. The address of the principal business office of Mahlon B. Edwards is 1056 Oilipuu Place, Honolulu, HI 96825.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26</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shares directly held by Marc R. Bawden &amp; Trisha L. Bawden Com Pro. The address of the principal business office of Marc R. Bawden &amp; Trisha L. Bawden Com Pro is 5835 Angelic Dreams Court, Las Vegas, NV 89149.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27</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shares directly held by Matthew K. Nielsen and Brandi Nielsen. The address of the principal business office of Matthew K. Nielsen and Brandi Nielsen is 1108 Emerald Tint Court, Las Vegas, NV 89144.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28</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shares directly held by Michael and Meagan Shaw Brokerage Account. The address of the principal business office of Michael and Meagan Shaw Brokerage Account is 7361 Dazzle Point Street, Las Vegas, NV 89084.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29</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Peter Winston Debry. The address of the principal business office of Peter Winston Debry is 10025 Robin Oaks Drive, Las Vegas, NV 89117.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30</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shares directly held by Paul Freeman. The address of the principal business office of Paul Freeman is 7900 Orchard Port Avenue, Las Vegas, NV 89131.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31</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Paul Revocable Trust. The address of the principal business office of Paul Revocable Trust is 189 South 1210 West, St. George, UT 84770.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32</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Randall Scott Thomas. The address of the principal business office of Randall Scott Thomas is 1655 Shootout Place, Henderson, NV 89002.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33</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Ryan Allen. The address of the principal business office of Ryan Allen is 1474 East Toliman Way, Washington, UT 84780.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95"/>
        <w:gridCol w:w="1095"/>
        <w:gridCol w:w="60"/>
        <w:gridCol w:w="60"/>
        <w:gridCol w:w="88"/>
        <w:gridCol w:w="1012"/>
        <w:gridCol w:w="60"/>
        <w:gridCol w:w="60"/>
        <w:gridCol w:w="197"/>
        <w:gridCol w:w="993"/>
        <w:gridCol w:w="60"/>
        <w:gridCol w:w="60"/>
        <w:gridCol w:w="145"/>
        <w:gridCol w:w="730"/>
        <w:gridCol w:w="60"/>
        <w:gridCol w:w="60"/>
        <w:gridCol w:w="198"/>
        <w:gridCol w:w="992"/>
        <w:gridCol w:w="60"/>
        <w:gridCol w:w="60"/>
        <w:gridCol w:w="182"/>
        <w:gridCol w:w="918"/>
        <w:gridCol w:w="60"/>
        <w:gridCol w:w="60"/>
        <w:gridCol w:w="198"/>
        <w:gridCol w:w="992"/>
        <w:gridCol w:w="60"/>
        <w:gridCol w:w="60"/>
        <w:gridCol w:w="145"/>
        <w:gridCol w:w="730"/>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Samuel Lee Richardson</w:t>
            </w:r>
            <w:r>
              <w:rPr>
                <w:rFonts w:ascii="Times New Roman;Times;Serif" w:hAnsi="Times New Roman;Times;Serif"/>
                <w:position w:val="7"/>
                <w:sz w:val="16"/>
                <w:sz w:val="20"/>
              </w:rPr>
              <w:t>34</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Young Irrevocable TR Scott V Young TTEE Christine Young TTEE U/A DTD 6/10/02</w:t>
            </w:r>
            <w:r>
              <w:rPr>
                <w:rFonts w:ascii="Times New Roman;Times;Serif" w:hAnsi="Times New Roman;Times;Serif"/>
                <w:position w:val="7"/>
                <w:sz w:val="16"/>
                <w:sz w:val="20"/>
              </w:rPr>
              <w:t>35</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Steven and Jennette Paul Rev Living Trust</w:t>
            </w:r>
            <w:r>
              <w:rPr>
                <w:rFonts w:ascii="Times New Roman;Times;Serif" w:hAnsi="Times New Roman;Times;Serif"/>
                <w:position w:val="7"/>
                <w:sz w:val="16"/>
                <w:sz w:val="20"/>
              </w:rPr>
              <w:t>36</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81,250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81,250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Susan Polley &amp; James Polley</w:t>
            </w:r>
            <w:r>
              <w:rPr>
                <w:rFonts w:ascii="Times New Roman;Times;Serif" w:hAnsi="Times New Roman;Times;Serif"/>
                <w:position w:val="7"/>
                <w:sz w:val="16"/>
                <w:sz w:val="20"/>
              </w:rPr>
              <w:t>37</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1997 Edwards Trust Trustee Keith R. Edwards</w:t>
            </w:r>
            <w:r>
              <w:rPr>
                <w:rFonts w:ascii="Times New Roman;Times;Serif" w:hAnsi="Times New Roman;Times;Serif"/>
                <w:position w:val="7"/>
                <w:sz w:val="16"/>
                <w:sz w:val="20"/>
              </w:rPr>
              <w:t>38</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GSKHO, LLC</w:t>
            </w:r>
            <w:r>
              <w:rPr>
                <w:rFonts w:ascii="Times New Roman;Times;Serif" w:hAnsi="Times New Roman;Times;Serif"/>
                <w:position w:val="7"/>
                <w:sz w:val="16"/>
                <w:sz w:val="20"/>
              </w:rPr>
              <w:t>39</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27,500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27,500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and Amy Walker</w:t>
            </w:r>
            <w:r>
              <w:rPr>
                <w:rFonts w:ascii="Times New Roman;Times;Serif" w:hAnsi="Times New Roman;Times;Serif"/>
                <w:position w:val="7"/>
                <w:sz w:val="16"/>
                <w:sz w:val="20"/>
              </w:rPr>
              <w:t>40</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3,750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3,750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A Hammack</w:t>
            </w:r>
            <w:r>
              <w:rPr>
                <w:rFonts w:ascii="Times New Roman;Times;Serif" w:hAnsi="Times New Roman;Times;Serif"/>
                <w:position w:val="7"/>
                <w:sz w:val="16"/>
                <w:sz w:val="20"/>
              </w:rPr>
              <w:t>41</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27,500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27,500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Ryan Dudley &amp; Loryn Dudley</w:t>
            </w:r>
            <w:r>
              <w:rPr>
                <w:rFonts w:ascii="Times New Roman;Times;Serif" w:hAnsi="Times New Roman;Times;Serif"/>
                <w:position w:val="7"/>
                <w:sz w:val="16"/>
                <w:sz w:val="20"/>
              </w:rPr>
              <w:t>42</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Ryan Spencer Stephens</w:t>
            </w:r>
            <w:r>
              <w:rPr>
                <w:rFonts w:ascii="Times New Roman;Times;Serif" w:hAnsi="Times New Roman;Times;Serif"/>
                <w:position w:val="7"/>
                <w:sz w:val="16"/>
                <w:sz w:val="20"/>
              </w:rPr>
              <w:t>43</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6,875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6,875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Mark Turner &amp; Virginia Turner TTEES The Turner Family Trust DTD 10/21/2016</w:t>
            </w:r>
            <w:r>
              <w:rPr>
                <w:rFonts w:ascii="Times New Roman;Times;Serif" w:hAnsi="Times New Roman;Times;Serif"/>
                <w:position w:val="7"/>
                <w:sz w:val="16"/>
                <w:sz w:val="20"/>
              </w:rPr>
              <w:t>44</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34</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Samuel Lee Richardson. The address of the principal business office of Samuel Lee Richardson is 8720 Melissa Meadows Street, Las Vegas, NV 89131.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35</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Represents shares directly held by Young Irrevocable TR Scott V Young TTEE Christine Young TTEE U/A DTD 6/10/02. The address of the principal business office of Young Irrevocable TR Scott V Young TTEE Christine Young TTEE U/A DTD 6/10/02 is 30 Sankaty Circle, Henderson, NV 89052.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36</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The Steven and Jennette Paul Rev Living Trust. The address of the principal business office of The Steven and Jennette Paul Rev Living Trust is 31871 Paseo Monte Vista, San Juan Capistrano, CA 92675.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37</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Susan Polley &amp; James Polley. The address of the principal business office of Susan Polley &amp; James Polley is 8647 Golden Canyon Road, Las Vegas, NV 89129.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38</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1997 Edwards Trust Trustee Keith R. Edwards. The address of the principal business office of 1997 Edwards Trust Trustee Keith R. Edwards is 1512 Homecoming Ave., South Jordan, UT 84095.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39</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shares directly held by GSKHO, LLC. The address of the principal business office of GSKHO, LLC is 1165 Grove Creek Dr., Pleasant Grove, UT 84062.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40</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James and Amy Walker. The address of the principal business office of James and Amy Walker is P.O. Box 1290, Logandale, NV 89021.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41</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Jeffrey A. Hammack. The address of the principal business office of Jeffrey A. Hammack is 7731 Mojave Yucca Court, Las Vegas, NV 89131.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42</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Ryan Dudley &amp; Loryn Dudley. The address of the principal business office of Ryan Dudley &amp; Loryn Dudley is 2649 S. Fairmont Estates Dr., Greenacres, Was 99016.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43</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Ryan Spencer Stephens. The address of the principal business office of Ryan Spencer Stephens is 3128 Swiss Drive, Santa Clara, UT 84765.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44</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Raymond Mark Turner &amp; Virginia Turner TTEES The Turner Family Trust DTD 10/21/2016. The address of the principal business office of Raymond Mark Turner &amp; Virginia Turner TTEES The Turner Family Trust DTD 10/21/2016 is 923 Konga Drive, Las Vegas, NV 89123.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82"/>
        <w:gridCol w:w="1108"/>
        <w:gridCol w:w="60"/>
        <w:gridCol w:w="60"/>
        <w:gridCol w:w="76"/>
        <w:gridCol w:w="1024"/>
        <w:gridCol w:w="60"/>
        <w:gridCol w:w="60"/>
        <w:gridCol w:w="114"/>
        <w:gridCol w:w="1076"/>
        <w:gridCol w:w="60"/>
        <w:gridCol w:w="60"/>
        <w:gridCol w:w="84"/>
        <w:gridCol w:w="791"/>
        <w:gridCol w:w="60"/>
        <w:gridCol w:w="60"/>
        <w:gridCol w:w="115"/>
        <w:gridCol w:w="1075"/>
        <w:gridCol w:w="60"/>
        <w:gridCol w:w="60"/>
        <w:gridCol w:w="105"/>
        <w:gridCol w:w="995"/>
        <w:gridCol w:w="60"/>
        <w:gridCol w:w="60"/>
        <w:gridCol w:w="115"/>
        <w:gridCol w:w="1075"/>
        <w:gridCol w:w="60"/>
        <w:gridCol w:w="60"/>
        <w:gridCol w:w="89"/>
        <w:gridCol w:w="786"/>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Johnathan Jerotz &amp; Sarah Jerotz JT Ten</w:t>
            </w:r>
            <w:r>
              <w:rPr>
                <w:rFonts w:ascii="Times New Roman;Times;Serif" w:hAnsi="Times New Roman;Times;Serif"/>
                <w:position w:val="7"/>
                <w:sz w:val="16"/>
                <w:sz w:val="20"/>
              </w:rPr>
              <w:t>45</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121,250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Kory Coleman</w:t>
            </w:r>
            <w:r>
              <w:rPr>
                <w:rFonts w:ascii="Times New Roman;Times;Serif" w:hAnsi="Times New Roman;Times;Serif"/>
                <w:position w:val="7"/>
                <w:sz w:val="16"/>
                <w:sz w:val="20"/>
              </w:rPr>
              <w:t>46</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97,000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97,000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Phillips Shackelford Jr.</w:t>
            </w:r>
            <w:r>
              <w:rPr>
                <w:rFonts w:ascii="Times New Roman;Times;Serif" w:hAnsi="Times New Roman;Times;Serif"/>
                <w:position w:val="7"/>
                <w:sz w:val="16"/>
                <w:sz w:val="20"/>
              </w:rPr>
              <w:t>47</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76,387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76,387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Aaron Nemec</w:t>
            </w:r>
            <w:r>
              <w:rPr>
                <w:rFonts w:ascii="Times New Roman;Times;Serif" w:hAnsi="Times New Roman;Times;Serif"/>
                <w:position w:val="7"/>
                <w:sz w:val="16"/>
                <w:sz w:val="20"/>
              </w:rPr>
              <w:t>48</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72,750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72,750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Just</w:t>
            </w:r>
            <w:r>
              <w:rPr>
                <w:rFonts w:ascii="Times New Roman;Times;Serif" w:hAnsi="Times New Roman;Times;Serif"/>
                <w:position w:val="7"/>
                <w:sz w:val="16"/>
                <w:sz w:val="20"/>
              </w:rPr>
              <w:t>49</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48,500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S. Rodgers</w:t>
            </w:r>
            <w:r>
              <w:rPr>
                <w:rFonts w:ascii="Times New Roman;Times;Serif" w:hAnsi="Times New Roman;Times;Serif"/>
                <w:position w:val="7"/>
                <w:sz w:val="16"/>
                <w:sz w:val="20"/>
              </w:rPr>
              <w:t>50</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48,500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48,500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John Winspear &amp; Gina Gilbert Winspear JT</w:t>
            </w:r>
            <w:r>
              <w:rPr>
                <w:rFonts w:ascii="Times New Roman;Times;Serif" w:hAnsi="Times New Roman;Times;Serif"/>
                <w:position w:val="7"/>
                <w:sz w:val="16"/>
                <w:sz w:val="20"/>
              </w:rPr>
              <w:t>51</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36,375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36,375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Trent Stimpson</w:t>
            </w:r>
            <w:r>
              <w:rPr>
                <w:rFonts w:ascii="Times New Roman;Times;Serif" w:hAnsi="Times New Roman;Times;Serif"/>
                <w:position w:val="7"/>
                <w:sz w:val="16"/>
                <w:sz w:val="20"/>
              </w:rPr>
              <w:t>52</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36,375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36,375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Jacob Porter</w:t>
            </w:r>
            <w:r>
              <w:rPr>
                <w:rFonts w:ascii="Times New Roman;Times;Serif" w:hAnsi="Times New Roman;Times;Serif"/>
                <w:position w:val="7"/>
                <w:sz w:val="16"/>
                <w:sz w:val="20"/>
              </w:rPr>
              <w:t>53</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30,312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30,312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Christy Nichol Nemec</w:t>
            </w:r>
            <w:r>
              <w:rPr>
                <w:rFonts w:ascii="Times New Roman;Times;Serif" w:hAnsi="Times New Roman;Times;Serif"/>
                <w:position w:val="7"/>
                <w:sz w:val="16"/>
                <w:sz w:val="20"/>
              </w:rPr>
              <w:t>54</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30,312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30,312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Bryson T. Smith</w:t>
            </w:r>
            <w:r>
              <w:rPr>
                <w:rFonts w:ascii="Times New Roman;Times;Serif" w:hAnsi="Times New Roman;Times;Serif"/>
                <w:position w:val="7"/>
                <w:sz w:val="16"/>
                <w:sz w:val="20"/>
              </w:rPr>
              <w:t>55</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30,312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30,312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Davies Brothers, LLC</w:t>
            </w:r>
            <w:r>
              <w:rPr>
                <w:rFonts w:ascii="Times New Roman;Times;Serif" w:hAnsi="Times New Roman;Times;Serif"/>
                <w:position w:val="7"/>
                <w:sz w:val="16"/>
                <w:sz w:val="20"/>
              </w:rPr>
              <w:t>56</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29,100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29,100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45</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Johnathan Jerotz &amp; Sarah Jerotz JT Ten. The address of the principal business office of Johnathan Jerotz &amp; Sarah Jerotz JT Ten is 3304 Lone Hill Ln, Encinitas, CA 92024.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46</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Kory Coleman. The address of the principal business office of Kory Coleman is 529 E. Oak Hollow Ct., Bountiful, UT 84010.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47</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John Phillips Shackelford Jr. The address of the principal business office of John Phillips Shackelford Jr. is 2100 S. Ocean Dr., Apt. 17K, Fort Lauderdale, FL 33316.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48</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Aaron Nemec. The address of the principal business office of Aaron Nemec is 1783 E. Lone Shore Lane,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49</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Steven Just. The address of the principal business office of Steven Just is 3179 S. Cobble Way, Meridian, ID 83642.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50</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Michael S. Rodgers. The address of the principal business office of Michael S. Rodgers is P.O. Box 891, Meridian, ID 83680.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51</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Christopher John Winspear &amp; Gina Gilbert Winspear JT. The address of the principal business office of Christopher John Winspear &amp; Gina Gilbert Winspear JT is 4776 Barcelona Ridge Ct., Las Vegas, NV 89129.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52</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Trent Simpson. The address of the principal business office of Trent Simpson is 6667 Trinity Creek Ln, Star, ID 83669.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53</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James Jacob Porter. The address of the principal business office of James Jacob Porter, 5 The Ests, Dorado, PR 00646.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54</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Christy Nichol Nemec. The address of the principal business office of Christy Nichol Nemec is 1783 E. Lone Shore Ln,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55</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Bryson T. Smith. The address of the principal business office of Bryson T. Smith is 4622 N. Arches Ave.,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56</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Davies Brothers, LLC. The address of the principal business office of Davies Brothers, LLC is 2305 W. Boulder Bar Dr., Meridian, ID 83646.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95"/>
        <w:gridCol w:w="1095"/>
        <w:gridCol w:w="60"/>
        <w:gridCol w:w="60"/>
        <w:gridCol w:w="88"/>
        <w:gridCol w:w="1012"/>
        <w:gridCol w:w="60"/>
        <w:gridCol w:w="60"/>
        <w:gridCol w:w="95"/>
        <w:gridCol w:w="1095"/>
        <w:gridCol w:w="60"/>
        <w:gridCol w:w="60"/>
        <w:gridCol w:w="84"/>
        <w:gridCol w:w="791"/>
        <w:gridCol w:w="60"/>
        <w:gridCol w:w="60"/>
        <w:gridCol w:w="115"/>
        <w:gridCol w:w="1075"/>
        <w:gridCol w:w="60"/>
        <w:gridCol w:w="60"/>
        <w:gridCol w:w="105"/>
        <w:gridCol w:w="995"/>
        <w:gridCol w:w="60"/>
        <w:gridCol w:w="60"/>
        <w:gridCol w:w="115"/>
        <w:gridCol w:w="1075"/>
        <w:gridCol w:w="60"/>
        <w:gridCol w:w="60"/>
        <w:gridCol w:w="89"/>
        <w:gridCol w:w="786"/>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Logan Properties, LLC</w:t>
            </w:r>
            <w:r>
              <w:rPr>
                <w:rFonts w:ascii="Times New Roman;Times;Serif" w:hAnsi="Times New Roman;Times;Serif"/>
                <w:position w:val="7"/>
                <w:sz w:val="16"/>
                <w:sz w:val="20"/>
              </w:rPr>
              <w:t>57</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25,220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25,220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Jewell James</w:t>
            </w:r>
            <w:r>
              <w:rPr>
                <w:rFonts w:ascii="Times New Roman;Times;Serif" w:hAnsi="Times New Roman;Times;Serif"/>
                <w:position w:val="7"/>
                <w:sz w:val="16"/>
                <w:sz w:val="20"/>
              </w:rPr>
              <w:t>58</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PRK Investments, LLC</w:t>
            </w:r>
            <w:r>
              <w:rPr>
                <w:rFonts w:ascii="Times New Roman;Times;Serif" w:hAnsi="Times New Roman;Times;Serif"/>
                <w:position w:val="7"/>
                <w:sz w:val="16"/>
                <w:sz w:val="20"/>
              </w:rPr>
              <w:t>59</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44,841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24,250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20,591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 Shockley</w:t>
            </w:r>
            <w:r>
              <w:rPr>
                <w:rFonts w:ascii="Times New Roman;Times;Serif" w:hAnsi="Times New Roman;Times;Serif"/>
                <w:position w:val="7"/>
                <w:sz w:val="16"/>
                <w:sz w:val="20"/>
              </w:rPr>
              <w:t>60</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55,137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24,250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Ty Snyder</w:t>
            </w:r>
            <w:r>
              <w:rPr>
                <w:rFonts w:ascii="Times New Roman;Times;Serif" w:hAnsi="Times New Roman;Times;Serif"/>
                <w:position w:val="7"/>
                <w:sz w:val="16"/>
                <w:sz w:val="20"/>
              </w:rPr>
              <w:t>61</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24,250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24,250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Ray Olson</w:t>
            </w:r>
            <w:r>
              <w:rPr>
                <w:rFonts w:ascii="Times New Roman;Times;Serif" w:hAnsi="Times New Roman;Times;Serif"/>
                <w:position w:val="7"/>
                <w:sz w:val="16"/>
                <w:sz w:val="20"/>
              </w:rPr>
              <w:t>62</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24,250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24,250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 Majerus</w:t>
            </w:r>
            <w:r>
              <w:rPr>
                <w:rFonts w:ascii="Times New Roman;Times;Serif" w:hAnsi="Times New Roman;Times;Serif"/>
                <w:position w:val="7"/>
                <w:sz w:val="16"/>
                <w:sz w:val="20"/>
              </w:rPr>
              <w:t>63</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24,250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24,250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Bradley Chatlin</w:t>
            </w:r>
            <w:r>
              <w:rPr>
                <w:rFonts w:ascii="Times New Roman;Times;Serif" w:hAnsi="Times New Roman;Times;Serif"/>
                <w:position w:val="7"/>
                <w:sz w:val="16"/>
                <w:sz w:val="20"/>
              </w:rPr>
              <w:t>64</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24,250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24,250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Darin Ball</w:t>
            </w:r>
            <w:r>
              <w:rPr>
                <w:rFonts w:ascii="Times New Roman;Times;Serif" w:hAnsi="Times New Roman;Times;Serif"/>
                <w:position w:val="7"/>
                <w:sz w:val="16"/>
                <w:sz w:val="20"/>
              </w:rPr>
              <w:t>65</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24,250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24,250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Ibos</w:t>
            </w:r>
            <w:r>
              <w:rPr>
                <w:rFonts w:ascii="Times New Roman;Times;Serif" w:hAnsi="Times New Roman;Times;Serif"/>
                <w:position w:val="7"/>
                <w:sz w:val="16"/>
                <w:sz w:val="20"/>
              </w:rPr>
              <w:t>66</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24,250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24,250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Wendy Foster</w:t>
            </w:r>
            <w:r>
              <w:rPr>
                <w:rFonts w:ascii="Times New Roman;Times;Serif" w:hAnsi="Times New Roman;Times;Serif"/>
                <w:position w:val="7"/>
                <w:sz w:val="16"/>
                <w:sz w:val="20"/>
              </w:rPr>
              <w:t>67</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24,250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24,250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57</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Logan Properties, LLC. John R. Logan is the sole member of Logan Properties, LLC. The address of the principal business office of Logan Properties is 1105 W. Jackson, Tupelo, MS 38804.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58</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Jewell James. The address of the principal business office of Jewell James is P.O. Box 2727, Pearland, TX 77588.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59</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PRK Investments, LLC. Richard Pinol and David Kracke are the managing members of PRK Investments, LLC. The address of the principal business office of PRK Investments is 1487 S. David Lane, Boise, ID 83705.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60</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Rob Shockley. The address of the principal business office of Rob Shockley is 1313 S. Watermark Ave., Eagle, ID 83616.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61</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Ty Snyder. The address of the principal business office of Ty Snyder is 2855 W. Torana Dr.,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62</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James Ray Olson. The address of the principal business office of James Ray Olson is 5660 E. Franklin Rd., Suite 321, Nampa, ID 83687.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63</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Steve Majerus. The address of the principal business office of Steve Majerus is 7737 Camino Sin Puente, Rancho Santa Fe, CA 92607.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64</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Bradley Chatlin. The address of the principal business office of Bradley Chatlin is 2387 N. Stonecrest Place,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65</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Darin Ball. The address of the principal business office of Darin Ball is 2605 S. Arthur St., Spokane, WA 99203.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66</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Jeffrey Ibos. The address of the principal business office of Jeffrey Ibos is P.O. Box 2084, Covington, LA 70434.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67</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Wendy Foster. The address of the principal business office of Wendy Foster is 13403 Stockton Creek Rd., Preston, ID 83263.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95"/>
        <w:gridCol w:w="1095"/>
        <w:gridCol w:w="60"/>
        <w:gridCol w:w="60"/>
        <w:gridCol w:w="88"/>
        <w:gridCol w:w="1012"/>
        <w:gridCol w:w="60"/>
        <w:gridCol w:w="60"/>
        <w:gridCol w:w="114"/>
        <w:gridCol w:w="1076"/>
        <w:gridCol w:w="60"/>
        <w:gridCol w:w="60"/>
        <w:gridCol w:w="84"/>
        <w:gridCol w:w="791"/>
        <w:gridCol w:w="60"/>
        <w:gridCol w:w="60"/>
        <w:gridCol w:w="115"/>
        <w:gridCol w:w="1075"/>
        <w:gridCol w:w="60"/>
        <w:gridCol w:w="60"/>
        <w:gridCol w:w="105"/>
        <w:gridCol w:w="995"/>
        <w:gridCol w:w="60"/>
        <w:gridCol w:w="60"/>
        <w:gridCol w:w="115"/>
        <w:gridCol w:w="1075"/>
        <w:gridCol w:w="60"/>
        <w:gridCol w:w="60"/>
        <w:gridCol w:w="89"/>
        <w:gridCol w:w="786"/>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Price and Judy Price JT Ten</w:t>
            </w:r>
            <w:r>
              <w:rPr>
                <w:rFonts w:ascii="Times New Roman;Times;Serif" w:hAnsi="Times New Roman;Times;Serif"/>
                <w:position w:val="7"/>
                <w:sz w:val="16"/>
                <w:sz w:val="20"/>
              </w:rPr>
              <w:t>68</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23,401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23,401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Lloyd</w:t>
            </w:r>
            <w:r>
              <w:rPr>
                <w:rFonts w:ascii="Times New Roman;Times;Serif" w:hAnsi="Times New Roman;Times;Serif"/>
                <w:position w:val="7"/>
                <w:sz w:val="16"/>
                <w:sz w:val="20"/>
              </w:rPr>
              <w:t>69</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18,093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18,093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Kristopher Townsend &amp; Amanda Townsend JT Ten</w:t>
            </w:r>
            <w:r>
              <w:rPr>
                <w:rFonts w:ascii="Times New Roman;Times;Serif" w:hAnsi="Times New Roman;Times;Serif"/>
                <w:position w:val="7"/>
                <w:sz w:val="16"/>
                <w:sz w:val="20"/>
              </w:rPr>
              <w:t>70</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18,093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18,093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DDJ Investments, LLC</w:t>
            </w:r>
            <w:r>
              <w:rPr>
                <w:rFonts w:ascii="Times New Roman;Times;Serif" w:hAnsi="Times New Roman;Times;Serif"/>
                <w:position w:val="7"/>
                <w:sz w:val="16"/>
                <w:sz w:val="20"/>
              </w:rPr>
              <w:t>71</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18,093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18,093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Greg Hardee</w:t>
            </w:r>
            <w:r>
              <w:rPr>
                <w:rFonts w:ascii="Times New Roman;Times;Serif" w:hAnsi="Times New Roman;Times;Serif"/>
                <w:position w:val="7"/>
                <w:sz w:val="16"/>
                <w:sz w:val="20"/>
              </w:rPr>
              <w:t>72</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14,475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14,475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Thompson</w:t>
            </w:r>
            <w:r>
              <w:rPr>
                <w:rFonts w:ascii="Times New Roman;Times;Serif" w:hAnsi="Times New Roman;Times;Serif"/>
                <w:position w:val="7"/>
                <w:sz w:val="16"/>
                <w:sz w:val="20"/>
              </w:rPr>
              <w:t>73</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14,475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14,475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R. Stegner &amp; Laurie K.E. Stegner JT Ten</w:t>
            </w:r>
            <w:r>
              <w:rPr>
                <w:rFonts w:ascii="Times New Roman;Times;Serif" w:hAnsi="Times New Roman;Times;Serif"/>
                <w:position w:val="7"/>
                <w:sz w:val="16"/>
                <w:sz w:val="20"/>
              </w:rPr>
              <w:t>74</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13,268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13,268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Payette Investments, LLC</w:t>
            </w:r>
            <w:r>
              <w:rPr>
                <w:rFonts w:ascii="Times New Roman;Times;Serif" w:hAnsi="Times New Roman;Times;Serif"/>
                <w:position w:val="7"/>
                <w:sz w:val="16"/>
                <w:sz w:val="20"/>
              </w:rPr>
              <w:t>75</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12,062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12,062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C. Lamm</w:t>
            </w:r>
            <w:r>
              <w:rPr>
                <w:rFonts w:ascii="Times New Roman;Times;Serif" w:hAnsi="Times New Roman;Times;Serif"/>
                <w:position w:val="7"/>
                <w:sz w:val="16"/>
                <w:sz w:val="20"/>
              </w:rPr>
              <w:t>76</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12,062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12,062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Darren Davies</w:t>
            </w:r>
            <w:r>
              <w:rPr>
                <w:rFonts w:ascii="Times New Roman;Times;Serif" w:hAnsi="Times New Roman;Times;Serif"/>
                <w:position w:val="7"/>
                <w:sz w:val="16"/>
                <w:sz w:val="20"/>
              </w:rPr>
              <w:t>77</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12,062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12,062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Hemanth Kumar</w:t>
            </w:r>
            <w:r>
              <w:rPr>
                <w:rFonts w:ascii="Times New Roman;Times;Serif" w:hAnsi="Times New Roman;Times;Serif"/>
                <w:position w:val="7"/>
                <w:sz w:val="16"/>
                <w:sz w:val="20"/>
              </w:rPr>
              <w:t>78</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12,062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12,062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68</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Charles Price and Judy Price JT Ten. The address of the principal business office of Charles Price and Judy Price JT Ten is 5001 W. Tia Inez St.,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69</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Steven Lloyd. The address of the principal business office of Steven Lloyd is 3505 N. Llama Way,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70</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Kristopher Townsend &amp; Amanda Townsend JT Ten. The address of the principal business office of Kristopher Townsend &amp; Amanda Townsend JT Ten is 3011 N. Merlot Place, Star, ID 83669.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71</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DDJ Investments, LLC. The address of the principal business office of DDJ Investments, LLC is 1487 S. David Lane, Boise, ID 83705.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72</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Greg Hardee. The address of the principal business office of Greg Hardee is 3371 E. Heartleaf Dr., Boise, ID 83716.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73</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Scott Thompson. The address of the principal business office of Scott Thompson is 457 West Two Rivers Dr.,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74</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John R. Stegner &amp; Laurie K.E. Stegner JT Ten. The address of the principal business office of John R. Stegner &amp; Laurie K.E. Stegner JT Ten is 420 W. Main St., Suite 403, Boise, ID 83702.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75</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Payette Investments, LLC. Matthew T. Moore and Donal C. Christensen are the controlling members of Payette Investments, LLC. The address of the principal business office of Payette Investments LLC is 202 N. 9</w:t>
            </w:r>
            <w:r>
              <w:rPr>
                <w:rFonts w:ascii="Times New Roman;Times;Serif" w:hAnsi="Times New Roman;Times;Serif"/>
                <w:position w:val="7"/>
                <w:sz w:val="16"/>
                <w:sz w:val="20"/>
              </w:rPr>
              <w:t>th</w:t>
            </w:r>
            <w:r>
              <w:rPr>
                <w:rFonts w:ascii="Times New Roman;Times;Serif" w:hAnsi="Times New Roman;Times;Serif"/>
                <w:sz w:val="20"/>
              </w:rPr>
              <w:t xml:space="preserve"> St., Suite 300, Boise, ID 83702.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76</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Scott C. Lamm. The address of the principal business office of Scott C. Lamm is 1775 W. State St. #222, Boise, ID 83702.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77</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Darren Davies. The address of the principal business office of Darren Davies is 3704 S. Riva Ridge Way, Boise, ID 83709.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78</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Hemanth Kumar. The address of the principal business office of Hemanth Kumar is 2644 Rue Montpellier Ave, Henderson, NV 89044.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95"/>
        <w:gridCol w:w="1095"/>
        <w:gridCol w:w="60"/>
        <w:gridCol w:w="60"/>
        <w:gridCol w:w="88"/>
        <w:gridCol w:w="1012"/>
        <w:gridCol w:w="60"/>
        <w:gridCol w:w="60"/>
        <w:gridCol w:w="114"/>
        <w:gridCol w:w="1076"/>
        <w:gridCol w:w="60"/>
        <w:gridCol w:w="60"/>
        <w:gridCol w:w="84"/>
        <w:gridCol w:w="791"/>
        <w:gridCol w:w="60"/>
        <w:gridCol w:w="60"/>
        <w:gridCol w:w="115"/>
        <w:gridCol w:w="1075"/>
        <w:gridCol w:w="60"/>
        <w:gridCol w:w="60"/>
        <w:gridCol w:w="105"/>
        <w:gridCol w:w="995"/>
        <w:gridCol w:w="60"/>
        <w:gridCol w:w="60"/>
        <w:gridCol w:w="115"/>
        <w:gridCol w:w="1075"/>
        <w:gridCol w:w="60"/>
        <w:gridCol w:w="60"/>
        <w:gridCol w:w="89"/>
        <w:gridCol w:w="786"/>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36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Clark Investments, LLC</w:t>
            </w:r>
            <w:r>
              <w:rPr>
                <w:rFonts w:ascii="Times New Roman;Times;Serif" w:hAnsi="Times New Roman;Times;Serif"/>
                <w:position w:val="7"/>
                <w:sz w:val="16"/>
                <w:sz w:val="20"/>
              </w:rPr>
              <w:t>79</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12,062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12,062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Lance Churchill</w:t>
            </w:r>
            <w:r>
              <w:rPr>
                <w:rFonts w:ascii="Times New Roman;Times;Serif" w:hAnsi="Times New Roman;Times;Serif"/>
                <w:position w:val="7"/>
                <w:sz w:val="16"/>
                <w:sz w:val="20"/>
              </w:rPr>
              <w:t>80</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12,062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12,062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and Valynn Price</w:t>
            </w:r>
            <w:r>
              <w:rPr>
                <w:rFonts w:ascii="Times New Roman;Times;Serif" w:hAnsi="Times New Roman;Times;Serif"/>
                <w:position w:val="7"/>
                <w:sz w:val="16"/>
                <w:sz w:val="20"/>
              </w:rPr>
              <w:t>81</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12,062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12,062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Luke Nemec</w:t>
            </w:r>
            <w:r>
              <w:rPr>
                <w:rFonts w:ascii="Times New Roman;Times;Serif" w:hAnsi="Times New Roman;Times;Serif"/>
                <w:position w:val="7"/>
                <w:sz w:val="16"/>
                <w:sz w:val="20"/>
              </w:rPr>
              <w:t>82</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12,062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12,062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Jerry Lee Miles</w:t>
            </w:r>
            <w:r>
              <w:rPr>
                <w:rFonts w:ascii="Times New Roman;Times;Serif" w:hAnsi="Times New Roman;Times;Serif"/>
                <w:position w:val="7"/>
                <w:sz w:val="16"/>
                <w:sz w:val="20"/>
              </w:rPr>
              <w:t>83</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12,062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12,062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Timothy Smith &amp; Molly Smith JT Ten</w:t>
            </w:r>
            <w:r>
              <w:rPr>
                <w:rFonts w:ascii="Times New Roman;Times;Serif" w:hAnsi="Times New Roman;Times;Serif"/>
                <w:position w:val="7"/>
                <w:sz w:val="16"/>
                <w:sz w:val="20"/>
              </w:rPr>
              <w:t>84</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9,650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9,650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Clausen Family Trust</w:t>
            </w:r>
            <w:r>
              <w:rPr>
                <w:rFonts w:ascii="Times New Roman;Times;Serif" w:hAnsi="Times New Roman;Times;Serif"/>
                <w:position w:val="7"/>
                <w:sz w:val="16"/>
                <w:sz w:val="20"/>
              </w:rPr>
              <w:t>85</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8,443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8,443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Tina Marie Slippy</w:t>
            </w:r>
            <w:r>
              <w:rPr>
                <w:rFonts w:ascii="Times New Roman;Times;Serif" w:hAnsi="Times New Roman;Times;Serif"/>
                <w:position w:val="7"/>
                <w:sz w:val="16"/>
                <w:sz w:val="20"/>
              </w:rPr>
              <w:t>86</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7,237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7,237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Metcalf</w:t>
            </w:r>
            <w:r>
              <w:rPr>
                <w:rFonts w:ascii="Times New Roman;Times;Serif" w:hAnsi="Times New Roman;Times;Serif"/>
                <w:position w:val="7"/>
                <w:sz w:val="16"/>
                <w:sz w:val="20"/>
              </w:rPr>
              <w:t>87</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11,971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7,237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Gary Allen</w:t>
            </w:r>
            <w:r>
              <w:rPr>
                <w:rFonts w:ascii="Times New Roman;Times;Serif" w:hAnsi="Times New Roman;Times;Serif"/>
                <w:position w:val="7"/>
                <w:sz w:val="16"/>
                <w:sz w:val="20"/>
              </w:rPr>
              <w:t>88</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6,634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6,634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Eric E. Kulbe</w:t>
            </w:r>
            <w:r>
              <w:rPr>
                <w:rFonts w:ascii="Times New Roman;Times;Serif" w:hAnsi="Times New Roman;Times;Serif"/>
                <w:position w:val="7"/>
                <w:sz w:val="16"/>
                <w:sz w:val="20"/>
              </w:rPr>
              <w:t>89</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Linda M. Kulbe</w:t>
            </w:r>
            <w:r>
              <w:rPr>
                <w:rFonts w:ascii="Times New Roman;Times;Serif" w:hAnsi="Times New Roman;Times;Serif"/>
                <w:position w:val="7"/>
                <w:sz w:val="16"/>
                <w:sz w:val="20"/>
              </w:rPr>
              <w:t>90</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Courtnie V. Kulbe</w:t>
            </w:r>
            <w:r>
              <w:rPr>
                <w:rFonts w:ascii="Times New Roman;Times;Serif" w:hAnsi="Times New Roman;Times;Serif"/>
                <w:position w:val="7"/>
                <w:sz w:val="16"/>
                <w:sz w:val="20"/>
              </w:rPr>
              <w:t>91</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79</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Clark Investments, LLC. The address of the principal business office of Clark Investments, LLC is 710 Riverpoint Ct, Ste 100, West Sacramento, CA 95605.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80</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Lance Churchill. The address of the principal business office of Lance Churchill is 967 E. Parkcenter Blvd. #302, Boise, ID 83706.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81</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David and Valynn Price. The address of the principal business office of David and Valynn Price is 2601 E. Picard Ct.,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82</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Luke Nemec. The address of the principal business office of Luke Nemec is 1783 East Lone Shore Lane,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83</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Jerry Lee Miles. The address of the principal business office of Jerry Lee Miles is 1661 East Lone Shore Lane,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84</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Timothy Smith &amp; Molly Smith JT Ten. The address of the principal business office of Timothy Smith &amp; Molly Smith JT Ten is 3200 Birch Street, Baker City, OR 97814.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85</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The Clausen Family Trust. The address of the principal business office of The Clausen Family Trust is 1881 Heron Ridge Drive, Bloomfield Hills, MI 78302.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86</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Tina Marie Slippy. The address of the principal business office of Tina Marie Slippy is 609 W. Colchester Dr.,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87</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James Metcalf. The address of the principal business office of James Metcalf is 2415 Wild Eagle Ter., Reno, NV 89511.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88</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Gary Allen. The address of the principal business office of Gary Allen is 3819 N. 2300E, Filer, ID 83328.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89</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Eric Kulbe. The address of the principal business office of Eric Kulbe is 10121 Crooked Stick Trail, Lone Tree, CO 80124.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90</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Linda M. Kulbe. The address of the principal business office of Linda M. Kulbe is 24577 County Road 50, Iliff, CO 80736.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91</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Courtnie V. Kulbe. The address of the principal business office of Courtnie V. Kulbe is 10121 Crooked Stick Trail, Lone Tree, CO 80124.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114"/>
        <w:gridCol w:w="1076"/>
        <w:gridCol w:w="60"/>
        <w:gridCol w:w="60"/>
        <w:gridCol w:w="105"/>
        <w:gridCol w:w="995"/>
        <w:gridCol w:w="60"/>
        <w:gridCol w:w="60"/>
        <w:gridCol w:w="114"/>
        <w:gridCol w:w="1076"/>
        <w:gridCol w:w="60"/>
        <w:gridCol w:w="60"/>
        <w:gridCol w:w="84"/>
        <w:gridCol w:w="791"/>
        <w:gridCol w:w="60"/>
        <w:gridCol w:w="60"/>
        <w:gridCol w:w="115"/>
        <w:gridCol w:w="1075"/>
        <w:gridCol w:w="60"/>
        <w:gridCol w:w="60"/>
        <w:gridCol w:w="105"/>
        <w:gridCol w:w="995"/>
        <w:gridCol w:w="60"/>
        <w:gridCol w:w="60"/>
        <w:gridCol w:w="115"/>
        <w:gridCol w:w="1075"/>
        <w:gridCol w:w="60"/>
        <w:gridCol w:w="60"/>
        <w:gridCol w:w="89"/>
        <w:gridCol w:w="786"/>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36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Callie V. Kulbe</w:t>
            </w:r>
            <w:r>
              <w:rPr>
                <w:rFonts w:ascii="Times New Roman;Times;Serif" w:hAnsi="Times New Roman;Times;Serif"/>
                <w:position w:val="7"/>
                <w:sz w:val="16"/>
                <w:sz w:val="20"/>
              </w:rPr>
              <w:t>92</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Charlsie V. Kulbe</w:t>
            </w:r>
            <w:r>
              <w:rPr>
                <w:rFonts w:ascii="Times New Roman;Times;Serif" w:hAnsi="Times New Roman;Times;Serif"/>
                <w:position w:val="7"/>
                <w:sz w:val="16"/>
                <w:sz w:val="20"/>
              </w:rPr>
              <w:t>93</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Jackie K. Kulbe</w:t>
            </w:r>
            <w:r>
              <w:rPr>
                <w:rFonts w:ascii="Times New Roman;Times;Serif" w:hAnsi="Times New Roman;Times;Serif"/>
                <w:position w:val="7"/>
                <w:sz w:val="16"/>
                <w:sz w:val="20"/>
              </w:rPr>
              <w:t>94</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Conklin</w:t>
            </w:r>
            <w:r>
              <w:rPr>
                <w:rFonts w:ascii="Times New Roman;Times;Serif" w:hAnsi="Times New Roman;Times;Serif"/>
                <w:position w:val="7"/>
                <w:sz w:val="16"/>
                <w:sz w:val="20"/>
              </w:rPr>
              <w:t>95</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Royce Chigbrow</w:t>
            </w:r>
            <w:r>
              <w:rPr>
                <w:rFonts w:ascii="Times New Roman;Times;Serif" w:hAnsi="Times New Roman;Times;Serif"/>
                <w:position w:val="7"/>
                <w:sz w:val="16"/>
                <w:sz w:val="20"/>
              </w:rPr>
              <w:t>96</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Carley Mings</w:t>
            </w:r>
            <w:r>
              <w:rPr>
                <w:rFonts w:ascii="Times New Roman;Times;Serif" w:hAnsi="Times New Roman;Times;Serif"/>
                <w:position w:val="7"/>
                <w:sz w:val="16"/>
                <w:sz w:val="20"/>
              </w:rPr>
              <w:t>97</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Spencer Nead</w:t>
            </w:r>
            <w:r>
              <w:rPr>
                <w:rFonts w:ascii="Times New Roman;Times;Serif" w:hAnsi="Times New Roman;Times;Serif"/>
                <w:position w:val="7"/>
                <w:sz w:val="16"/>
                <w:sz w:val="20"/>
              </w:rPr>
              <w:t>98</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RMO Ventures</w:t>
            </w:r>
            <w:r>
              <w:rPr>
                <w:rFonts w:ascii="Times New Roman;Times;Serif" w:hAnsi="Times New Roman;Times;Serif"/>
                <w:position w:val="7"/>
                <w:sz w:val="16"/>
                <w:sz w:val="20"/>
              </w:rPr>
              <w:t>99</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Maxemilian Gilman</w:t>
            </w:r>
            <w:r>
              <w:rPr>
                <w:rFonts w:ascii="Times New Roman;Times;Serif" w:hAnsi="Times New Roman;Times;Serif"/>
                <w:position w:val="7"/>
                <w:sz w:val="16"/>
                <w:sz w:val="20"/>
              </w:rPr>
              <w:t>100</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Casey Oiness</w:t>
            </w:r>
            <w:r>
              <w:rPr>
                <w:rFonts w:ascii="Times New Roman;Times;Serif" w:hAnsi="Times New Roman;Times;Serif"/>
                <w:position w:val="7"/>
                <w:sz w:val="16"/>
                <w:sz w:val="20"/>
              </w:rPr>
              <w:t>101</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Wendy Zolezzi</w:t>
            </w:r>
            <w:r>
              <w:rPr>
                <w:rFonts w:ascii="Times New Roman;Times;Serif" w:hAnsi="Times New Roman;Times;Serif"/>
                <w:position w:val="7"/>
                <w:sz w:val="16"/>
                <w:sz w:val="20"/>
              </w:rPr>
              <w:t>102</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Brooks Kochvar</w:t>
            </w:r>
            <w:r>
              <w:rPr>
                <w:rFonts w:ascii="Times New Roman;Times;Serif" w:hAnsi="Times New Roman;Times;Serif"/>
                <w:position w:val="7"/>
                <w:sz w:val="16"/>
                <w:sz w:val="20"/>
              </w:rPr>
              <w:t>103</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Gilman</w:t>
            </w:r>
            <w:r>
              <w:rPr>
                <w:rFonts w:ascii="Times New Roman;Times;Serif" w:hAnsi="Times New Roman;Times;Serif"/>
                <w:position w:val="7"/>
                <w:sz w:val="16"/>
                <w:sz w:val="20"/>
              </w:rPr>
              <w:t>104</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92</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Callie V. Kulbe. The address of the principal business office of Callie V. Kulbe is 10121 Crooked Stick Trail, Lone Tree, CO 80124.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93</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Charlsie V. Kulbe. The address of the principal business office of Charlsie V. Kulbe is 10121 Crooked Stick Trail, Lone Tree, CO 80124.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94</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Jackie K. Kulbe. The address of the principal business office of Jackie K. Kulbe is 10121 Crooked Stick Trail, Lone Tree, CO 80124.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95</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Michael Conklin. The address of the principal business office of Michael Conklin is 2030 S. Hills Ave, Meridian, ID 83642.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96</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Royce Chigbrow. The address of the principal business office of Royce Chigbrow is 412 S. 3</w:t>
            </w:r>
            <w:r>
              <w:rPr>
                <w:rFonts w:ascii="Times New Roman;Times;Serif" w:hAnsi="Times New Roman;Times;Serif"/>
                <w:position w:val="7"/>
                <w:sz w:val="16"/>
                <w:sz w:val="20"/>
              </w:rPr>
              <w:t>rd</w:t>
            </w:r>
            <w:r>
              <w:rPr>
                <w:rFonts w:ascii="Times New Roman;Times;Serif" w:hAnsi="Times New Roman;Times;Serif"/>
                <w:sz w:val="20"/>
              </w:rPr>
              <w:t xml:space="preserve"> St., Apt. 521, Boise, ID 83702.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97</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Carley Mings. The address of the principal business office of Carley Mings is 381 W. Ridgeline Dr., Boise, ID 83702.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98</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Spencer Nead. The address of the principal business office of Spencer Nead is 187 S. Steel Farm Ave.,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99</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RMO Ventures. The address of the principal business office of RMO Ventures is 530 South Robinson Blvd, Nampa, ID 83687.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100</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Maxemilian Gilman. The address of the principal business office of Maxemilian Gilman is 3700 Clawson Rd, Apt. 121, Austin, TX 78704.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101</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Casey Oiness. The address of the principal business office of Casey Oiness is 3430 Evergreen Point Road, Medina, WA 98039.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102</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Wendy Zolezzi. The address of the principal business office of Wendy Zolezzi is 2660 Bad Rock Cir, Henderson, NV 89052.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103</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Brooks Kochvar. The address of the principal business office of Brooks Kochvar is 4327 N. Nines Ridge Ln, Boise, ID 83702.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104</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Steven Gilman. The address of the principal business office of Steven Gilman is 1201 N. 12</w:t>
            </w:r>
            <w:r>
              <w:rPr>
                <w:rFonts w:ascii="Times New Roman;Times;Serif" w:hAnsi="Times New Roman;Times;Serif"/>
                <w:position w:val="7"/>
                <w:sz w:val="16"/>
                <w:sz w:val="20"/>
              </w:rPr>
              <w:t>th</w:t>
            </w:r>
            <w:r>
              <w:rPr>
                <w:rFonts w:ascii="Times New Roman;Times;Serif" w:hAnsi="Times New Roman;Times;Serif"/>
                <w:sz w:val="20"/>
              </w:rPr>
              <w:t>, Boise, ID 83702.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114"/>
        <w:gridCol w:w="1076"/>
        <w:gridCol w:w="60"/>
        <w:gridCol w:w="60"/>
        <w:gridCol w:w="105"/>
        <w:gridCol w:w="995"/>
        <w:gridCol w:w="60"/>
        <w:gridCol w:w="60"/>
        <w:gridCol w:w="114"/>
        <w:gridCol w:w="1076"/>
        <w:gridCol w:w="60"/>
        <w:gridCol w:w="60"/>
        <w:gridCol w:w="84"/>
        <w:gridCol w:w="791"/>
        <w:gridCol w:w="60"/>
        <w:gridCol w:w="60"/>
        <w:gridCol w:w="115"/>
        <w:gridCol w:w="1075"/>
        <w:gridCol w:w="60"/>
        <w:gridCol w:w="60"/>
        <w:gridCol w:w="105"/>
        <w:gridCol w:w="995"/>
        <w:gridCol w:w="60"/>
        <w:gridCol w:w="60"/>
        <w:gridCol w:w="115"/>
        <w:gridCol w:w="1075"/>
        <w:gridCol w:w="60"/>
        <w:gridCol w:w="60"/>
        <w:gridCol w:w="89"/>
        <w:gridCol w:w="786"/>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Mings</w:t>
            </w:r>
            <w:r>
              <w:rPr>
                <w:rFonts w:ascii="Times New Roman;Times;Serif" w:hAnsi="Times New Roman;Times;Serif"/>
                <w:position w:val="7"/>
                <w:sz w:val="16"/>
                <w:sz w:val="20"/>
              </w:rPr>
              <w:t>105</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Bethany Anderson</w:t>
            </w:r>
            <w:r>
              <w:rPr>
                <w:rFonts w:ascii="Times New Roman;Times;Serif" w:hAnsi="Times New Roman;Times;Serif"/>
                <w:position w:val="7"/>
                <w:sz w:val="16"/>
                <w:sz w:val="20"/>
              </w:rPr>
              <w:t>106</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Brent Robinson</w:t>
            </w:r>
            <w:r>
              <w:rPr>
                <w:rFonts w:ascii="Times New Roman;Times;Serif" w:hAnsi="Times New Roman;Times;Serif"/>
                <w:position w:val="7"/>
                <w:sz w:val="16"/>
                <w:sz w:val="20"/>
              </w:rPr>
              <w:t>107</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Doug French</w:t>
            </w:r>
            <w:r>
              <w:rPr>
                <w:rFonts w:ascii="Times New Roman;Times;Serif" w:hAnsi="Times New Roman;Times;Serif"/>
                <w:position w:val="7"/>
                <w:sz w:val="16"/>
                <w:sz w:val="20"/>
              </w:rPr>
              <w:t>108</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Karie Beyer</w:t>
            </w:r>
            <w:r>
              <w:rPr>
                <w:rFonts w:ascii="Times New Roman;Times;Serif" w:hAnsi="Times New Roman;Times;Serif"/>
                <w:position w:val="7"/>
                <w:sz w:val="16"/>
                <w:sz w:val="20"/>
              </w:rPr>
              <w:t>109</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Handke</w:t>
            </w:r>
            <w:r>
              <w:rPr>
                <w:rFonts w:ascii="Times New Roman;Times;Serif" w:hAnsi="Times New Roman;Times;Serif"/>
                <w:position w:val="7"/>
                <w:sz w:val="16"/>
                <w:sz w:val="20"/>
              </w:rPr>
              <w:t>110</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Erin and Jacob Hut JT Ten</w:t>
            </w:r>
            <w:r>
              <w:rPr>
                <w:rFonts w:ascii="Times New Roman;Times;Serif" w:hAnsi="Times New Roman;Times;Serif"/>
                <w:position w:val="7"/>
                <w:sz w:val="16"/>
                <w:sz w:val="20"/>
              </w:rPr>
              <w:t>111</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D. Robinson &amp; Lori A. Robinson JT Ten</w:t>
            </w:r>
            <w:r>
              <w:rPr>
                <w:rFonts w:ascii="Times New Roman;Times;Serif" w:hAnsi="Times New Roman;Times;Serif"/>
                <w:position w:val="7"/>
                <w:sz w:val="16"/>
                <w:sz w:val="20"/>
              </w:rPr>
              <w:t>112</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Gustavel &amp; Molly Gustavel JT Ten</w:t>
            </w:r>
            <w:r>
              <w:rPr>
                <w:rFonts w:ascii="Times New Roman;Times;Serif" w:hAnsi="Times New Roman;Times;Serif"/>
                <w:position w:val="7"/>
                <w:sz w:val="16"/>
                <w:sz w:val="20"/>
              </w:rPr>
              <w:t>113</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Kenneth W. Stephens</w:t>
            </w:r>
            <w:r>
              <w:rPr>
                <w:rFonts w:ascii="Times New Roman;Times;Serif" w:hAnsi="Times New Roman;Times;Serif"/>
                <w:position w:val="7"/>
                <w:sz w:val="16"/>
                <w:sz w:val="20"/>
              </w:rPr>
              <w:t>114</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Roger P. Scala</w:t>
            </w:r>
            <w:r>
              <w:rPr>
                <w:rFonts w:ascii="Times New Roman;Times;Serif" w:hAnsi="Times New Roman;Times;Serif"/>
                <w:position w:val="7"/>
                <w:sz w:val="16"/>
                <w:sz w:val="20"/>
              </w:rPr>
              <w:t>115</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Cameron Sullivan</w:t>
            </w:r>
            <w:r>
              <w:rPr>
                <w:rFonts w:ascii="Times New Roman;Times;Serif" w:hAnsi="Times New Roman;Times;Serif"/>
                <w:position w:val="7"/>
                <w:sz w:val="16"/>
                <w:sz w:val="20"/>
              </w:rPr>
              <w:t>116</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105</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Steven Mings. The address of the principal business office of Steven Mings is 750 W. Bannock, Unit 1958, Boise, ID 83701.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106</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Bethany Anderson. The address of the principal business office of Bethany Anderson is 10432 W. Milclay St., Boise, ID 83704.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107</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Brent Robinson. The address of the principal business office of Brent Robinson is 926 22</w:t>
            </w:r>
            <w:r>
              <w:rPr>
                <w:rFonts w:ascii="Times New Roman;Times;Serif" w:hAnsi="Times New Roman;Times;Serif"/>
                <w:position w:val="7"/>
                <w:sz w:val="16"/>
                <w:sz w:val="20"/>
              </w:rPr>
              <w:t>nd</w:t>
            </w:r>
            <w:r>
              <w:rPr>
                <w:rFonts w:ascii="Times New Roman;Times;Serif" w:hAnsi="Times New Roman;Times;Serif"/>
                <w:sz w:val="20"/>
              </w:rPr>
              <w:t xml:space="preserve"> Ave., Seattle, WA 98122.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108</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Doug French. The address of the principal business office of Doug French is 3918 N. Whitehead St.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109</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Karie Beyer. The address of the principal business office of Karie Beyer is 515 North Henry St, Kaysville, UT 84037.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110</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Richard Handke. The address of the principal business office of Richard Handke is 3565 W. Muirfield, Meridian, ID 83646.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111</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Erin and Jacob Hut JT Ten. The address of the principal business office of Erin &amp; Jacob Hut JT Ten is 6811 S. Granite Mountain Ln, Spokane, WA 99223.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112</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Steven D. Robinson &amp; Lori A. Robinson JT Ten. The address of the principal business office of Steven D. Robinson &amp; Lori A. Robinson JT Ten is 4535 NE 55</w:t>
            </w:r>
            <w:r>
              <w:rPr>
                <w:rFonts w:ascii="Times New Roman;Times;Serif" w:hAnsi="Times New Roman;Times;Serif"/>
                <w:position w:val="7"/>
                <w:sz w:val="16"/>
                <w:sz w:val="20"/>
              </w:rPr>
              <w:t>th</w:t>
            </w:r>
            <w:r>
              <w:rPr>
                <w:rFonts w:ascii="Times New Roman;Times;Serif" w:hAnsi="Times New Roman;Times;Serif"/>
                <w:sz w:val="20"/>
              </w:rPr>
              <w:t xml:space="preserve"> Street, Seattle, WA 98105.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113</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Matthew Gustavel &amp; Molly Gustavel JT Ten. The address of the principal business office of Matthew Gustavel &amp; Molly Gustavel JT Ten is 655 E. Orion Dr., Boise, ID 83702.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114</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Kenneth W. Stephens. The address of the principal business office of Kenneth W. Stephens is 918 N. Eagle Hills Way,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115</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Roger P. Scala. The address of the principal business office of Roger P. Scala is 4925 Icaria Way, Oceanside, CA 92056.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116</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Cameron Sullivan. The address of the principal business office of Cameron Sullivan is 2864 N. Chancery Pl., Meridian, ID 83646.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95"/>
        <w:gridCol w:w="1095"/>
        <w:gridCol w:w="60"/>
        <w:gridCol w:w="60"/>
        <w:gridCol w:w="105"/>
        <w:gridCol w:w="995"/>
        <w:gridCol w:w="60"/>
        <w:gridCol w:w="60"/>
        <w:gridCol w:w="114"/>
        <w:gridCol w:w="1076"/>
        <w:gridCol w:w="60"/>
        <w:gridCol w:w="60"/>
        <w:gridCol w:w="84"/>
        <w:gridCol w:w="791"/>
        <w:gridCol w:w="60"/>
        <w:gridCol w:w="60"/>
        <w:gridCol w:w="115"/>
        <w:gridCol w:w="1075"/>
        <w:gridCol w:w="60"/>
        <w:gridCol w:w="60"/>
        <w:gridCol w:w="105"/>
        <w:gridCol w:w="995"/>
        <w:gridCol w:w="60"/>
        <w:gridCol w:w="60"/>
        <w:gridCol w:w="115"/>
        <w:gridCol w:w="1075"/>
        <w:gridCol w:w="60"/>
        <w:gridCol w:w="60"/>
        <w:gridCol w:w="89"/>
        <w:gridCol w:w="786"/>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Dominic Quilici</w:t>
            </w:r>
            <w:r>
              <w:rPr>
                <w:rFonts w:ascii="Times New Roman;Times;Serif" w:hAnsi="Times New Roman;Times;Serif"/>
                <w:position w:val="7"/>
                <w:sz w:val="16"/>
                <w:sz w:val="20"/>
              </w:rPr>
              <w:t>117</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Duskin Terteling</w:t>
            </w:r>
            <w:r>
              <w:rPr>
                <w:rFonts w:ascii="Times New Roman;Times;Serif" w:hAnsi="Times New Roman;Times;Serif"/>
                <w:position w:val="7"/>
                <w:sz w:val="16"/>
                <w:sz w:val="20"/>
              </w:rPr>
              <w:t>118</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Russell Kawano</w:t>
            </w:r>
            <w:r>
              <w:rPr>
                <w:rFonts w:ascii="Times New Roman;Times;Serif" w:hAnsi="Times New Roman;Times;Serif"/>
                <w:position w:val="7"/>
                <w:sz w:val="16"/>
                <w:sz w:val="20"/>
              </w:rPr>
              <w:t>119</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Shanna Vincent</w:t>
            </w:r>
            <w:r>
              <w:rPr>
                <w:rFonts w:ascii="Times New Roman;Times;Serif" w:hAnsi="Times New Roman;Times;Serif"/>
                <w:position w:val="7"/>
                <w:sz w:val="16"/>
                <w:sz w:val="20"/>
              </w:rPr>
              <w:t>120</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 Johnson</w:t>
            </w:r>
            <w:r>
              <w:rPr>
                <w:rFonts w:ascii="Times New Roman;Times;Serif" w:hAnsi="Times New Roman;Times;Serif"/>
                <w:position w:val="7"/>
                <w:sz w:val="16"/>
                <w:sz w:val="20"/>
              </w:rPr>
              <w:t>121</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J. Neville</w:t>
            </w:r>
            <w:r>
              <w:rPr>
                <w:rFonts w:ascii="Times New Roman;Times;Serif" w:hAnsi="Times New Roman;Times;Serif"/>
                <w:position w:val="7"/>
                <w:sz w:val="16"/>
                <w:sz w:val="20"/>
              </w:rPr>
              <w:t>122</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G. Grigg &amp; Debora A. Grigg JT Ten</w:t>
            </w:r>
            <w:r>
              <w:rPr>
                <w:rFonts w:ascii="Times New Roman;Times;Serif" w:hAnsi="Times New Roman;Times;Serif"/>
                <w:position w:val="7"/>
                <w:sz w:val="16"/>
                <w:sz w:val="20"/>
              </w:rPr>
              <w:t>123</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Clow</w:t>
            </w:r>
            <w:r>
              <w:rPr>
                <w:rFonts w:ascii="Times New Roman;Times;Serif" w:hAnsi="Times New Roman;Times;Serif"/>
                <w:position w:val="7"/>
                <w:sz w:val="16"/>
                <w:sz w:val="20"/>
              </w:rPr>
              <w:t>124</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Jake Conklin</w:t>
            </w:r>
            <w:r>
              <w:rPr>
                <w:rFonts w:ascii="Times New Roman;Times;Serif" w:hAnsi="Times New Roman;Times;Serif"/>
                <w:position w:val="7"/>
                <w:sz w:val="16"/>
                <w:sz w:val="20"/>
              </w:rPr>
              <w:t>125</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Tucker Allen</w:t>
            </w:r>
            <w:r>
              <w:rPr>
                <w:rFonts w:ascii="Times New Roman;Times;Serif" w:hAnsi="Times New Roman;Times;Serif"/>
                <w:position w:val="7"/>
                <w:sz w:val="16"/>
                <w:sz w:val="20"/>
              </w:rPr>
              <w:t>126</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117</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Dominic Quilici. The address of the principal business office of Dominic Quilici is 4441 E. Parkcenter Blvd., Boise, ID 83716.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118</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Duskin Terteling. The address of the principal business office of Duskin Terteling is 6985 E. LaCuesta St., Boise, ID 83716.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119</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Russell Kawano. The address of the principal business office of Russell Kawano is 2171 Crosscreek Ln., Boise, ID 83706.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120</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Shanna Vincent. The address of the principal business office of Shanna Vincent is 1064 Don Vincent Lane,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121</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Sam Johnson. The address of the principal business office of Sam Johnson is 3312 W. Bluecanyon St., Boise, ID 83713.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122</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Brian J. Neville. The address of the principal business office of Brian J. Neville is 2016 W. Winterwood Ct., Nampa, ID 83686.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123</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Mark G. Grigg &amp; Debora A. Grigg JT Ten. The address of the principal business office of Mark G. Grigg &amp; Debora A. Grigg JT Ten is 949 S. 1050 East, Albion, ID 83311.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124</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Jessica Clow. The address of the principal business office of Jessica Clow is 13893 W. Woodspring Dr., Boise, ID 83713.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125</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Jake Conklin. The address of the principal business office of Jake Conklin is 11347 West Dallan Ct., Boise, ID 83713.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126</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Tucker Allen. The address of the principal business office of Tucker Allen is 1660 Hidden Way, Malvern, PA 19355.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114"/>
        <w:gridCol w:w="1076"/>
        <w:gridCol w:w="60"/>
        <w:gridCol w:w="60"/>
        <w:gridCol w:w="105"/>
        <w:gridCol w:w="995"/>
        <w:gridCol w:w="60"/>
        <w:gridCol w:w="60"/>
        <w:gridCol w:w="114"/>
        <w:gridCol w:w="1076"/>
        <w:gridCol w:w="60"/>
        <w:gridCol w:w="60"/>
        <w:gridCol w:w="84"/>
        <w:gridCol w:w="791"/>
        <w:gridCol w:w="60"/>
        <w:gridCol w:w="60"/>
        <w:gridCol w:w="115"/>
        <w:gridCol w:w="1075"/>
        <w:gridCol w:w="60"/>
        <w:gridCol w:w="60"/>
        <w:gridCol w:w="105"/>
        <w:gridCol w:w="995"/>
        <w:gridCol w:w="60"/>
        <w:gridCol w:w="60"/>
        <w:gridCol w:w="115"/>
        <w:gridCol w:w="1075"/>
        <w:gridCol w:w="60"/>
        <w:gridCol w:w="60"/>
        <w:gridCol w:w="89"/>
        <w:gridCol w:w="786"/>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Jordan Buich</w:t>
            </w:r>
            <w:r>
              <w:rPr>
                <w:rFonts w:ascii="Times New Roman;Times;Serif" w:hAnsi="Times New Roman;Times;Serif"/>
                <w:position w:val="7"/>
                <w:sz w:val="16"/>
                <w:sz w:val="20"/>
              </w:rPr>
              <w:t>127</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Suzanne McKinney &amp; Richard McKinney JT Ten</w:t>
            </w:r>
            <w:r>
              <w:rPr>
                <w:rFonts w:ascii="Times New Roman;Times;Serif" w:hAnsi="Times New Roman;Times;Serif"/>
                <w:position w:val="7"/>
                <w:sz w:val="16"/>
                <w:sz w:val="20"/>
              </w:rPr>
              <w:t>128</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Skelton &amp; Rochelle Skelton JT Ten</w:t>
            </w:r>
            <w:r>
              <w:rPr>
                <w:rFonts w:ascii="Times New Roman;Times;Serif" w:hAnsi="Times New Roman;Times;Serif"/>
                <w:position w:val="7"/>
                <w:sz w:val="16"/>
                <w:sz w:val="20"/>
              </w:rPr>
              <w:t>129</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Vincent</w:t>
            </w:r>
            <w:r>
              <w:rPr>
                <w:rFonts w:ascii="Times New Roman;Times;Serif" w:hAnsi="Times New Roman;Times;Serif"/>
                <w:position w:val="7"/>
                <w:sz w:val="16"/>
                <w:sz w:val="20"/>
              </w:rPr>
              <w:t>130</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Buich</w:t>
            </w:r>
            <w:r>
              <w:rPr>
                <w:rFonts w:ascii="Times New Roman;Times;Serif" w:hAnsi="Times New Roman;Times;Serif"/>
                <w:position w:val="7"/>
                <w:sz w:val="16"/>
                <w:sz w:val="20"/>
              </w:rPr>
              <w:t>131</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Gina M. Stantucci</w:t>
            </w:r>
            <w:r>
              <w:rPr>
                <w:rFonts w:ascii="Times New Roman;Times;Serif" w:hAnsi="Times New Roman;Times;Serif"/>
                <w:position w:val="7"/>
                <w:sz w:val="16"/>
                <w:sz w:val="20"/>
              </w:rPr>
              <w:t>132</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Marcus Stuart</w:t>
            </w:r>
            <w:r>
              <w:rPr>
                <w:rFonts w:ascii="Times New Roman;Times;Serif" w:hAnsi="Times New Roman;Times;Serif"/>
                <w:position w:val="7"/>
                <w:sz w:val="16"/>
                <w:sz w:val="20"/>
              </w:rPr>
              <w:t>133</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Greg Gale</w:t>
            </w:r>
            <w:r>
              <w:rPr>
                <w:rFonts w:ascii="Times New Roman;Times;Serif" w:hAnsi="Times New Roman;Times;Serif"/>
                <w:position w:val="7"/>
                <w:sz w:val="16"/>
                <w:sz w:val="20"/>
              </w:rPr>
              <w:t>134</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Monica L. Davis</w:t>
            </w:r>
            <w:r>
              <w:rPr>
                <w:rFonts w:ascii="Times New Roman;Times;Serif" w:hAnsi="Times New Roman;Times;Serif"/>
                <w:position w:val="7"/>
                <w:sz w:val="16"/>
                <w:sz w:val="20"/>
              </w:rPr>
              <w:t>135</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T. Stockham</w:t>
            </w:r>
            <w:r>
              <w:rPr>
                <w:rFonts w:ascii="Times New Roman;Times;Serif" w:hAnsi="Times New Roman;Times;Serif"/>
                <w:position w:val="7"/>
                <w:sz w:val="16"/>
                <w:sz w:val="20"/>
              </w:rPr>
              <w:t>136</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Nikolas A. Buich</w:t>
            </w:r>
            <w:r>
              <w:rPr>
                <w:rFonts w:ascii="Times New Roman;Times;Serif" w:hAnsi="Times New Roman;Times;Serif"/>
                <w:position w:val="7"/>
                <w:sz w:val="16"/>
                <w:sz w:val="20"/>
              </w:rPr>
              <w:t>137</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Dylan Rodgers</w:t>
            </w:r>
            <w:r>
              <w:rPr>
                <w:rFonts w:ascii="Times New Roman;Times;Serif" w:hAnsi="Times New Roman;Times;Serif"/>
                <w:position w:val="7"/>
                <w:sz w:val="16"/>
                <w:sz w:val="20"/>
              </w:rPr>
              <w:t>138</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Jeremy Palmerton &amp; Wendy Palmerton JT Ten</w:t>
            </w:r>
            <w:r>
              <w:rPr>
                <w:rFonts w:ascii="Times New Roman;Times;Serif" w:hAnsi="Times New Roman;Times;Serif"/>
                <w:position w:val="7"/>
                <w:sz w:val="16"/>
                <w:sz w:val="20"/>
              </w:rPr>
              <w:t>139</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127</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Jordan Buich. The address of the principal business office of Jordan Buich is 132 Monarch Bay Dr., Dana Point, CA 92629.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128</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Suzanne McKinney &amp; Richard McKinney JT Ten. The address of the principal business office of Suzanne McKinney &amp; Richard McKinney JT Ten is 1331 E. Lone Creek Dr.,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129</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Mark Skelton &amp; Rochelle Skelton JT Ten. The address of the principal business office of Mark Skelton &amp; Rochelle Skelton JT Ten is 3846 S. Baja Way, Boise, ID 83709.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130</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Mary Vincent. The address of the principal business office of Mary Vincent is 2291 Bensley St., Henderson, NV 89044.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131</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David Buich. The address of the principal business office of David Buich is PO Box 516,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132</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Gina M. Stantucci. The address of the principal business office of Gina M. Stantucci is 1837B 9</w:t>
            </w:r>
            <w:r>
              <w:rPr>
                <w:rFonts w:ascii="Times New Roman;Times;Serif" w:hAnsi="Times New Roman;Times;Serif"/>
                <w:position w:val="7"/>
                <w:sz w:val="16"/>
                <w:sz w:val="20"/>
              </w:rPr>
              <w:t>th</w:t>
            </w:r>
            <w:r>
              <w:rPr>
                <w:rFonts w:ascii="Times New Roman;Times;Serif" w:hAnsi="Times New Roman;Times;Serif"/>
                <w:sz w:val="20"/>
              </w:rPr>
              <w:t xml:space="preserve"> Ave. North, Nashville, TN 37208.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133</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Marcus Stuart. The address of the principal business office of Marcus Stuart is 5298 N. Hickory Tree Way, Boise, ID 83713.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134</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Greg Gale. The address of the principal business office of Greg Gale is 11047 N. 52</w:t>
            </w:r>
            <w:r>
              <w:rPr>
                <w:rFonts w:ascii="Times New Roman;Times;Serif" w:hAnsi="Times New Roman;Times;Serif"/>
                <w:position w:val="7"/>
                <w:sz w:val="16"/>
                <w:sz w:val="20"/>
              </w:rPr>
              <w:t>nd</w:t>
            </w:r>
            <w:r>
              <w:rPr>
                <w:rFonts w:ascii="Times New Roman;Times;Serif" w:hAnsi="Times New Roman;Times;Serif"/>
                <w:sz w:val="20"/>
              </w:rPr>
              <w:t xml:space="preserve"> Street, Scottsdale, AZ 85254.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135</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Monica L. Davis. The address of the principal business office of Monica L. Davis is 998 E. Winding Creek Dr.,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136</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Robert T. Stockham. The address of the principal business office of Robert T. Stockham is 3608 S. Julianite Ave., Nampa, ID 83686.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137</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Nikolas A. Buich. The address of the principal business office of Nikolas A. Buich is 1064 S. Don Vincent Lane,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138</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Dylan Rodgers. The address of the principal business office of Dylan Rodgers is PO Box 891, Meridian, ID 83680.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139</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Jeremy Palmerton &amp; Wendy Palmerton JT Ten. The address of the principal business office of Jeremy Palmerton &amp; Wendy Palmerton JT Ten is 3458 N. Weston Way, Meridian, ID 83646.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3"/>
        <w:gridCol w:w="60"/>
        <w:gridCol w:w="114"/>
        <w:gridCol w:w="1076"/>
        <w:gridCol w:w="60"/>
        <w:gridCol w:w="60"/>
        <w:gridCol w:w="105"/>
        <w:gridCol w:w="995"/>
        <w:gridCol w:w="60"/>
        <w:gridCol w:w="60"/>
        <w:gridCol w:w="114"/>
        <w:gridCol w:w="1076"/>
        <w:gridCol w:w="60"/>
        <w:gridCol w:w="60"/>
        <w:gridCol w:w="84"/>
        <w:gridCol w:w="791"/>
        <w:gridCol w:w="60"/>
        <w:gridCol w:w="60"/>
        <w:gridCol w:w="115"/>
        <w:gridCol w:w="1075"/>
        <w:gridCol w:w="62"/>
        <w:gridCol w:w="62"/>
        <w:gridCol w:w="111"/>
        <w:gridCol w:w="991"/>
        <w:gridCol w:w="62"/>
        <w:gridCol w:w="62"/>
        <w:gridCol w:w="115"/>
        <w:gridCol w:w="1075"/>
        <w:gridCol w:w="77"/>
      </w:tblGrid>
      <w:tr>
        <w:trPr/>
        <w:tc>
          <w:tcPr>
            <w:tcW w:w="15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3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7" w:type="dxa"/>
            <w:tcBorders/>
            <w:vAlign w:val="center"/>
          </w:tcPr>
          <w:p>
            <w:pPr>
              <w:pStyle w:val="TableContents"/>
              <w:bidi w:val="0"/>
              <w:spacing w:before="0" w:after="283"/>
              <w:jc w:val="left"/>
              <w:rPr/>
            </w:pPr>
            <w:r>
              <w:rPr/>
              <w:t> </w:t>
            </w:r>
          </w:p>
        </w:tc>
      </w:tr>
      <w:tr>
        <w:trPr/>
        <w:tc>
          <w:tcPr>
            <w:tcW w:w="15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2" w:type="dxa"/>
            <w:gridSpan w:val="2"/>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15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2" w:type="dxa"/>
            <w:gridSpan w:val="2"/>
            <w:tcBorders/>
            <w:vAlign w:val="center"/>
          </w:tcPr>
          <w:p>
            <w:pPr>
              <w:pStyle w:val="TableContents"/>
              <w:bidi w:val="0"/>
              <w:spacing w:before="0" w:after="283"/>
              <w:jc w:val="center"/>
              <w:rPr>
                <w:b/>
              </w:rPr>
            </w:pPr>
            <w:r>
              <w:rPr>
                <w:b/>
              </w:rPr>
              <w:t>Number</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77" w:type="dxa"/>
            <w:tcBorders/>
            <w:vAlign w:val="center"/>
          </w:tcPr>
          <w:p>
            <w:pPr>
              <w:pStyle w:val="TableContents"/>
              <w:bidi w:val="0"/>
              <w:spacing w:before="0" w:after="283"/>
              <w:jc w:val="left"/>
              <w:rPr/>
            </w:pPr>
            <w:r>
              <w:rPr/>
              <w:t> </w:t>
            </w:r>
          </w:p>
        </w:tc>
      </w:tr>
      <w:tr>
        <w:trPr/>
        <w:tc>
          <w:tcPr>
            <w:tcW w:w="15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2" w:type="dxa"/>
            <w:gridSpan w:val="2"/>
            <w:tcBorders/>
            <w:vAlign w:val="center"/>
          </w:tcPr>
          <w:p>
            <w:pPr>
              <w:pStyle w:val="TableContents"/>
              <w:bidi w:val="0"/>
              <w:spacing w:before="0" w:after="283"/>
              <w:jc w:val="center"/>
              <w:rPr>
                <w:b/>
              </w:rPr>
            </w:pPr>
            <w:r>
              <w:rPr>
                <w:b/>
              </w:rPr>
              <w:t>Registered</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77" w:type="dxa"/>
            <w:tcBorders/>
            <w:vAlign w:val="center"/>
          </w:tcPr>
          <w:p>
            <w:pPr>
              <w:pStyle w:val="TableContents"/>
              <w:bidi w:val="0"/>
              <w:spacing w:before="0" w:after="283"/>
              <w:jc w:val="left"/>
              <w:rPr/>
            </w:pPr>
            <w:r>
              <w:rPr/>
              <w:t> </w:t>
            </w:r>
          </w:p>
        </w:tc>
      </w:tr>
      <w:tr>
        <w:trPr/>
        <w:tc>
          <w:tcPr>
            <w:tcW w:w="15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2" w:type="dxa"/>
            <w:gridSpan w:val="2"/>
            <w:tcBorders/>
            <w:vAlign w:val="center"/>
          </w:tcPr>
          <w:p>
            <w:pPr>
              <w:pStyle w:val="TableContents"/>
              <w:bidi w:val="0"/>
              <w:spacing w:before="0" w:after="283"/>
              <w:jc w:val="center"/>
              <w:rPr>
                <w:b/>
              </w:rPr>
            </w:pPr>
            <w:r>
              <w:rPr>
                <w:b/>
              </w:rPr>
              <w:t>for Sale</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77" w:type="dxa"/>
            <w:tcBorders/>
            <w:vAlign w:val="center"/>
          </w:tcPr>
          <w:p>
            <w:pPr>
              <w:pStyle w:val="TableContents"/>
              <w:bidi w:val="0"/>
              <w:spacing w:before="0" w:after="283"/>
              <w:jc w:val="left"/>
              <w:rPr/>
            </w:pPr>
            <w:r>
              <w:rPr/>
              <w:t> </w:t>
            </w:r>
          </w:p>
        </w:tc>
      </w:tr>
      <w:tr>
        <w:trPr/>
        <w:tc>
          <w:tcPr>
            <w:tcW w:w="150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7" w:type="dxa"/>
            <w:tcBorders/>
            <w:vAlign w:val="center"/>
          </w:tcPr>
          <w:p>
            <w:pPr>
              <w:pStyle w:val="TableContents"/>
              <w:bidi w:val="0"/>
              <w:spacing w:before="0" w:after="283"/>
              <w:ind w:left="0" w:right="0" w:hanging="180"/>
              <w:jc w:val="left"/>
              <w:rPr/>
            </w:pPr>
            <w:r>
              <w:rPr/>
              <w:t> </w:t>
            </w:r>
          </w:p>
        </w:tc>
      </w:tr>
      <w:tr>
        <w:trPr/>
        <w:tc>
          <w:tcPr>
            <w:tcW w:w="15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Marshburn</w:t>
            </w:r>
            <w:r>
              <w:rPr>
                <w:rFonts w:ascii="Times New Roman;Times;Serif" w:hAnsi="Times New Roman;Times;Serif"/>
                <w:position w:val="7"/>
                <w:sz w:val="16"/>
                <w:sz w:val="20"/>
              </w:rPr>
              <w:t>140</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15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Danible Realty LLC</w:t>
            </w:r>
            <w:r>
              <w:rPr>
                <w:rFonts w:ascii="Times New Roman;Times;Serif" w:hAnsi="Times New Roman;Times;Serif"/>
                <w:position w:val="7"/>
                <w:sz w:val="16"/>
                <w:sz w:val="20"/>
              </w:rPr>
              <w:t>141</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15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Kyle Delorey</w:t>
            </w:r>
            <w:r>
              <w:rPr>
                <w:rFonts w:ascii="Times New Roman;Times;Serif" w:hAnsi="Times New Roman;Times;Serif"/>
                <w:position w:val="7"/>
                <w:sz w:val="16"/>
                <w:sz w:val="20"/>
              </w:rPr>
              <w:t>142</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15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Melhorn &amp; Stephanie Melhorn JT Ten</w:t>
            </w:r>
            <w:r>
              <w:rPr>
                <w:rFonts w:ascii="Times New Roman;Times;Serif" w:hAnsi="Times New Roman;Times;Serif"/>
                <w:position w:val="7"/>
                <w:sz w:val="16"/>
                <w:sz w:val="20"/>
              </w:rPr>
              <w:t>143</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15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 Randall Moss</w:t>
            </w:r>
            <w:r>
              <w:rPr>
                <w:rFonts w:ascii="Times New Roman;Times;Serif" w:hAnsi="Times New Roman;Times;Serif"/>
                <w:position w:val="7"/>
                <w:sz w:val="16"/>
                <w:sz w:val="20"/>
              </w:rPr>
              <w:t>144</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15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Nathan Smith</w:t>
            </w:r>
            <w:r>
              <w:rPr>
                <w:rFonts w:ascii="Times New Roman;Times;Serif" w:hAnsi="Times New Roman;Times;Serif"/>
                <w:position w:val="7"/>
                <w:sz w:val="16"/>
                <w:sz w:val="20"/>
              </w:rPr>
              <w:t>145</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15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Neal Stuart</w:t>
            </w:r>
            <w:r>
              <w:rPr>
                <w:rFonts w:ascii="Times New Roman;Times;Serif" w:hAnsi="Times New Roman;Times;Serif"/>
                <w:position w:val="7"/>
                <w:sz w:val="16"/>
                <w:sz w:val="20"/>
              </w:rPr>
              <w:t>146</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15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Clinton Christensen</w:t>
            </w:r>
            <w:r>
              <w:rPr>
                <w:rFonts w:ascii="Times New Roman;Times;Serif" w:hAnsi="Times New Roman;Times;Serif"/>
                <w:position w:val="7"/>
                <w:sz w:val="16"/>
                <w:sz w:val="20"/>
              </w:rPr>
              <w:t>147</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15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Kelsie Nalder</w:t>
            </w:r>
            <w:r>
              <w:rPr>
                <w:rFonts w:ascii="Times New Roman;Times;Serif" w:hAnsi="Times New Roman;Times;Serif"/>
                <w:position w:val="7"/>
                <w:sz w:val="16"/>
                <w:sz w:val="20"/>
              </w:rPr>
              <w:t>148</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15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Joshua D. Barnes</w:t>
            </w:r>
            <w:r>
              <w:rPr>
                <w:rFonts w:ascii="Times New Roman;Times;Serif" w:hAnsi="Times New Roman;Times;Serif"/>
                <w:position w:val="7"/>
                <w:sz w:val="16"/>
                <w:sz w:val="20"/>
              </w:rPr>
              <w:t>149</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15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Jack Lunsford &amp; Katie Lunsford JT Ten</w:t>
            </w:r>
            <w:r>
              <w:rPr>
                <w:rFonts w:ascii="Times New Roman;Times;Serif" w:hAnsi="Times New Roman;Times;Serif"/>
                <w:position w:val="7"/>
                <w:sz w:val="16"/>
                <w:sz w:val="20"/>
              </w:rPr>
              <w:t>150</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15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Garn</w:t>
            </w:r>
            <w:r>
              <w:rPr>
                <w:rFonts w:ascii="Times New Roman;Times;Serif" w:hAnsi="Times New Roman;Times;Serif"/>
                <w:position w:val="7"/>
                <w:sz w:val="16"/>
                <w:sz w:val="20"/>
              </w:rPr>
              <w:t>151</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15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Garrett Jones</w:t>
            </w:r>
            <w:r>
              <w:rPr>
                <w:rFonts w:ascii="Times New Roman;Times;Serif" w:hAnsi="Times New Roman;Times;Serif"/>
                <w:position w:val="7"/>
                <w:sz w:val="16"/>
                <w:sz w:val="20"/>
              </w:rPr>
              <w:t>152</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140</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Mark Marshburn. The address of the principal business office of Mark Marshburn is 7135 N. Spurwing Way,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141</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Danible Realty LLC. Alexis Danible is the sole member of Danible Realty LLC. The address of the principal business office of Danible Realty LLC is 10907 W. Annafaye St., Star, ID 83669.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142</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Kyle Delorey. The address of the principal business office of Kyle Delorey 6807 W. Los Flores Dr., Meridian, ID 83646.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143</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Michael Melhorn &amp; Stephanie Melhorn JT Ten. The address of the principal business office of Michael Melhorn &amp; Stephanie Melhorn JT Ten is 5130 W. Tia Inez St.,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144</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 Randall Moss. The address of the principal business office of J. Randall Moss is 1930 N. Wind Cave Way,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145</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Nathan Smith. The address of the principal business office of Nathan Smith is 6864 N. Pira,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146</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Neal Stuart. The address of the principal business office of Neal Stuart is 2148 W. Three Lakes Dr.,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147</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Clinton Christensen. The address of the principal business office of Clinton Christensen is 3817 B North 2300 East, Filer, ID 83328.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148</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Kelsie Nalder. The address of the principal business office of Kelsie Nalder is 946 Applewood Dr., Buhl, ID 83316.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149</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Joshua D. Barnes. The address of the principal business office of Joshua D. Barnes is 3681 N. 2500 East, Twin Falls, ID 83301.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150</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Jack Lunsford &amp; Katie Lunsford JT Ten. The address of the principal business office of Jack Lunsford &amp; Katie Lunsford JT Ten is 6560 N. Big Cedar Way,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151</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Paul Garn. The address of the principal business office of Paul Garn is 1059 Pinewood Circle, Twin Falls, ID 83301.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152</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Garrett Jones. The address of the principal business office of Garrett Jones is 3949 S. Northbridge Way, Boise, ID 83706.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3"/>
        <w:gridCol w:w="60"/>
        <w:gridCol w:w="95"/>
        <w:gridCol w:w="1095"/>
        <w:gridCol w:w="60"/>
        <w:gridCol w:w="60"/>
        <w:gridCol w:w="105"/>
        <w:gridCol w:w="995"/>
        <w:gridCol w:w="60"/>
        <w:gridCol w:w="60"/>
        <w:gridCol w:w="114"/>
        <w:gridCol w:w="1076"/>
        <w:gridCol w:w="60"/>
        <w:gridCol w:w="60"/>
        <w:gridCol w:w="84"/>
        <w:gridCol w:w="791"/>
        <w:gridCol w:w="60"/>
        <w:gridCol w:w="60"/>
        <w:gridCol w:w="115"/>
        <w:gridCol w:w="1075"/>
        <w:gridCol w:w="62"/>
        <w:gridCol w:w="62"/>
        <w:gridCol w:w="111"/>
        <w:gridCol w:w="991"/>
        <w:gridCol w:w="62"/>
        <w:gridCol w:w="62"/>
        <w:gridCol w:w="115"/>
        <w:gridCol w:w="1075"/>
        <w:gridCol w:w="77"/>
      </w:tblGrid>
      <w:tr>
        <w:trPr/>
        <w:tc>
          <w:tcPr>
            <w:tcW w:w="15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3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7" w:type="dxa"/>
            <w:tcBorders/>
            <w:vAlign w:val="center"/>
          </w:tcPr>
          <w:p>
            <w:pPr>
              <w:pStyle w:val="TableContents"/>
              <w:bidi w:val="0"/>
              <w:spacing w:before="0" w:after="283"/>
              <w:jc w:val="left"/>
              <w:rPr/>
            </w:pPr>
            <w:r>
              <w:rPr/>
              <w:t> </w:t>
            </w:r>
          </w:p>
        </w:tc>
      </w:tr>
      <w:tr>
        <w:trPr/>
        <w:tc>
          <w:tcPr>
            <w:tcW w:w="15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2" w:type="dxa"/>
            <w:gridSpan w:val="2"/>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15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2" w:type="dxa"/>
            <w:gridSpan w:val="2"/>
            <w:tcBorders/>
            <w:vAlign w:val="center"/>
          </w:tcPr>
          <w:p>
            <w:pPr>
              <w:pStyle w:val="TableContents"/>
              <w:bidi w:val="0"/>
              <w:spacing w:before="0" w:after="283"/>
              <w:jc w:val="center"/>
              <w:rPr>
                <w:b/>
              </w:rPr>
            </w:pPr>
            <w:r>
              <w:rPr>
                <w:b/>
              </w:rPr>
              <w:t>Number</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77" w:type="dxa"/>
            <w:tcBorders/>
            <w:vAlign w:val="center"/>
          </w:tcPr>
          <w:p>
            <w:pPr>
              <w:pStyle w:val="TableContents"/>
              <w:bidi w:val="0"/>
              <w:spacing w:before="0" w:after="283"/>
              <w:jc w:val="left"/>
              <w:rPr/>
            </w:pPr>
            <w:r>
              <w:rPr/>
              <w:t> </w:t>
            </w:r>
          </w:p>
        </w:tc>
      </w:tr>
      <w:tr>
        <w:trPr/>
        <w:tc>
          <w:tcPr>
            <w:tcW w:w="15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2" w:type="dxa"/>
            <w:gridSpan w:val="2"/>
            <w:tcBorders/>
            <w:vAlign w:val="center"/>
          </w:tcPr>
          <w:p>
            <w:pPr>
              <w:pStyle w:val="TableContents"/>
              <w:bidi w:val="0"/>
              <w:spacing w:before="0" w:after="283"/>
              <w:jc w:val="center"/>
              <w:rPr>
                <w:b/>
              </w:rPr>
            </w:pPr>
            <w:r>
              <w:rPr>
                <w:b/>
              </w:rPr>
              <w:t>Registered</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77" w:type="dxa"/>
            <w:tcBorders/>
            <w:vAlign w:val="center"/>
          </w:tcPr>
          <w:p>
            <w:pPr>
              <w:pStyle w:val="TableContents"/>
              <w:bidi w:val="0"/>
              <w:spacing w:before="0" w:after="283"/>
              <w:jc w:val="left"/>
              <w:rPr/>
            </w:pPr>
            <w:r>
              <w:rPr/>
              <w:t> </w:t>
            </w:r>
          </w:p>
        </w:tc>
      </w:tr>
      <w:tr>
        <w:trPr/>
        <w:tc>
          <w:tcPr>
            <w:tcW w:w="15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2" w:type="dxa"/>
            <w:gridSpan w:val="2"/>
            <w:tcBorders/>
            <w:vAlign w:val="center"/>
          </w:tcPr>
          <w:p>
            <w:pPr>
              <w:pStyle w:val="TableContents"/>
              <w:bidi w:val="0"/>
              <w:spacing w:before="0" w:after="283"/>
              <w:jc w:val="center"/>
              <w:rPr>
                <w:b/>
              </w:rPr>
            </w:pPr>
            <w:r>
              <w:rPr>
                <w:b/>
              </w:rPr>
              <w:t>for Sale</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77" w:type="dxa"/>
            <w:tcBorders/>
            <w:vAlign w:val="center"/>
          </w:tcPr>
          <w:p>
            <w:pPr>
              <w:pStyle w:val="TableContents"/>
              <w:bidi w:val="0"/>
              <w:spacing w:before="0" w:after="283"/>
              <w:jc w:val="left"/>
              <w:rPr/>
            </w:pPr>
            <w:r>
              <w:rPr/>
              <w:t> </w:t>
            </w:r>
          </w:p>
        </w:tc>
      </w:tr>
      <w:tr>
        <w:trPr/>
        <w:tc>
          <w:tcPr>
            <w:tcW w:w="150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7" w:type="dxa"/>
            <w:tcBorders/>
            <w:vAlign w:val="center"/>
          </w:tcPr>
          <w:p>
            <w:pPr>
              <w:pStyle w:val="TableContents"/>
              <w:bidi w:val="0"/>
              <w:spacing w:before="0" w:after="283"/>
              <w:ind w:left="0" w:right="0" w:hanging="180"/>
              <w:jc w:val="left"/>
              <w:rPr/>
            </w:pPr>
            <w:r>
              <w:rPr/>
              <w:t> </w:t>
            </w:r>
          </w:p>
        </w:tc>
      </w:tr>
      <w:tr>
        <w:trPr/>
        <w:tc>
          <w:tcPr>
            <w:tcW w:w="15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Jared Leuzinger</w:t>
            </w:r>
            <w:r>
              <w:rPr>
                <w:rFonts w:ascii="Times New Roman;Times;Serif" w:hAnsi="Times New Roman;Times;Serif"/>
                <w:position w:val="7"/>
                <w:sz w:val="16"/>
                <w:sz w:val="20"/>
              </w:rPr>
              <w:t>158</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68,031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15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Holly Kawano</w:t>
            </w:r>
            <w:r>
              <w:rPr>
                <w:rFonts w:ascii="Times New Roman;Times;Serif" w:hAnsi="Times New Roman;Times;Serif"/>
                <w:position w:val="7"/>
                <w:sz w:val="16"/>
                <w:sz w:val="20"/>
              </w:rPr>
              <w:t>159</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15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Sean Papineau Boyd</w:t>
            </w:r>
            <w:r>
              <w:rPr>
                <w:rFonts w:ascii="Times New Roman;Times;Serif" w:hAnsi="Times New Roman;Times;Serif"/>
                <w:position w:val="7"/>
                <w:sz w:val="16"/>
                <w:sz w:val="20"/>
              </w:rPr>
              <w:t>160</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15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Louis Piccioni &amp; Nita Piccioni JT Ten</w:t>
            </w:r>
            <w:r>
              <w:rPr>
                <w:rFonts w:ascii="Times New Roman;Times;Serif" w:hAnsi="Times New Roman;Times;Serif"/>
                <w:position w:val="7"/>
                <w:sz w:val="16"/>
                <w:sz w:val="20"/>
              </w:rPr>
              <w:t>161</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15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Ryan Beattie</w:t>
            </w:r>
            <w:r>
              <w:rPr>
                <w:rFonts w:ascii="Times New Roman;Times;Serif" w:hAnsi="Times New Roman;Times;Serif"/>
                <w:position w:val="7"/>
                <w:sz w:val="16"/>
                <w:sz w:val="20"/>
              </w:rPr>
              <w:t>162</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15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Eric Stone</w:t>
            </w:r>
            <w:r>
              <w:rPr>
                <w:rFonts w:ascii="Times New Roman;Times;Serif" w:hAnsi="Times New Roman;Times;Serif"/>
                <w:position w:val="7"/>
                <w:sz w:val="16"/>
                <w:sz w:val="20"/>
              </w:rPr>
              <w:t>163</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15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Rory Jones</w:t>
            </w:r>
            <w:r>
              <w:rPr>
                <w:rFonts w:ascii="Times New Roman;Times;Serif" w:hAnsi="Times New Roman;Times;Serif"/>
                <w:position w:val="7"/>
                <w:sz w:val="16"/>
                <w:sz w:val="20"/>
              </w:rPr>
              <w:t>164</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15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Riley Jones</w:t>
            </w:r>
            <w:r>
              <w:rPr>
                <w:rFonts w:ascii="Times New Roman;Times;Serif" w:hAnsi="Times New Roman;Times;Serif"/>
                <w:position w:val="7"/>
                <w:sz w:val="16"/>
                <w:sz w:val="20"/>
              </w:rPr>
              <w:t>165</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15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E. O’Bringer Revokable Living Trust</w:t>
            </w:r>
            <w:r>
              <w:rPr>
                <w:rFonts w:ascii="Times New Roman;Times;Serif" w:hAnsi="Times New Roman;Times;Serif"/>
                <w:position w:val="7"/>
                <w:sz w:val="16"/>
                <w:sz w:val="20"/>
              </w:rPr>
              <w:t>166</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15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Jeffery Pender</w:t>
            </w:r>
            <w:r>
              <w:rPr>
                <w:rFonts w:ascii="Times New Roman;Times;Serif" w:hAnsi="Times New Roman;Times;Serif"/>
                <w:position w:val="7"/>
                <w:sz w:val="16"/>
                <w:sz w:val="20"/>
              </w:rPr>
              <w:t>167</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15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Coronet &amp; Ken Coronet JT Ten</w:t>
            </w:r>
            <w:r>
              <w:rPr>
                <w:rFonts w:ascii="Times New Roman;Times;Serif" w:hAnsi="Times New Roman;Times;Serif"/>
                <w:position w:val="7"/>
                <w:sz w:val="16"/>
                <w:sz w:val="20"/>
              </w:rPr>
              <w:t>168</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15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Karen Louise Buich</w:t>
            </w:r>
            <w:r>
              <w:rPr>
                <w:rFonts w:ascii="Times New Roman;Times;Serif" w:hAnsi="Times New Roman;Times;Serif"/>
                <w:position w:val="7"/>
                <w:sz w:val="16"/>
                <w:sz w:val="20"/>
              </w:rPr>
              <w:t>169</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6,007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158</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Jared Leuzinger. The address of the principal business office of Jared Leuzinger is 1390 N. Deep Creek Way, Meridian, ID 83642-4215.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159</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Holly Kawano. The address of the principal business office of Holly Kawano is 2484 Sunshine Dr., Boise, ID 83712.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160</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Sean Papineau Boyd. The address of the principal business office of Sean Papineau Boyd is 838 Bryant Ave., Walla Walla, WA 99362.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161</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Louis Piccioni &amp; Nita Piccioni JT Ten. The address of the principal business office of Louis Piccioni &amp; Nita Piccioni JT Ten is 1217 E. Lone Creek Dr.,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162</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Ryan Beattie. The address of the principal business office of Ryan Beattie is 11497 W. Blackmoor St., Boise, ID 83709.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163</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Eric Stone. The address of the principal business office of Eric Stone is 1082 E. Tuttle St., Meridian, ID 83646.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164</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Rory Jones. The address of the principal business office of Rory Jones is 910 E. Curling Dr., Boise, ID 83702.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165</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Riley Jones. The address of the principal business office of Riley Jones is 1641 S. Annett, Boise, ID 83705.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166</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the Richard E. O’Bringer Revokable Living Trust. Richard O’Bringer is the sole trustee. The address of the principal business office of the Richard E. O’Bringer Revokable Living Trust is 11413 Perugino Dr., Las Vegas, NV 89138.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167</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Jeffery Pender. The address of the principal business office of Jeffery Pender is Calcada Marques Abrantes 95, RC ESQ Lisbon, Portugal 1200-718.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168</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Scott Coronet &amp; Ken Coronet JT Ten. The address of the principal business office of Scott Coronet &amp; Ken Coronet JT Ten is 15006 Alexander, Huntersville, NC 28078.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169</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Karen Louise Buich. The address of the principal business office of Karen Louise Buich is 1109 S. Renovare Lane, Eagle, ID 83616.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114"/>
        <w:gridCol w:w="1076"/>
        <w:gridCol w:w="60"/>
        <w:gridCol w:w="60"/>
        <w:gridCol w:w="105"/>
        <w:gridCol w:w="995"/>
        <w:gridCol w:w="60"/>
        <w:gridCol w:w="60"/>
        <w:gridCol w:w="114"/>
        <w:gridCol w:w="1076"/>
        <w:gridCol w:w="60"/>
        <w:gridCol w:w="60"/>
        <w:gridCol w:w="84"/>
        <w:gridCol w:w="791"/>
        <w:gridCol w:w="60"/>
        <w:gridCol w:w="60"/>
        <w:gridCol w:w="115"/>
        <w:gridCol w:w="1075"/>
        <w:gridCol w:w="60"/>
        <w:gridCol w:w="60"/>
        <w:gridCol w:w="105"/>
        <w:gridCol w:w="995"/>
        <w:gridCol w:w="60"/>
        <w:gridCol w:w="60"/>
        <w:gridCol w:w="115"/>
        <w:gridCol w:w="1075"/>
        <w:gridCol w:w="60"/>
        <w:gridCol w:w="60"/>
        <w:gridCol w:w="89"/>
        <w:gridCol w:w="786"/>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Laurie S. Forster</w:t>
            </w:r>
            <w:r>
              <w:rPr>
                <w:rFonts w:ascii="Times New Roman;Times;Serif" w:hAnsi="Times New Roman;Times;Serif"/>
                <w:position w:val="7"/>
                <w:sz w:val="16"/>
                <w:sz w:val="20"/>
              </w:rPr>
              <w:t>170</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4,825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4,825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Kalisa Houdek</w:t>
            </w:r>
            <w:r>
              <w:rPr>
                <w:rFonts w:ascii="Times New Roman;Times;Serif" w:hAnsi="Times New Roman;Times;Serif"/>
                <w:position w:val="7"/>
                <w:sz w:val="16"/>
                <w:sz w:val="20"/>
              </w:rPr>
              <w:t>171</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4,825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4,825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Ray</w:t>
            </w:r>
            <w:r>
              <w:rPr>
                <w:rFonts w:ascii="Times New Roman;Times;Serif" w:hAnsi="Times New Roman;Times;Serif"/>
                <w:position w:val="7"/>
                <w:sz w:val="16"/>
                <w:sz w:val="20"/>
              </w:rPr>
              <w:t>172</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4,825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4,825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Darwin Chen</w:t>
            </w:r>
            <w:r>
              <w:rPr>
                <w:rFonts w:ascii="Times New Roman;Times;Serif" w:hAnsi="Times New Roman;Times;Serif"/>
                <w:position w:val="7"/>
                <w:sz w:val="16"/>
                <w:sz w:val="20"/>
              </w:rPr>
              <w:t>173</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4,825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4,825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Jami Vincent</w:t>
            </w:r>
            <w:r>
              <w:rPr>
                <w:rFonts w:ascii="Times New Roman;Times;Serif" w:hAnsi="Times New Roman;Times;Serif"/>
                <w:position w:val="7"/>
                <w:sz w:val="16"/>
                <w:sz w:val="20"/>
              </w:rPr>
              <w:t>174</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4,222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4,222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Jerry Nemec</w:t>
            </w:r>
            <w:r>
              <w:rPr>
                <w:rFonts w:ascii="Times New Roman;Times;Serif" w:hAnsi="Times New Roman;Times;Serif"/>
                <w:position w:val="7"/>
                <w:sz w:val="16"/>
                <w:sz w:val="20"/>
              </w:rPr>
              <w:t>175</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3,860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3,860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Gregory Goodman &amp; Laree Goodman JT Ten</w:t>
            </w:r>
            <w:r>
              <w:rPr>
                <w:rFonts w:ascii="Times New Roman;Times;Serif" w:hAnsi="Times New Roman;Times;Serif"/>
                <w:position w:val="7"/>
                <w:sz w:val="16"/>
                <w:sz w:val="20"/>
              </w:rPr>
              <w:t>176</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8,766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3,618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Kyle Nagy Trust</w:t>
            </w:r>
            <w:r>
              <w:rPr>
                <w:rFonts w:ascii="Times New Roman;Times;Serif" w:hAnsi="Times New Roman;Times;Serif"/>
                <w:position w:val="7"/>
                <w:sz w:val="16"/>
                <w:sz w:val="20"/>
              </w:rPr>
              <w:t>177</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3,618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3,618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Multipro Inc</w:t>
            </w:r>
            <w:r>
              <w:rPr>
                <w:rFonts w:ascii="Times New Roman;Times;Serif" w:hAnsi="Times New Roman;Times;Serif"/>
                <w:position w:val="7"/>
                <w:sz w:val="16"/>
                <w:sz w:val="20"/>
              </w:rPr>
              <w:t>178</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3,618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3,618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Hanson</w:t>
            </w:r>
            <w:r>
              <w:rPr>
                <w:rFonts w:ascii="Times New Roman;Times;Serif" w:hAnsi="Times New Roman;Times;Serif"/>
                <w:position w:val="7"/>
                <w:sz w:val="16"/>
                <w:sz w:val="20"/>
              </w:rPr>
              <w:t>179</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3,618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3,618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170</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Laurie S. Forster. The address of the principal business office of Laurie S. Forster is 13005 Lake Shore Dr., Nampa, ID 83686.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171</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Kalisa Houdek. The address of the principal business office of Kalisa Houdek is 9421 S. Palena Ave., Kuna, ID 83634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172</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William Ray. The address of the principal business office of William Ray is 5387 Rainbow Pkwy, Toomsuba, MS 39364.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173</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Darwin Chen. The address of the principal business office of Darwin Chen is 18124 Wedge Pkwy #115, Reno, NV 89511.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174</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Jami Vincent. The address of the principal business office of Jami Vincent is 2436 E. Halsey,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175</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Jerry Nemec. The address of the principal business office of Jerry Nemec is 609 W. Colchester Dr.,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176</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Gregory Goodman &amp; Laree Goodman JT Ten. The address of the principal business office of Gregory Goodman &amp; Laree Goodman JT Ten is 5064 W. Caragana St.,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177</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The Kyle Nagy Trust. The address of the principal business office of The Kyle Nagy Trust is 2634 Sunday Grace Drive, Henderson, NV 89052.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178</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Multipro Inc. The address of the principal business office of Multipro Inc. is 6315 W. Mesa Vista Ave., Las Vegas, NV 89118.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179</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Paul Hanson. The address of the principal business office of Paul Hanson is 300 N. Chief Garry Dr., Liberty Lake, WA 99019.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114"/>
        <w:gridCol w:w="1076"/>
        <w:gridCol w:w="60"/>
        <w:gridCol w:w="60"/>
        <w:gridCol w:w="105"/>
        <w:gridCol w:w="995"/>
        <w:gridCol w:w="60"/>
        <w:gridCol w:w="60"/>
        <w:gridCol w:w="114"/>
        <w:gridCol w:w="1076"/>
        <w:gridCol w:w="60"/>
        <w:gridCol w:w="60"/>
        <w:gridCol w:w="84"/>
        <w:gridCol w:w="791"/>
        <w:gridCol w:w="60"/>
        <w:gridCol w:w="60"/>
        <w:gridCol w:w="115"/>
        <w:gridCol w:w="1075"/>
        <w:gridCol w:w="60"/>
        <w:gridCol w:w="60"/>
        <w:gridCol w:w="105"/>
        <w:gridCol w:w="995"/>
        <w:gridCol w:w="60"/>
        <w:gridCol w:w="60"/>
        <w:gridCol w:w="115"/>
        <w:gridCol w:w="1075"/>
        <w:gridCol w:w="60"/>
        <w:gridCol w:w="60"/>
        <w:gridCol w:w="89"/>
        <w:gridCol w:w="786"/>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Excaliber Holdings Inc.</w:t>
            </w:r>
            <w:r>
              <w:rPr>
                <w:rFonts w:ascii="Times New Roman;Times;Serif" w:hAnsi="Times New Roman;Times;Serif"/>
                <w:position w:val="7"/>
                <w:sz w:val="16"/>
                <w:sz w:val="20"/>
              </w:rPr>
              <w:t>180</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3,015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3,015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Leslie D. Penney</w:t>
            </w:r>
            <w:r>
              <w:rPr>
                <w:rFonts w:ascii="Times New Roman;Times;Serif" w:hAnsi="Times New Roman;Times;Serif"/>
                <w:position w:val="7"/>
                <w:sz w:val="16"/>
                <w:sz w:val="20"/>
              </w:rPr>
              <w:t>181</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2,437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2,437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Tatum Gale</w:t>
            </w:r>
            <w:r>
              <w:rPr>
                <w:rFonts w:ascii="Times New Roman;Times;Serif" w:hAnsi="Times New Roman;Times;Serif"/>
                <w:position w:val="7"/>
                <w:sz w:val="16"/>
                <w:sz w:val="20"/>
              </w:rPr>
              <w:t>182</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2,437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Kai Gale</w:t>
            </w:r>
            <w:r>
              <w:rPr>
                <w:rFonts w:ascii="Times New Roman;Times;Serif" w:hAnsi="Times New Roman;Times;Serif"/>
                <w:position w:val="7"/>
                <w:sz w:val="16"/>
                <w:sz w:val="20"/>
              </w:rPr>
              <w:t>183</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2,437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2,437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Ryan Muckenthaler &amp; Tomasine Sessions JT Ten</w:t>
            </w:r>
            <w:r>
              <w:rPr>
                <w:rFonts w:ascii="Times New Roman;Times;Serif" w:hAnsi="Times New Roman;Times;Serif"/>
                <w:position w:val="7"/>
                <w:sz w:val="16"/>
                <w:sz w:val="20"/>
              </w:rPr>
              <w:t>184</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2,437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Great North Capital Corp.</w:t>
            </w:r>
            <w:r>
              <w:rPr>
                <w:rFonts w:ascii="Times New Roman;Times;Serif" w:hAnsi="Times New Roman;Times;Serif"/>
                <w:position w:val="7"/>
                <w:sz w:val="16"/>
                <w:sz w:val="20"/>
              </w:rPr>
              <w:t>185</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2,437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2,437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O’Dwyer</w:t>
            </w:r>
            <w:r>
              <w:rPr>
                <w:rFonts w:ascii="Times New Roman;Times;Serif" w:hAnsi="Times New Roman;Times;Serif"/>
                <w:position w:val="7"/>
                <w:sz w:val="16"/>
                <w:sz w:val="20"/>
              </w:rPr>
              <w:t>186</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2,437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Zachery Nemec &amp; Carly Nemec JT Ten</w:t>
            </w:r>
            <w:r>
              <w:rPr>
                <w:rFonts w:ascii="Times New Roman;Times;Serif" w:hAnsi="Times New Roman;Times;Serif"/>
                <w:position w:val="7"/>
                <w:sz w:val="16"/>
                <w:sz w:val="20"/>
              </w:rPr>
              <w:t>187</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2,437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2,437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Gaworski</w:t>
            </w:r>
            <w:r>
              <w:rPr>
                <w:rFonts w:ascii="Times New Roman;Times;Serif" w:hAnsi="Times New Roman;Times;Serif"/>
                <w:position w:val="7"/>
                <w:sz w:val="16"/>
                <w:sz w:val="20"/>
              </w:rPr>
              <w:t>188</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2,437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Saumya Das</w:t>
            </w:r>
            <w:r>
              <w:rPr>
                <w:rFonts w:ascii="Times New Roman;Times;Serif" w:hAnsi="Times New Roman;Times;Serif"/>
                <w:position w:val="7"/>
                <w:sz w:val="16"/>
                <w:sz w:val="20"/>
              </w:rPr>
              <w:t>189</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8,214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2,437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 Dunn</w:t>
            </w:r>
            <w:r>
              <w:rPr>
                <w:rFonts w:ascii="Times New Roman;Times;Serif" w:hAnsi="Times New Roman;Times;Serif"/>
                <w:position w:val="7"/>
                <w:sz w:val="16"/>
                <w:sz w:val="20"/>
              </w:rPr>
              <w:t>190</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2,437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Patricia E. Dulaney</w:t>
            </w:r>
            <w:r>
              <w:rPr>
                <w:rFonts w:ascii="Times New Roman;Times;Serif" w:hAnsi="Times New Roman;Times;Serif"/>
                <w:position w:val="7"/>
                <w:sz w:val="16"/>
                <w:sz w:val="20"/>
              </w:rPr>
              <w:t>191</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2,437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2,437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Jeremy Terman</w:t>
            </w:r>
            <w:r>
              <w:rPr>
                <w:rFonts w:ascii="Times New Roman;Times;Serif" w:hAnsi="Times New Roman;Times;Serif"/>
                <w:position w:val="7"/>
                <w:sz w:val="16"/>
                <w:sz w:val="20"/>
              </w:rPr>
              <w:t>192</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2,437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180</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Excaliber Holdings, Inc. Daniel Wright is the controlling shareholder of Excaliber Holdings, Inc. The address of the principal business office of Excaliber Holdings, Inc. is 4866 N. Maidstone Pl, Boise, ID 83713.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181</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Leslie D. Penney. The address of the principal business office of Leslie D. Penney is 34 S. Mesa Vista Dr., Boise, ID 83705.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182</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Tatum Gale. The address of the principal business office of Tatum Gale is 11047 N. 52</w:t>
            </w:r>
            <w:r>
              <w:rPr>
                <w:rFonts w:ascii="Times New Roman;Times;Serif" w:hAnsi="Times New Roman;Times;Serif"/>
                <w:position w:val="7"/>
                <w:sz w:val="16"/>
                <w:sz w:val="20"/>
              </w:rPr>
              <w:t>nd</w:t>
            </w:r>
            <w:r>
              <w:rPr>
                <w:rFonts w:ascii="Times New Roman;Times;Serif" w:hAnsi="Times New Roman;Times;Serif"/>
                <w:sz w:val="20"/>
              </w:rPr>
              <w:t xml:space="preserve"> St., Scottsdale, AZ 85254.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183</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Kai Gale. The address of the principal business office of Kai Gale is 11047 N. 52</w:t>
            </w:r>
            <w:r>
              <w:rPr>
                <w:rFonts w:ascii="Times New Roman;Times;Serif" w:hAnsi="Times New Roman;Times;Serif"/>
                <w:position w:val="7"/>
                <w:sz w:val="16"/>
                <w:sz w:val="20"/>
              </w:rPr>
              <w:t>nd</w:t>
            </w:r>
            <w:r>
              <w:rPr>
                <w:rFonts w:ascii="Times New Roman;Times;Serif" w:hAnsi="Times New Roman;Times;Serif"/>
                <w:sz w:val="20"/>
              </w:rPr>
              <w:t xml:space="preserve"> St., Scottsdale, AZ 85254.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184</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Ryan Muckenthaler &amp; Tomasine Sessions JT Ten. The address of the principal business office of Ryan Muckenthaler &amp; Tomasine Sessions JT Ten is 1676 S. Blacksmith Pl, Meridian, ID 83642.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185</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Great North Capital Corp. The address of the principal business office of Great North Capital Corp. is 4471 Dean Martin Dr., Unit 3102, Las Vegas, NV 89103.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186</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Michael O’Dwyer. The address of the principal business office of Michael O’Dwyer is 7532 Toscana Blvd, Unit 524, Orlando, FL 32819.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187</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Zachery Nemec &amp; Carly Nemec JT Ten. The address of the principal business office of Zachery Nemec &amp; Carly Nemec JT Ten is 2416 W. Coneflower St., Nampa, ID 83686.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188</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Matthew Gaworski. The address of the principal business office of Matthew Gaworski is 11013 N. Pinto Dr., Fountain Hills, AZ 85268.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189</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Saumya Das. The address of the principal business office of Saumya Das is 42205 Dove Wing Ct., Ashburn, VA 20148.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190</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Rob Dunn. The address of the principal business office of Rob Dunn is 651 East Gentlewind Court, Boise, ID 83706.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191</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Patricia E. Dulaney. The address of the principal business office of Patricia E. Dulaney is 3443 Modena Circle, Las Vegas, NV 89120.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192</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Jeremy Terman. The address of the principal business office of Jeremy Terman is 1201 West 86</w:t>
            </w:r>
            <w:r>
              <w:rPr>
                <w:rFonts w:ascii="Times New Roman;Times;Serif" w:hAnsi="Times New Roman;Times;Serif"/>
                <w:position w:val="7"/>
                <w:sz w:val="16"/>
                <w:sz w:val="20"/>
              </w:rPr>
              <w:t>th</w:t>
            </w:r>
            <w:r>
              <w:rPr>
                <w:rFonts w:ascii="Times New Roman;Times;Serif" w:hAnsi="Times New Roman;Times;Serif"/>
                <w:sz w:val="20"/>
              </w:rPr>
              <w:t xml:space="preserve"> St., Kansas City, MO 64114.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114"/>
        <w:gridCol w:w="1076"/>
        <w:gridCol w:w="60"/>
        <w:gridCol w:w="60"/>
        <w:gridCol w:w="105"/>
        <w:gridCol w:w="995"/>
        <w:gridCol w:w="60"/>
        <w:gridCol w:w="60"/>
        <w:gridCol w:w="114"/>
        <w:gridCol w:w="1076"/>
        <w:gridCol w:w="60"/>
        <w:gridCol w:w="60"/>
        <w:gridCol w:w="84"/>
        <w:gridCol w:w="791"/>
        <w:gridCol w:w="60"/>
        <w:gridCol w:w="60"/>
        <w:gridCol w:w="115"/>
        <w:gridCol w:w="1075"/>
        <w:gridCol w:w="60"/>
        <w:gridCol w:w="60"/>
        <w:gridCol w:w="105"/>
        <w:gridCol w:w="995"/>
        <w:gridCol w:w="60"/>
        <w:gridCol w:w="60"/>
        <w:gridCol w:w="115"/>
        <w:gridCol w:w="1075"/>
        <w:gridCol w:w="60"/>
        <w:gridCol w:w="60"/>
        <w:gridCol w:w="89"/>
        <w:gridCol w:w="786"/>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Cucchiaro</w:t>
            </w:r>
            <w:r>
              <w:rPr>
                <w:rFonts w:ascii="Times New Roman;Times;Serif" w:hAnsi="Times New Roman;Times;Serif"/>
                <w:position w:val="7"/>
                <w:sz w:val="16"/>
                <w:sz w:val="20"/>
              </w:rPr>
              <w:t>193</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2,437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Megan Warren</w:t>
            </w:r>
            <w:r>
              <w:rPr>
                <w:rFonts w:ascii="Times New Roman;Times;Serif" w:hAnsi="Times New Roman;Times;Serif"/>
                <w:position w:val="7"/>
                <w:sz w:val="16"/>
                <w:sz w:val="20"/>
              </w:rPr>
              <w:t>194</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2,437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2,437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Kenneth Scott Spraker</w:t>
            </w:r>
            <w:r>
              <w:rPr>
                <w:rFonts w:ascii="Times New Roman;Times;Serif" w:hAnsi="Times New Roman;Times;Serif"/>
                <w:position w:val="7"/>
                <w:sz w:val="16"/>
                <w:sz w:val="20"/>
              </w:rPr>
              <w:t>195</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2,437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 Dickson</w:t>
            </w:r>
            <w:r>
              <w:rPr>
                <w:rFonts w:ascii="Times New Roman;Times;Serif" w:hAnsi="Times New Roman;Times;Serif"/>
                <w:position w:val="7"/>
                <w:sz w:val="16"/>
                <w:sz w:val="20"/>
              </w:rPr>
              <w:t>196</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2,437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2,437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Mari E. Dressen Churchill</w:t>
            </w:r>
            <w:r>
              <w:rPr>
                <w:rFonts w:ascii="Times New Roman;Times;Serif" w:hAnsi="Times New Roman;Times;Serif"/>
                <w:position w:val="7"/>
                <w:sz w:val="16"/>
                <w:sz w:val="20"/>
              </w:rPr>
              <w:t>197</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2,437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Joel Fish</w:t>
            </w:r>
            <w:r>
              <w:rPr>
                <w:rFonts w:ascii="Times New Roman;Times;Serif" w:hAnsi="Times New Roman;Times;Serif"/>
                <w:position w:val="7"/>
                <w:sz w:val="16"/>
                <w:sz w:val="20"/>
              </w:rPr>
              <w:t>198</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2,187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2,187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Spencer Lee Smith</w:t>
            </w:r>
            <w:r>
              <w:rPr>
                <w:rFonts w:ascii="Times New Roman;Times;Serif" w:hAnsi="Times New Roman;Times;Serif"/>
                <w:position w:val="7"/>
                <w:sz w:val="16"/>
                <w:sz w:val="20"/>
              </w:rPr>
              <w:t>199</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1,687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Paul Esposito</w:t>
            </w:r>
            <w:r>
              <w:rPr>
                <w:rFonts w:ascii="Times New Roman;Times;Serif" w:hAnsi="Times New Roman;Times;Serif"/>
                <w:position w:val="7"/>
                <w:sz w:val="16"/>
                <w:sz w:val="20"/>
              </w:rPr>
              <w:t>200</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1,437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Samual Mallane</w:t>
            </w:r>
            <w:r>
              <w:rPr>
                <w:rFonts w:ascii="Times New Roman;Times;Serif" w:hAnsi="Times New Roman;Times;Serif"/>
                <w:position w:val="7"/>
                <w:sz w:val="16"/>
                <w:sz w:val="20"/>
              </w:rPr>
              <w:t>201</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1,437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Wright</w:t>
            </w:r>
            <w:r>
              <w:rPr>
                <w:rFonts w:ascii="Times New Roman;Times;Serif" w:hAnsi="Times New Roman;Times;Serif"/>
                <w:position w:val="7"/>
                <w:sz w:val="16"/>
                <w:sz w:val="20"/>
              </w:rPr>
              <w:t>202</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1,437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Alejandro Salinas</w:t>
            </w:r>
            <w:r>
              <w:rPr>
                <w:rFonts w:ascii="Times New Roman;Times;Serif" w:hAnsi="Times New Roman;Times;Serif"/>
                <w:position w:val="7"/>
                <w:sz w:val="16"/>
                <w:sz w:val="20"/>
              </w:rPr>
              <w:t>203</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1,437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Elisa R. Bilbao</w:t>
            </w:r>
            <w:r>
              <w:rPr>
                <w:rFonts w:ascii="Times New Roman;Times;Serif" w:hAnsi="Times New Roman;Times;Serif"/>
                <w:position w:val="7"/>
                <w:sz w:val="16"/>
                <w:sz w:val="20"/>
              </w:rPr>
              <w:t>204</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1,187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Boquette</w:t>
            </w:r>
            <w:r>
              <w:rPr>
                <w:rFonts w:ascii="Times New Roman;Times;Serif" w:hAnsi="Times New Roman;Times;Serif"/>
                <w:position w:val="7"/>
                <w:sz w:val="16"/>
                <w:sz w:val="20"/>
              </w:rPr>
              <w:t>205</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1,187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193</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Robert Cucchiaro. The address of the principal business office of Robert Cucchiaro is 360 W. Back Forty Dr.,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194</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Megan Warren. The address of the principal business office of Megan Warren is 3034 West Central Blvd., Cambridge, ID 83610.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195</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Kenneth Scott Spraker. The address of the principal business office of Kenneth Scott Spraker is 294 E. Whitespur St., Meridian, ID 83642.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196</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Rob Dickson. The address of the principal business office of Rob Dickson is 2434 East Garber,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197</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Mari E. Dressen Churchill. The address of the principal business office of Mari E. Dressen Churchill is 967 E. Parkcenter #302, Boise, ID 83706.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198</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Joel Fish. The address of the principal business office of Joel Fish is 4931 Morninggale Way, Boise, ID 83713.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199</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Spencer Lee Smith. The address of the principal business office of Spencer Lee Smith is 3200 Birch St., Baker City, OR 97814.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200</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Adam Paul Esposito. The address of the principal business office of Adam Paul Esposito is 11331 W. Brandi Ln, Nampa, ID 83651.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201</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Samuel Mallane. The address of the principal business office of Samuel Mallane is 2324 W. Ona St., Boise, ID 83705.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202</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Michael Wright. The address of the principal business office of Michael Wright is 5683 S. Alyssum Pl., Boise, ID 83716.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203</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Alejandro Salinas. The address of the principal business office of Alejandro Salinas is 3428 W. Star Hollow Dr.,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204</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Elisa Bilbao. The address of the principal business office of Elisa Bilbao is 3597 Cow Creek Rd., Cambridge, ID 83610.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205</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Christopher Boquette. The address of the principal business office of Christopher Boquette is 7889 S. Indigo Ridge Ave., Boise, ID 83716.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95"/>
        <w:gridCol w:w="1095"/>
        <w:gridCol w:w="60"/>
        <w:gridCol w:w="60"/>
        <w:gridCol w:w="88"/>
        <w:gridCol w:w="1012"/>
        <w:gridCol w:w="60"/>
        <w:gridCol w:w="60"/>
        <w:gridCol w:w="114"/>
        <w:gridCol w:w="1076"/>
        <w:gridCol w:w="60"/>
        <w:gridCol w:w="60"/>
        <w:gridCol w:w="84"/>
        <w:gridCol w:w="791"/>
        <w:gridCol w:w="60"/>
        <w:gridCol w:w="60"/>
        <w:gridCol w:w="115"/>
        <w:gridCol w:w="1075"/>
        <w:gridCol w:w="60"/>
        <w:gridCol w:w="60"/>
        <w:gridCol w:w="105"/>
        <w:gridCol w:w="995"/>
        <w:gridCol w:w="60"/>
        <w:gridCol w:w="60"/>
        <w:gridCol w:w="115"/>
        <w:gridCol w:w="1075"/>
        <w:gridCol w:w="60"/>
        <w:gridCol w:w="60"/>
        <w:gridCol w:w="89"/>
        <w:gridCol w:w="786"/>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Michelmore</w:t>
            </w:r>
            <w:r>
              <w:rPr>
                <w:rFonts w:ascii="Times New Roman;Times;Serif" w:hAnsi="Times New Roman;Times;Serif"/>
                <w:position w:val="7"/>
                <w:sz w:val="16"/>
                <w:sz w:val="20"/>
              </w:rPr>
              <w:t>206</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YanQiang Lu</w:t>
            </w:r>
            <w:r>
              <w:rPr>
                <w:rFonts w:ascii="Times New Roman;Times;Serif" w:hAnsi="Times New Roman;Times;Serif"/>
                <w:position w:val="7"/>
                <w:sz w:val="16"/>
                <w:sz w:val="20"/>
              </w:rPr>
              <w:t>207</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Najeeb Ahmed</w:t>
            </w:r>
            <w:r>
              <w:rPr>
                <w:rFonts w:ascii="Times New Roman;Times;Serif" w:hAnsi="Times New Roman;Times;Serif"/>
                <w:position w:val="7"/>
                <w:sz w:val="16"/>
                <w:sz w:val="20"/>
              </w:rPr>
              <w:t>208</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Weier</w:t>
            </w:r>
            <w:r>
              <w:rPr>
                <w:rFonts w:ascii="Times New Roman;Times;Serif" w:hAnsi="Times New Roman;Times;Serif"/>
                <w:position w:val="7"/>
                <w:sz w:val="16"/>
                <w:sz w:val="20"/>
              </w:rPr>
              <w:t>209</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StartUpNV</w:t>
            </w:r>
            <w:r>
              <w:rPr>
                <w:rFonts w:ascii="Times New Roman;Times;Serif" w:hAnsi="Times New Roman;Times;Serif"/>
                <w:position w:val="7"/>
                <w:sz w:val="16"/>
                <w:sz w:val="20"/>
              </w:rPr>
              <w:t>210</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AQR Absolute Return Master Account, L.P.</w:t>
            </w:r>
            <w:r>
              <w:rPr>
                <w:rFonts w:ascii="Times New Roman;Times;Serif" w:hAnsi="Times New Roman;Times;Serif"/>
                <w:position w:val="7"/>
                <w:sz w:val="16"/>
                <w:sz w:val="20"/>
              </w:rPr>
              <w:t>211</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45,000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45,000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AQR Diversified Arbitrage Fund, a series of AQR Funds</w:t>
            </w:r>
            <w:r>
              <w:rPr>
                <w:rFonts w:ascii="Times New Roman;Times;Serif" w:hAnsi="Times New Roman;Times;Serif"/>
                <w:position w:val="7"/>
                <w:sz w:val="16"/>
                <w:sz w:val="20"/>
              </w:rPr>
              <w:t>212</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45,000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45,000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AQR Global Alternative Investment Offshore Fund, L.P.</w:t>
            </w:r>
            <w:r>
              <w:rPr>
                <w:rFonts w:ascii="Times New Roman;Times;Serif" w:hAnsi="Times New Roman;Times;Serif"/>
                <w:position w:val="7"/>
                <w:sz w:val="16"/>
                <w:sz w:val="20"/>
              </w:rPr>
              <w:t>213</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45,000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45,000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206</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John Michelmore. The address of the principal business office of John Michelmore is 2749 Leolota Way, Carmichael, CA 95608.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207</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YanQiang Lu. The address of the principal business office of YanQiang Lu is 11838 Bragno Ct., Las Vegas, NV 89138.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208</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Najeeb Ahmed. The address of the principal business office of Najeeb Ahmed is 425 S. Secratariat Dr., Springfield, OH 45503.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209</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Jeffrey Weier. The address of the principal business office of Jeffrey Weier is 148 N. Harding Rd., Columbus, OH 43209.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210</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StartUpNV. The address of the principal business office of StartUpNV is 450 Sinclair St., Reno, NV 89503.</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211</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AQR Absolute Return Master Account, L.P. AQR Principal Global Asset Allocation LLC, a Delaware limited liability company, is the general partner of AQR Absolute Return Master Account, L.P. AQR Capital Management, LLC and AQR Arbitrage, LLC, each a Delaware limited liability company, act as investment adviser to AQR Absolute Return Master Account,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Absolute Return Master Account, L.P. is One Greenwich Plaza, Greenwich, CT 06830.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212</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AQR Diversified Arbitrage Fund. AQR Capital Management, LLC and AQR Arbitrage, LLC, each a Delaware limited liability company, act as investment adviser and sub-adviser, respectively to AQR Diversified Arbitrage Fund.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Diversified Arbitrage Fund is One Greenwich Plaza, Greenwich, CT 06830.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213</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AQR Global Alternative Investment Offshore Fund, L.P. AQR Capital Management GP, Ltd., a Cayman Islands company, is the general partner of AQR Global Alternative Investment Offshore Fund, L.P. AQR Capital Management, LLC and AQR Arbitrage, LLC, each a Delaware limited liability company, act as investment adviser to AQR Global Alternative Investment Offshore Fund,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Global Alternative Investment Offshore Fund, L.P. is One Greenwich Plaza, Greenwich, CT 06830.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82"/>
        <w:gridCol w:w="1108"/>
        <w:gridCol w:w="60"/>
        <w:gridCol w:w="60"/>
        <w:gridCol w:w="76"/>
        <w:gridCol w:w="1024"/>
        <w:gridCol w:w="60"/>
        <w:gridCol w:w="60"/>
        <w:gridCol w:w="114"/>
        <w:gridCol w:w="1076"/>
        <w:gridCol w:w="60"/>
        <w:gridCol w:w="60"/>
        <w:gridCol w:w="84"/>
        <w:gridCol w:w="791"/>
        <w:gridCol w:w="60"/>
        <w:gridCol w:w="60"/>
        <w:gridCol w:w="115"/>
        <w:gridCol w:w="1075"/>
        <w:gridCol w:w="60"/>
        <w:gridCol w:w="60"/>
        <w:gridCol w:w="105"/>
        <w:gridCol w:w="995"/>
        <w:gridCol w:w="60"/>
        <w:gridCol w:w="60"/>
        <w:gridCol w:w="115"/>
        <w:gridCol w:w="1075"/>
        <w:gridCol w:w="60"/>
        <w:gridCol w:w="60"/>
        <w:gridCol w:w="89"/>
        <w:gridCol w:w="786"/>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AQR TA Global Alpha Fund, L.P.</w:t>
            </w:r>
            <w:r>
              <w:rPr>
                <w:rFonts w:ascii="Times New Roman;Times;Serif" w:hAnsi="Times New Roman;Times;Serif"/>
                <w:position w:val="7"/>
                <w:sz w:val="16"/>
                <w:sz w:val="20"/>
              </w:rPr>
              <w:t>214</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45,000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Asif Ramji</w:t>
            </w:r>
            <w:r>
              <w:rPr>
                <w:rFonts w:ascii="Times New Roman;Times;Serif" w:hAnsi="Times New Roman;Times;Serif"/>
                <w:position w:val="7"/>
                <w:sz w:val="16"/>
                <w:sz w:val="20"/>
              </w:rPr>
              <w:t>215</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49,501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49,501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ASK, LLC</w:t>
            </w:r>
            <w:r>
              <w:rPr>
                <w:rFonts w:ascii="Times New Roman;Times;Serif" w:hAnsi="Times New Roman;Times;Serif"/>
                <w:position w:val="7"/>
                <w:sz w:val="16"/>
                <w:sz w:val="20"/>
              </w:rPr>
              <w:t>216</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79,689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79,689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Atlas Merchant Capital SPAC Fund I LP</w:t>
            </w:r>
            <w:r>
              <w:rPr>
                <w:rFonts w:ascii="Times New Roman;Times;Serif" w:hAnsi="Times New Roman;Times;Serif"/>
                <w:position w:val="7"/>
                <w:sz w:val="16"/>
                <w:sz w:val="20"/>
              </w:rPr>
              <w:t>217</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140,000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Betsy Cohen</w:t>
            </w:r>
            <w:r>
              <w:rPr>
                <w:rFonts w:ascii="Times New Roman;Times;Serif" w:hAnsi="Times New Roman;Times;Serif"/>
                <w:position w:val="7"/>
                <w:sz w:val="16"/>
                <w:sz w:val="20"/>
              </w:rPr>
              <w:t>218</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46,116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46,116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Boston Patriot Merrimack St, LLC</w:t>
            </w:r>
            <w:r>
              <w:rPr>
                <w:rFonts w:ascii="Times New Roman;Times;Serif" w:hAnsi="Times New Roman;Times;Serif"/>
                <w:position w:val="7"/>
                <w:sz w:val="16"/>
                <w:sz w:val="20"/>
              </w:rPr>
              <w:t>219</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69,959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69,959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Breoga Trust</w:t>
            </w:r>
            <w:r>
              <w:rPr>
                <w:rFonts w:ascii="Times New Roman;Times;Serif" w:hAnsi="Times New Roman;Times;Serif"/>
                <w:position w:val="7"/>
                <w:sz w:val="16"/>
                <w:sz w:val="20"/>
              </w:rPr>
              <w:t>220</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103,126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103,126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Cameron Balash</w:t>
            </w:r>
            <w:r>
              <w:rPr>
                <w:rFonts w:ascii="Times New Roman;Times;Serif" w:hAnsi="Times New Roman;Times;Serif"/>
                <w:position w:val="7"/>
                <w:sz w:val="16"/>
                <w:sz w:val="20"/>
              </w:rPr>
              <w:t>221</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12,419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12,419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214</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AQR TA Global Alpha Fund, L.P. AQR Tax Advantaged GP II, LLC, a Delaware limited liability company, is the general partner of AQR TA Global Alpha Fund, L.P. AQR Capital Management, LLC and AQR Arbitrage, LLC, each a Delaware limited liability company, act as investment adviser to AQR TA Global Alpha Fund,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TA Global Alpha Fund, L.P. is One Greenwich Plaza, Greenwich, CT 06830.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215</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Asif Ramji. The address of the principal business office of Asif Ramji is 337 King Road NW, Atlanta, GA 30342.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216</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ASK, LLC. Janice Howroyd is the sole member of ASK, LLC and has voting and investment control of the shares held by ASK, LLC. Mr. Howroyd is a director of the Company. The address of the principal business office of ASK, LLC is 327 W. Broadway Ave, Glendale, CA 91204.</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217</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Atlas Merchant Capital SPAC Fund I LP (the “Fund”) The shares are held directly by Atlas Merchant Capital SPAC Fund I LP (the “Fund”). Atlas Merchant Capital LLC (the “Advisor”) is a registered investment advisor and the investment manager of the Fund. Atlas Merchant Capital LP (AMC Capital”) is the managing member of the Advisor. Atlas Merchant Capital GP LLC (“AMC-GP”) is the general partner of AMC Capital. AMC SPAC Fund LP GP (the “General Partner”) is the general partner of the Fund and AMC SPAC Fund MGP LLC (“AMC SPAC MGP”) is the general partner of the General Partner. Robert E. Diamond and David I. Schamis are the sole members of AMC SPAC MGP. Each of the Advisor, AMC Capital, AMC-CP, the General Partner, AMC SPAC MGP and Messrs. Diamond and Schamis may be deemed to indirectly beneficially own the shares directly held by the Fund, but each of such persons disclaims such beneficial ownership except to the extent of its pecuniary interest in the shares held by the Fund. The address of the principal business office of the Fund is 477 Madison Ave., 22</w:t>
            </w:r>
            <w:r>
              <w:rPr>
                <w:rFonts w:ascii="Times New Roman;Times;Serif" w:hAnsi="Times New Roman;Times;Serif"/>
                <w:position w:val="7"/>
                <w:sz w:val="16"/>
                <w:sz w:val="20"/>
              </w:rPr>
              <w:t>nd</w:t>
            </w:r>
            <w:r>
              <w:rPr>
                <w:rFonts w:ascii="Times New Roman;Times;Serif" w:hAnsi="Times New Roman;Times;Serif"/>
                <w:sz w:val="20"/>
              </w:rPr>
              <w:t xml:space="preserve"> Floor, New York, NY 10022.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218</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Betsy Cohen. The address of the principal business office of Betsy Cohen is 1240 N. Casey Key Rd, Osprey, FL 34229.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219</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Boston Patriot Merrimack St, LLC. Fir Tree Capital Management, LP is the investment manager of Boston Patriot Merrimack St, LLC. Clinton Biando and David Sultan are the Managing Partners of Fir Tree Capital Management, LP and have voting and investment control of the shares held by Fir Tree Capital Management, LP but disclaim beneficial ownership of the shares. The address of the principal business office of Boston Patriot Merrimack St, LLC is c/o Fir Tree Capital Management, LP, 500 Fifth Avenue, 9</w:t>
            </w:r>
            <w:r>
              <w:rPr>
                <w:rFonts w:ascii="Times New Roman;Times;Serif" w:hAnsi="Times New Roman;Times;Serif"/>
                <w:position w:val="7"/>
                <w:sz w:val="16"/>
                <w:sz w:val="20"/>
              </w:rPr>
              <w:t>th</w:t>
            </w:r>
            <w:r>
              <w:rPr>
                <w:rFonts w:ascii="Times New Roman;Times;Serif" w:hAnsi="Times New Roman;Times;Serif"/>
                <w:sz w:val="20"/>
              </w:rPr>
              <w:t xml:space="preserve"> Floor, New York, NY 10110.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220</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Breoga Trust. Tom Killalea is the Trustee of Breoga Trust and has voting and investment control of the shares held by Breoga Trust. The address of the principal business office of Breoga Trust is 7740 Fairway Dr. NE, Seattle, WA 98115.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221</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Cameron Balash. The address of the principal business office of Cameron Balash is 218 Le Starboard Dr., Pensacola Beach, FL 32561.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82"/>
        <w:gridCol w:w="1108"/>
        <w:gridCol w:w="60"/>
        <w:gridCol w:w="60"/>
        <w:gridCol w:w="76"/>
        <w:gridCol w:w="1024"/>
        <w:gridCol w:w="60"/>
        <w:gridCol w:w="60"/>
        <w:gridCol w:w="114"/>
        <w:gridCol w:w="1076"/>
        <w:gridCol w:w="60"/>
        <w:gridCol w:w="60"/>
        <w:gridCol w:w="84"/>
        <w:gridCol w:w="791"/>
        <w:gridCol w:w="60"/>
        <w:gridCol w:w="60"/>
        <w:gridCol w:w="115"/>
        <w:gridCol w:w="1075"/>
        <w:gridCol w:w="60"/>
        <w:gridCol w:w="60"/>
        <w:gridCol w:w="105"/>
        <w:gridCol w:w="995"/>
        <w:gridCol w:w="60"/>
        <w:gridCol w:w="60"/>
        <w:gridCol w:w="115"/>
        <w:gridCol w:w="1075"/>
        <w:gridCol w:w="60"/>
        <w:gridCol w:w="60"/>
        <w:gridCol w:w="89"/>
        <w:gridCol w:w="786"/>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Cohen Sponsor LLC - V29 RS</w:t>
            </w:r>
            <w:r>
              <w:rPr>
                <w:rFonts w:ascii="Times New Roman;Times;Serif" w:hAnsi="Times New Roman;Times;Serif"/>
                <w:position w:val="7"/>
                <w:sz w:val="16"/>
                <w:sz w:val="20"/>
              </w:rPr>
              <w:t>222</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299,225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299,225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Crestline Summit Master, SPC - Crestline Summit APEX SP</w:t>
            </w:r>
            <w:r>
              <w:rPr>
                <w:rFonts w:ascii="Times New Roman;Times;Serif" w:hAnsi="Times New Roman;Times;Serif"/>
                <w:position w:val="7"/>
                <w:sz w:val="16"/>
                <w:sz w:val="20"/>
              </w:rPr>
              <w:t>223</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6,497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6,497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Crestline Summit Master, SPC- Peak SP</w:t>
            </w:r>
            <w:r>
              <w:rPr>
                <w:rFonts w:ascii="Times New Roman;Times;Serif" w:hAnsi="Times New Roman;Times;Serif"/>
                <w:position w:val="7"/>
                <w:sz w:val="16"/>
                <w:sz w:val="20"/>
              </w:rPr>
              <w:t>224</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15,378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15,378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Cyber Secure at Sea, LLC</w:t>
            </w:r>
            <w:r>
              <w:rPr>
                <w:rFonts w:ascii="Times New Roman;Times;Serif" w:hAnsi="Times New Roman;Times;Serif"/>
                <w:position w:val="7"/>
                <w:sz w:val="16"/>
                <w:sz w:val="20"/>
              </w:rPr>
              <w:t>225</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18,562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18,562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Cynosure Holdings, LLC</w:t>
            </w:r>
            <w:r>
              <w:rPr>
                <w:rFonts w:ascii="Times New Roman;Times;Serif" w:hAnsi="Times New Roman;Times;Serif"/>
                <w:position w:val="7"/>
                <w:sz w:val="16"/>
                <w:sz w:val="20"/>
              </w:rPr>
              <w:t>226</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41,250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Barbara Hutchinson</w:t>
            </w:r>
            <w:r>
              <w:rPr>
                <w:rFonts w:ascii="Times New Roman;Times;Serif" w:hAnsi="Times New Roman;Times;Serif"/>
                <w:position w:val="7"/>
                <w:sz w:val="16"/>
                <w:sz w:val="20"/>
              </w:rPr>
              <w:t>227</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4,966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4,966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Eric Oruoele</w:t>
            </w:r>
            <w:r>
              <w:rPr>
                <w:rFonts w:ascii="Times New Roman;Times;Serif" w:hAnsi="Times New Roman;Times;Serif"/>
                <w:position w:val="7"/>
                <w:sz w:val="16"/>
                <w:sz w:val="20"/>
              </w:rPr>
              <w:t>228</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EVN 2021 Trust, Ezekiel V. Newhouse</w:t>
            </w:r>
            <w:r>
              <w:rPr>
                <w:rFonts w:ascii="Times New Roman;Times;Serif" w:hAnsi="Times New Roman;Times;Serif"/>
                <w:position w:val="7"/>
                <w:sz w:val="16"/>
                <w:sz w:val="20"/>
              </w:rPr>
              <w:t>229</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375,000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375,000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EXOS Collateralized SPAC Holdings Fund</w:t>
            </w:r>
            <w:r>
              <w:rPr>
                <w:rFonts w:ascii="Times New Roman;Times;Serif" w:hAnsi="Times New Roman;Times;Serif"/>
                <w:position w:val="7"/>
                <w:sz w:val="16"/>
                <w:sz w:val="20"/>
              </w:rPr>
              <w:t>230</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126,000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F-Cubed Investments, LLC</w:t>
            </w:r>
            <w:r>
              <w:rPr>
                <w:rFonts w:ascii="Times New Roman;Times;Serif" w:hAnsi="Times New Roman;Times;Serif"/>
                <w:position w:val="7"/>
                <w:sz w:val="16"/>
                <w:sz w:val="20"/>
              </w:rPr>
              <w:t>231</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525,000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525,000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222</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Cohen Sponsor LLC - V29 RS. Cohen &amp; Company is the sole member of Cohen Sponsor LLC - V29 RS and Lester Brafman is the managing member of Cohen &amp; Company, LLC. The address of the principal business office of Cohen Sponsor LLC - V29 RS is 2929 Arch Street, Suite 1703, Philadelphia, PA 19104.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223</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Crestline Summit Master, SPC - Crestline Summit APEX SP. The address of the principal business office of Crestline Summit Master, SPC - Crestline Summit APEX SP is 201 Main Street, Suite 2600, Fort Worth, TX 76102.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224</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Crestline Summit Master, SPC- Peak SP. The address of the principal business office of Crestline Summit Master, SPC- Peak SP is 201 Main Street, Suite 2600, Fort Worth, TX 76102.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225</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Cyber Secure at Sea, LLC. Danelle Barrett is the sole member of ASK, LLC and has voting and investment control of the shares held by Cyber Secure at Sea, LLC. The address of the principal business office of Cyber Secure at Sea, LLC is 7500 Old Georgetown Road, Suite 901, Bethesda, MD 20814.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226</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Cynosure Holdings, LLC. Sandra Campos is the sole member of Cynosure Holdings, LLC and has voting and investment control of the shares held by Cynosure Holdings, LLC. The address of the principal business office of Cynosure Holdings, LLC is 1040 County Route 13, Old Chatham, NY 12136.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227</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Dr. Barbara Hutchinson. The address of the principal business office of Dr. Barbara Hutchinson is 11906 Shady Stone Terr., Bowie, MD 20721.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228</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Eric Oruoele. The address of the principal business office of Eric Oruoele is 11180 State Bridge Road, Suite 203, Alpharetta, GA 30022.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229</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EVN 2021 Trust. Ezekiel V. Newhouse is the Trustee of the EVN 2021 Trust and has voting and investment control of the shares held by the EVN 2021 Trust. The address of the principal business office of EVN 2021 Trust is 2129 Lamberton Ln, Kennesaw, GA 30152.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230</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EXOS Collateralized SPAC Holdings Fund LP. EXOS Collateralized SPAC Holdings Fund GP LL is the general partner of EXOS Collateralized SPAC Holdings Fund LP and has voting and investment control of the shares held by EXOS Collateralized SPAC Holdings Fund LP but disclaims beneficial ownership of such shares. The address of the principal business office of EXOS Collateralized SPAC Holdings Fund LP is 1370 Broadway, Suite 1450, New York, NY 10018.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231</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F-Cubed Investments, LLC. Tarrea Ashe is the sole member of F-Cubed Investments, LLC and has voting and investment control of the shares held by F-Cubed Investments, LLC. The address of the principal business office of F-Cubed Investments, LLC, Tarrea Ashe is 1607 Highway 99, Townsend, GA 31331.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95"/>
        <w:gridCol w:w="1095"/>
        <w:gridCol w:w="60"/>
        <w:gridCol w:w="60"/>
        <w:gridCol w:w="88"/>
        <w:gridCol w:w="1012"/>
        <w:gridCol w:w="60"/>
        <w:gridCol w:w="60"/>
        <w:gridCol w:w="223"/>
        <w:gridCol w:w="967"/>
        <w:gridCol w:w="60"/>
        <w:gridCol w:w="60"/>
        <w:gridCol w:w="164"/>
        <w:gridCol w:w="711"/>
        <w:gridCol w:w="60"/>
        <w:gridCol w:w="60"/>
        <w:gridCol w:w="223"/>
        <w:gridCol w:w="967"/>
        <w:gridCol w:w="60"/>
        <w:gridCol w:w="60"/>
        <w:gridCol w:w="206"/>
        <w:gridCol w:w="894"/>
        <w:gridCol w:w="60"/>
        <w:gridCol w:w="60"/>
        <w:gridCol w:w="223"/>
        <w:gridCol w:w="967"/>
        <w:gridCol w:w="60"/>
        <w:gridCol w:w="60"/>
        <w:gridCol w:w="164"/>
        <w:gridCol w:w="711"/>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 Tree Credit Opportunity Master Fund III, LP FKA: Fir Tree Capital Opportunity Master Fund III, LP</w:t>
            </w:r>
            <w:r>
              <w:rPr>
                <w:rFonts w:ascii="Times New Roman;Times;Serif" w:hAnsi="Times New Roman;Times;Serif"/>
                <w:position w:val="7"/>
                <w:sz w:val="16"/>
                <w:sz w:val="20"/>
              </w:rPr>
              <w:t>232</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9,727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9,727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FT SOF XIII (SPAC) Holdings, LLC</w:t>
            </w:r>
            <w:r>
              <w:rPr>
                <w:rFonts w:ascii="Times New Roman;Times;Serif" w:hAnsi="Times New Roman;Times;Serif"/>
                <w:position w:val="7"/>
                <w:sz w:val="16"/>
                <w:sz w:val="20"/>
              </w:rPr>
              <w:t>233</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60,314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60,314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Grace Vandecruze</w:t>
            </w:r>
            <w:r>
              <w:rPr>
                <w:rFonts w:ascii="Times New Roman;Times;Serif" w:hAnsi="Times New Roman;Times;Serif"/>
                <w:position w:val="7"/>
                <w:sz w:val="16"/>
                <w:sz w:val="20"/>
              </w:rPr>
              <w:t>234</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30,937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30,937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Greice Murphy Enterprise, LLC</w:t>
            </w:r>
            <w:r>
              <w:rPr>
                <w:rFonts w:ascii="Times New Roman;Times;Serif" w:hAnsi="Times New Roman;Times;Serif"/>
                <w:position w:val="7"/>
                <w:sz w:val="16"/>
                <w:sz w:val="20"/>
              </w:rPr>
              <w:t>235</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19,871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19,871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Highbridge Tactical Credit Institutional Fund Ltd.</w:t>
            </w:r>
            <w:r>
              <w:rPr>
                <w:rFonts w:ascii="Times New Roman;Times;Serif" w:hAnsi="Times New Roman;Times;Serif"/>
                <w:position w:val="7"/>
                <w:sz w:val="16"/>
                <w:sz w:val="20"/>
              </w:rPr>
              <w:t>236</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79,700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79,700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Highbridge Tactical Credit Institutional Fund Ltd.</w:t>
            </w:r>
            <w:r>
              <w:rPr>
                <w:rFonts w:ascii="Times New Roman;Times;Serif" w:hAnsi="Times New Roman;Times;Serif"/>
                <w:position w:val="7"/>
                <w:sz w:val="16"/>
                <w:sz w:val="20"/>
              </w:rPr>
              <w:t>237</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20,300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20,300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232</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Fir Tree Credit Opportunity Master Fund, LP formerly known as Fir Tree Capital Opportunity Master Fund III, LP. Fir Tree Capital Management, LP is the investment manager of Fir Tree Credit Opportunity Master Fund, LP formerly known as Fir Tree Capital Opportunity Master Fund III, LP. Clinton Biando and David Sultan are the Managing Partners of Fir Tree Capital Management, LP and have voting and investment control of the shares held by Fir Tree Credit Opportunity Master Fund, LP formerly known as Fir Tree Capital Opportunity Master Fund III, LP but disclaim beneficial ownership of such shares. The address of the principal business office of Fir Tree Credit Opportunity Master Fund, LP formerly known as Fir Tree Capital Opportunity Master Fund III, LP is c/o Fir Tree Capital Management, LP, 500 Fifth Avenue, 9</w:t>
            </w:r>
            <w:r>
              <w:rPr>
                <w:rFonts w:ascii="Times New Roman;Times;Serif" w:hAnsi="Times New Roman;Times;Serif"/>
                <w:position w:val="7"/>
                <w:sz w:val="16"/>
                <w:sz w:val="20"/>
              </w:rPr>
              <w:t>th</w:t>
            </w:r>
            <w:r>
              <w:rPr>
                <w:rFonts w:ascii="Times New Roman;Times;Serif" w:hAnsi="Times New Roman;Times;Serif"/>
                <w:sz w:val="20"/>
              </w:rPr>
              <w:t xml:space="preserve"> Floor, New York, NY 10110.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233</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FT SOF XIII (SPAC) Holdings, LLC. Fir Tree Capital Management, LP is the investment manager of FT SOF XIII (SPAC) Holdings, LLC and Clinton Biando and David Sultan are the Managing Partners of Fir Tree Capital Management, LP and have voting and investment control of the shares held by FT SOF XIII (SPAC) Holdings, LLC but disclaim beneficial ownership of such shares. The address of the principal business office of FT SOF XIII (SPAC) Holdings, LLC is c/o Fir Tree Capital Management, LP, 500 Fifth Avenue, 9th Floor, New York, NY 10110.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234</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Grace Vandecruze. The address of the principal business office of Grace Vandecruze is 54 Riverside Drive 8AA, New York, NY 10024.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235</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Greice Murphy Enterprise, LLC. Greice Murphy is the sole member of Greice Murphy Enterprise, LLC and has voting and investment control of the shares held by Greice Murphy Enterprise, LLC. The address of the principal business office of Greice Murphy Enterprise, LLC is 9200 SW 71st Avenue, Pinecrest, FL 33156.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236</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Represents 79,700 shares directly held by Highbridge Tactical Credit Institutional Fund Ltd. (“Highbridge”). The address of the principal business office of the Highbridge is P.O. Box 309 GT, Ugland House, South Church St., George Town.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237</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Represents 20,300 shares directly held by Highbridge Tactical Credit Institutional Fund Ltd. (“Highbridge”). The address of the principal business office of the Highbridge is P.O. Box 309 GT, Ugland House, South Church St., George Town.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385" w:type="dxa"/>
        <w:jc w:val="left"/>
        <w:tblInd w:w="0" w:type="dxa"/>
        <w:tblLayout w:type="fixed"/>
        <w:tblCellMar>
          <w:top w:w="0" w:type="dxa"/>
          <w:left w:w="0" w:type="dxa"/>
          <w:bottom w:w="0" w:type="dxa"/>
          <w:right w:w="0" w:type="dxa"/>
        </w:tblCellMar>
      </w:tblPr>
      <w:tblGrid>
        <w:gridCol w:w="1700"/>
        <w:gridCol w:w="60"/>
        <w:gridCol w:w="82"/>
        <w:gridCol w:w="1108"/>
        <w:gridCol w:w="60"/>
        <w:gridCol w:w="60"/>
        <w:gridCol w:w="76"/>
        <w:gridCol w:w="1024"/>
        <w:gridCol w:w="60"/>
        <w:gridCol w:w="60"/>
        <w:gridCol w:w="114"/>
        <w:gridCol w:w="1076"/>
        <w:gridCol w:w="60"/>
        <w:gridCol w:w="60"/>
        <w:gridCol w:w="84"/>
        <w:gridCol w:w="791"/>
        <w:gridCol w:w="60"/>
        <w:gridCol w:w="60"/>
        <w:gridCol w:w="115"/>
        <w:gridCol w:w="1075"/>
        <w:gridCol w:w="60"/>
        <w:gridCol w:w="60"/>
        <w:gridCol w:w="105"/>
        <w:gridCol w:w="995"/>
        <w:gridCol w:w="60"/>
        <w:gridCol w:w="60"/>
        <w:gridCol w:w="115"/>
        <w:gridCol w:w="1075"/>
        <w:gridCol w:w="60"/>
        <w:gridCol w:w="60"/>
        <w:gridCol w:w="89"/>
        <w:gridCol w:w="786"/>
        <w:gridCol w:w="75"/>
      </w:tblGrid>
      <w:tr>
        <w:trPr/>
        <w:tc>
          <w:tcPr>
            <w:tcW w:w="1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7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180"/>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Ingram Capital Investment Group, LLC</w:t>
            </w:r>
            <w:r>
              <w:rPr>
                <w:rFonts w:ascii="Times New Roman;Times;Serif" w:hAnsi="Times New Roman;Times;Serif"/>
                <w:position w:val="7"/>
                <w:sz w:val="16"/>
                <w:sz w:val="20"/>
              </w:rPr>
              <w:t>238</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798,162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798,162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 Ariel Mendiola</w:t>
            </w:r>
            <w:r>
              <w:rPr>
                <w:rFonts w:ascii="Times New Roman;Times;Serif" w:hAnsi="Times New Roman;Times;Serif"/>
                <w:position w:val="7"/>
                <w:sz w:val="16"/>
                <w:sz w:val="20"/>
              </w:rPr>
              <w:t>239</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12,419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12,419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Joyce Brocaglia</w:t>
            </w:r>
            <w:r>
              <w:rPr>
                <w:rFonts w:ascii="Times New Roman;Times;Serif" w:hAnsi="Times New Roman;Times;Serif"/>
                <w:position w:val="7"/>
                <w:sz w:val="16"/>
                <w:sz w:val="20"/>
              </w:rPr>
              <w:t>240</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34,772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34,772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Latonja Chatman-Culmer</w:t>
            </w:r>
            <w:r>
              <w:rPr>
                <w:rFonts w:ascii="Times New Roman;Times;Serif" w:hAnsi="Times New Roman;Times;Serif"/>
                <w:position w:val="7"/>
                <w:sz w:val="16"/>
                <w:sz w:val="20"/>
              </w:rPr>
              <w:t>241</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1,987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Lauren C. Anderson</w:t>
            </w:r>
            <w:r>
              <w:rPr>
                <w:rFonts w:ascii="Times New Roman;Times;Serif" w:hAnsi="Times New Roman;Times;Serif"/>
                <w:position w:val="7"/>
                <w:sz w:val="16"/>
                <w:sz w:val="20"/>
              </w:rPr>
              <w:t>242</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12,891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M&amp;M Holdings LLC</w:t>
            </w:r>
            <w:r>
              <w:rPr>
                <w:rFonts w:ascii="Times New Roman;Times;Serif" w:hAnsi="Times New Roman;Times;Serif"/>
                <w:position w:val="7"/>
                <w:sz w:val="16"/>
                <w:sz w:val="20"/>
              </w:rPr>
              <w:t>243</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20,626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20,626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Madhani Investments, LLC</w:t>
            </w:r>
            <w:r>
              <w:rPr>
                <w:rFonts w:ascii="Times New Roman;Times;Serif" w:hAnsi="Times New Roman;Times;Serif"/>
                <w:position w:val="7"/>
                <w:sz w:val="16"/>
                <w:sz w:val="20"/>
              </w:rPr>
              <w:t>244</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7,452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7,452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Mahesh Konduru</w:t>
            </w:r>
            <w:r>
              <w:rPr>
                <w:rFonts w:ascii="Times New Roman;Times;Serif" w:hAnsi="Times New Roman;Times;Serif"/>
                <w:position w:val="7"/>
                <w:sz w:val="16"/>
                <w:sz w:val="20"/>
              </w:rPr>
              <w:t>245</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14,903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14,903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 J Gorlin TTEE MJG 2014 Subtrust U/a DTD 09/03/2021</w:t>
            </w:r>
            <w:r>
              <w:rPr>
                <w:rFonts w:ascii="Times New Roman;Times;Serif" w:hAnsi="Times New Roman;Times;Serif"/>
                <w:position w:val="7"/>
                <w:sz w:val="16"/>
                <w:sz w:val="20"/>
              </w:rPr>
              <w:t>246</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25,781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25,781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Marco Gomez Roquero</w:t>
            </w:r>
            <w:r>
              <w:rPr>
                <w:rFonts w:ascii="Times New Roman;Times;Serif" w:hAnsi="Times New Roman;Times;Serif"/>
                <w:position w:val="7"/>
                <w:sz w:val="16"/>
                <w:sz w:val="20"/>
              </w:rPr>
              <w:t>247</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49,676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49,676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238</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Ingram Capital Investment Group, LLC. Hervia Ingram is the sole member of Ingram Capital Investment Group, LLC and has voting and investment control of the shares held by Ingram Capital Investment Group, LLC. The address of the principal business office of Ingram Capital Investment Group, LLC is 2360 Lahinch Court, Kennesaw, GA 30152.</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239</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Jose Ariel Mendiola. The address of the principal business office of Jose Ariel Mendiola is 12015 Silverwood Bend Ln, Cypress, TX 77433.</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240</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Joyce Brocaglia. The address of the principal business office of Joyce Brocaglia is 602 Ocean Avenue, Sea Bright, NJ 07760.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241</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Latonja Chatman-Culmer. The address of the principal business office of Latonja Chatman-Culmer is 4330 Celebration Drive SW, Atlanta, GA 30331.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242</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Lauren C. Anderson. The address of the principal business office of Lauren C. Anderson is 327 Tonetta Lake Road, Brewster, NY 10509.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243</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M&amp;M Holdings LLC. Chris Murphy is the sole member of M&amp;M Holdings, LLC and has voting and investment control of the shares held by M&amp;M Holdings, LLC. The address of the principal business office of M&amp;M Holdings LLC is 2271 Loring Oak Place NW, Marietta, GA 30064.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244</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Madhani Investments, LLC. Suneera Madhani is the sole member of Madhani Investments, LLC and has voting and investment control of the shares held by Madhani Investments, LLC. The address of the principal business office of Madhani Investments, LLC is 1219 Eastin Avenue, Orlando, FL 32804.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245</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Mahesh Konduru. The address of the principal business office of Mahesh Konduru is 6512 Mercer St., Houston, TX 77005.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246</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Marc J Gorlin TTEE MJG 2014 Subtrust U/a DTD 09/03/2021. Marc J Gorlin is the Trustee of Marc J Gorlin TTEE MJG 2014 Subtrust U/a DTD 09/03/2021 and has voting and investment control of the shares held by Marc J Gorlin TTEE MJG 2014 Subtrust U/a DTD 09/03/2021. The address of the principal business office of Marc J Gorlin TTEE MJG 2014 Subtrust U/a DTD 09/03/2021 is 14900 River Road, Unite 901, Pensacola Beach, FL 32507.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247</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Marco Gomez Roquero. The address of the principal business office of Marco Gomez Roquero is 1300 S Miami Avenue #4705, Miami, FL 33130.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68"/>
        <w:gridCol w:w="1122"/>
        <w:gridCol w:w="60"/>
        <w:gridCol w:w="60"/>
        <w:gridCol w:w="63"/>
        <w:gridCol w:w="1037"/>
        <w:gridCol w:w="60"/>
        <w:gridCol w:w="60"/>
        <w:gridCol w:w="114"/>
        <w:gridCol w:w="1076"/>
        <w:gridCol w:w="60"/>
        <w:gridCol w:w="60"/>
        <w:gridCol w:w="84"/>
        <w:gridCol w:w="791"/>
        <w:gridCol w:w="60"/>
        <w:gridCol w:w="60"/>
        <w:gridCol w:w="83"/>
        <w:gridCol w:w="1107"/>
        <w:gridCol w:w="60"/>
        <w:gridCol w:w="60"/>
        <w:gridCol w:w="81"/>
        <w:gridCol w:w="1019"/>
        <w:gridCol w:w="60"/>
        <w:gridCol w:w="60"/>
        <w:gridCol w:w="83"/>
        <w:gridCol w:w="1107"/>
        <w:gridCol w:w="60"/>
        <w:gridCol w:w="60"/>
        <w:gridCol w:w="84"/>
        <w:gridCol w:w="791"/>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36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Lake Polan</w:t>
            </w:r>
            <w:r>
              <w:rPr>
                <w:rFonts w:ascii="Times New Roman;Times;Serif" w:hAnsi="Times New Roman;Times;Serif"/>
                <w:position w:val="7"/>
                <w:sz w:val="16"/>
                <w:sz w:val="20"/>
              </w:rPr>
              <w:t>248</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9,952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9,952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MMF LT, LLC</w:t>
            </w:r>
            <w:r>
              <w:rPr>
                <w:rFonts w:ascii="Times New Roman;Times;Serif" w:hAnsi="Times New Roman;Times;Serif"/>
                <w:position w:val="7"/>
                <w:sz w:val="16"/>
                <w:sz w:val="20"/>
              </w:rPr>
              <w:t>249</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156,667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156,667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Nautilus Master Fund, L.P</w:t>
            </w:r>
            <w:r>
              <w:rPr>
                <w:rFonts w:ascii="Times New Roman;Times;Serif" w:hAnsi="Times New Roman;Times;Serif"/>
                <w:position w:val="7"/>
                <w:sz w:val="16"/>
                <w:sz w:val="20"/>
              </w:rPr>
              <w:t>250</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332,797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332,797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2.1</w:t>
            </w:r>
          </w:p>
        </w:tc>
        <w:tc>
          <w:tcPr>
            <w:tcW w:w="75" w:type="dxa"/>
            <w:tcBorders/>
            <w:shd w:fill="CCEEFF" w:val="clear"/>
            <w:vAlign w:val="center"/>
          </w:tcPr>
          <w:p>
            <w:pPr>
              <w:pStyle w:val="TableContents"/>
              <w:bidi w:val="0"/>
              <w:spacing w:before="0" w:after="283"/>
              <w:ind w:left="0" w:right="0" w:hanging="360"/>
              <w:jc w:val="left"/>
              <w:rPr/>
            </w:pPr>
            <w:r>
              <w:rPr/>
              <w:t>%</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Ocean Family Trust, LLC</w:t>
            </w:r>
            <w:r>
              <w:rPr>
                <w:rFonts w:ascii="Times New Roman;Times;Serif" w:hAnsi="Times New Roman;Times;Serif"/>
                <w:position w:val="7"/>
                <w:sz w:val="16"/>
                <w:sz w:val="20"/>
              </w:rPr>
              <w:t>251</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24,838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24,838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Paula Hawkins</w:t>
            </w:r>
            <w:r>
              <w:rPr>
                <w:rFonts w:ascii="Times New Roman;Times;Serif" w:hAnsi="Times New Roman;Times;Serif"/>
                <w:position w:val="7"/>
                <w:sz w:val="16"/>
                <w:sz w:val="20"/>
              </w:rPr>
              <w:t>252</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3,974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3,974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Phyllis W. Newhouse</w:t>
            </w:r>
            <w:r>
              <w:rPr>
                <w:rFonts w:ascii="Times New Roman;Times;Serif" w:hAnsi="Times New Roman;Times;Serif"/>
                <w:position w:val="7"/>
                <w:sz w:val="16"/>
                <w:sz w:val="20"/>
              </w:rPr>
              <w:t>253</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1,023,314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1,023,314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502,170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502,170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Primetime Investment Group, LLC</w:t>
            </w:r>
            <w:r>
              <w:rPr>
                <w:rFonts w:ascii="Times New Roman;Times;Serif" w:hAnsi="Times New Roman;Times;Serif"/>
                <w:position w:val="7"/>
                <w:sz w:val="16"/>
                <w:sz w:val="20"/>
              </w:rPr>
              <w:t>254</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445,537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445,537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Project JB LLC</w:t>
            </w:r>
            <w:r>
              <w:rPr>
                <w:rFonts w:ascii="Times New Roman;Times;Serif" w:hAnsi="Times New Roman;Times;Serif"/>
                <w:position w:val="7"/>
                <w:sz w:val="16"/>
                <w:sz w:val="20"/>
              </w:rPr>
              <w:t>255</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20,626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20,626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Radcliffe SPAC Master Fund, L.P.</w:t>
            </w:r>
            <w:r>
              <w:rPr>
                <w:rFonts w:ascii="Times New Roman;Times;Serif" w:hAnsi="Times New Roman;Times;Serif"/>
                <w:position w:val="7"/>
                <w:sz w:val="16"/>
                <w:sz w:val="20"/>
              </w:rPr>
              <w:t>256</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Rashaun Williams</w:t>
            </w:r>
            <w:r>
              <w:rPr>
                <w:rFonts w:ascii="Times New Roman;Times;Serif" w:hAnsi="Times New Roman;Times;Serif"/>
                <w:position w:val="7"/>
                <w:sz w:val="16"/>
                <w:sz w:val="20"/>
              </w:rPr>
              <w:t>257</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406,252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406,252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248</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Mary Lake Polan. The address of the principal business office of Mary Lake Polan is Eagle Bluff Ranch, 795 Eagle Ridge Rd., Camp Verde, TX 78010.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249</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MMF LT, LLC. 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the principal business office of MMF LT, LLC is 11 Times Square, 37th Floor, New York, NY 10036.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250</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Nautilus Master Fund, L.P., (“Nautilus”). Voting and investment power over the interests by Nautilus resides with its investment manager, Periscope Capital Inc. Jamie Wise is the Chief Executive Office of Persicope Capital Inc. and may be deemed to be the beneficial owner of the interests held by Nautilus. Jamie Wise and Persicope Capital Inc., however, disclaim any beneficial ownership of the interests held by Nautilus. The address of the foregoing individual and entities is c/o 333 Bay Street, Suite 1240, Toronto, ON, M5H 2R2. The address of the principal business office of Nautilus Master Fund, L.P., c/o Periscope Capital, Inc. is Bay Adelaide Centre, 33 Bay St., Suite 1240, Toronto, ON M5H 2R2.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251</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Ocean Family Trust, LLC. Mark Griswell is the sole member of Ocean Family Trust, LLC and has voting and investment control of the shares held by Ocean Family Trust, LLC. The address of the principal business office of Ocean Family Trust, LLC, Mark Griswell is 861 Wayland Ct., Smyrna, GA 30080.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252</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Paula Hawkins. The address of the principal business office of Paula Hawkins is 2904 Lennox Rd, Conyers, GA 30094.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253</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Phyllis W. Newhouse. Ms. Newhouse is a director of the Company. The address of the principal business office of Phyllis W. Newhouse is 2291 Loring Oak PL NW, Marietta, GA 30064.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254</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Primetime Investment Group, LLC. Ezekiel V. Newhouse is the sole member of Primetime Investment Group, LLC and has voting and investment control of the shares held by Primetime Investments Group, LLC. The address of the principal business office of Primetime Investment Group, LLC is 2129 Lamberton Ln, Kennesaw, GA 30152.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255</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Project JB LLC. Chenxi Wang is the sole member of Project JB, LLC and has voting and investment control of the shares held by Project JB, LLC. The address of the principal business office of Project JB LLC, Chenxi Wang is 24 Jordan Avenue, Los Altos, CA 94022.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256</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Radcliffe SPAC Master Fund, L.P. (the “Master Fund”). Pursuant to an investment management agreement, Radcliffe Capital Management, L.P. (“RCM”) serves as the investment manager of the Master Fund. RGC Management Company, LLC (“Management”) is the general partner of RCM. Steve Katznelson and Christopher Hinkel serve as managing members of Management. Each of the parties in this footnote disclaims any beneficial ownership of the reported shares other than to the extent of any pecuniary interest the party may have therein. The address of the principal business office of Radcliffe SPAC Master Fund, L.P., c/o Radcliffe Capital Management, LP is 50 Monument Road, Suite 300, Bala Cynwyd, PA 19004.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257</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Rashaun Williams. The address of the principal business office of Rashaun Williams is 505 N. Lake Shore Dr. #3810-11, Chicago, IL 60611.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220" w:type="dxa"/>
        <w:jc w:val="left"/>
        <w:tblInd w:w="0" w:type="dxa"/>
        <w:tblLayout w:type="fixed"/>
        <w:tblCellMar>
          <w:top w:w="0" w:type="dxa"/>
          <w:left w:w="0" w:type="dxa"/>
          <w:bottom w:w="0" w:type="dxa"/>
          <w:right w:w="0" w:type="dxa"/>
        </w:tblCellMar>
      </w:tblPr>
      <w:tblGrid>
        <w:gridCol w:w="1535"/>
        <w:gridCol w:w="60"/>
        <w:gridCol w:w="68"/>
        <w:gridCol w:w="1122"/>
        <w:gridCol w:w="60"/>
        <w:gridCol w:w="60"/>
        <w:gridCol w:w="63"/>
        <w:gridCol w:w="1037"/>
        <w:gridCol w:w="60"/>
        <w:gridCol w:w="60"/>
        <w:gridCol w:w="114"/>
        <w:gridCol w:w="1076"/>
        <w:gridCol w:w="60"/>
        <w:gridCol w:w="60"/>
        <w:gridCol w:w="84"/>
        <w:gridCol w:w="791"/>
        <w:gridCol w:w="60"/>
        <w:gridCol w:w="60"/>
        <w:gridCol w:w="115"/>
        <w:gridCol w:w="1075"/>
        <w:gridCol w:w="60"/>
        <w:gridCol w:w="60"/>
        <w:gridCol w:w="105"/>
        <w:gridCol w:w="995"/>
        <w:gridCol w:w="60"/>
        <w:gridCol w:w="60"/>
        <w:gridCol w:w="115"/>
        <w:gridCol w:w="1075"/>
        <w:gridCol w:w="60"/>
        <w:gridCol w:w="60"/>
        <w:gridCol w:w="89"/>
        <w:gridCol w:w="786"/>
        <w:gridCol w:w="75"/>
      </w:tblGrid>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535" w:type="dxa"/>
            <w:tcBorders>
              <w:bottom w:val="single" w:sz="12" w:space="0" w:color="000000"/>
            </w:tcBorders>
            <w:tcMar>
              <w:bottom w:w="28" w:type="dxa"/>
            </w:tcMar>
            <w:vAlign w:val="center"/>
          </w:tcPr>
          <w:p>
            <w:pPr>
              <w:pStyle w:val="TableContents"/>
              <w:bidi w:val="0"/>
              <w:spacing w:before="0" w:after="283"/>
              <w:jc w:val="left"/>
              <w:rPr>
                <w:b/>
              </w:rPr>
            </w:pPr>
            <w:r>
              <w:rPr>
                <w:b/>
              </w:rPr>
              <w:t>Name of Selling Securityholder</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360"/>
              <w:jc w:val="left"/>
              <w:rPr/>
            </w:pPr>
            <w:r>
              <w:rPr/>
              <w:t> </w:t>
            </w:r>
          </w:p>
        </w:tc>
      </w:tr>
      <w:tr>
        <w:trPr/>
        <w:tc>
          <w:tcPr>
            <w:tcW w:w="15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 Caron</w:t>
            </w:r>
            <w:r>
              <w:rPr>
                <w:rFonts w:ascii="Times New Roman;Times;Serif" w:hAnsi="Times New Roman;Times;Serif"/>
                <w:position w:val="7"/>
                <w:sz w:val="16"/>
                <w:sz w:val="20"/>
              </w:rPr>
              <w:t>258</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49,675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49,675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Rivernorth SPAC Arbitrage Fund, LP</w:t>
            </w:r>
            <w:r>
              <w:rPr>
                <w:rFonts w:ascii="Times New Roman;Times;Serif" w:hAnsi="Times New Roman;Times;Serif"/>
                <w:position w:val="7"/>
                <w:sz w:val="16"/>
                <w:sz w:val="20"/>
              </w:rPr>
              <w:t>259</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106,667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106,667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15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Romonda Jordan</w:t>
            </w:r>
            <w:r>
              <w:rPr>
                <w:rFonts w:ascii="Times New Roman;Times;Serif" w:hAnsi="Times New Roman;Times;Serif"/>
                <w:position w:val="7"/>
                <w:sz w:val="16"/>
                <w:sz w:val="20"/>
              </w:rPr>
              <w:t>260</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Roxanna Aguillard</w:t>
            </w:r>
            <w:r>
              <w:rPr>
                <w:rFonts w:ascii="Times New Roman;Times;Serif" w:hAnsi="Times New Roman;Times;Serif"/>
                <w:position w:val="7"/>
                <w:sz w:val="16"/>
                <w:sz w:val="20"/>
              </w:rPr>
              <w:t>261</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2,981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2,981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Shawn Henry</w:t>
            </w:r>
            <w:r>
              <w:rPr>
                <w:rFonts w:ascii="Times New Roman;Times;Serif" w:hAnsi="Times New Roman;Times;Serif"/>
                <w:position w:val="7"/>
                <w:sz w:val="16"/>
                <w:sz w:val="20"/>
              </w:rPr>
              <w:t>262</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30,937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30,937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ShoulderUp 2021 Trust</w:t>
            </w:r>
            <w:r>
              <w:rPr>
                <w:rFonts w:ascii="Times New Roman;Times;Serif" w:hAnsi="Times New Roman;Times;Serif"/>
                <w:position w:val="7"/>
                <w:sz w:val="16"/>
                <w:sz w:val="20"/>
              </w:rPr>
              <w:t>263</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2,154,416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2,154,416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Sierra Hotel Enterprise LLC</w:t>
            </w:r>
            <w:r>
              <w:rPr>
                <w:rFonts w:ascii="Times New Roman;Times;Serif" w:hAnsi="Times New Roman;Times;Serif"/>
                <w:position w:val="7"/>
                <w:sz w:val="16"/>
                <w:sz w:val="20"/>
              </w:rPr>
              <w:t>264</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19,869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19,869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Stacey Berns</w:t>
            </w:r>
            <w:r>
              <w:rPr>
                <w:rFonts w:ascii="Times New Roman;Times;Serif" w:hAnsi="Times New Roman;Times;Serif"/>
                <w:position w:val="7"/>
                <w:sz w:val="16"/>
                <w:sz w:val="20"/>
              </w:rPr>
              <w:t>265</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5,156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5,156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 Eskenazi</w:t>
            </w:r>
            <w:r>
              <w:rPr>
                <w:rFonts w:ascii="Times New Roman;Times;Serif" w:hAnsi="Times New Roman;Times;Serif"/>
                <w:position w:val="7"/>
                <w:sz w:val="16"/>
                <w:sz w:val="20"/>
              </w:rPr>
              <w:t>266</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12,891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12,891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258</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Ray Caron. The address of the principal business office of Ray Caron is 14 Marina Ct, Newnan, GA 30263.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259</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Rivernorth SPAC Arbitrage Fund, LP. The address of the principal business office of Rivernorth SPAC Arbitrage Fund, LP is 360 South Rosemary Ave, Suite 1420, West Palm Beach, FL 33401.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260</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Romonda Jordan. The address of the principal business office of Romonda Jordan is 22197 Windy Pine Ct., Broadlands, VA 20148.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261</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Roxanna Aguillard. The address of the principal business office of Roxanna Aguillard is 504 Bruin Court, Stockbridge, GA 30281.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262</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Shawn Henry. The address of the principal business office of Shawn Henry is 605 S. Gulfstream Ave, Sarasota, FL 34236.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263</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ShoulderUp 2021 Trust. Phyllis W. Newhouse is the Trustee of ShoulderUp 2021 Trust and has voting and investment control of the shares held by ShoulderUp 2021 Trust. The address of the principal business office of ShoulderUp 2021 Trust is 2291 Loring Oak PL NW, Marietta, GA 30064.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264</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Sierra Hotel Enterprise LLC. Greice Murphy is the sole member of Sierra Hotell Enterprise, LLC and has voting and investment control of the shares held by Sierra Hotel Enterprise, LLC. The address of the principal business office of Sierra Hotel Enterprise LLC, Greice Murphy is 9200 SW 71st Avenue, Pinecrest, FL 33156.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265</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Stacey Berns. The address of the principal business office of Stacey Berns is 101 Warren St., Apt. 820, New York, NY 10007.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266</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Steve Eskenazi. The address of the principal business office of Steve Eskenazi is 50 Sheldon Way, Hillsborough, CA 94010.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82"/>
        <w:gridCol w:w="1108"/>
        <w:gridCol w:w="60"/>
        <w:gridCol w:w="60"/>
        <w:gridCol w:w="76"/>
        <w:gridCol w:w="1024"/>
        <w:gridCol w:w="60"/>
        <w:gridCol w:w="60"/>
        <w:gridCol w:w="114"/>
        <w:gridCol w:w="1076"/>
        <w:gridCol w:w="60"/>
        <w:gridCol w:w="60"/>
        <w:gridCol w:w="84"/>
        <w:gridCol w:w="791"/>
        <w:gridCol w:w="60"/>
        <w:gridCol w:w="60"/>
        <w:gridCol w:w="115"/>
        <w:gridCol w:w="1075"/>
        <w:gridCol w:w="60"/>
        <w:gridCol w:w="60"/>
        <w:gridCol w:w="105"/>
        <w:gridCol w:w="995"/>
        <w:gridCol w:w="60"/>
        <w:gridCol w:w="60"/>
        <w:gridCol w:w="115"/>
        <w:gridCol w:w="1075"/>
        <w:gridCol w:w="60"/>
        <w:gridCol w:w="60"/>
        <w:gridCol w:w="89"/>
        <w:gridCol w:w="786"/>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Tauheed Epps</w:t>
            </w:r>
            <w:r>
              <w:rPr>
                <w:rFonts w:ascii="Times New Roman;Times;Serif" w:hAnsi="Times New Roman;Times;Serif"/>
                <w:position w:val="7"/>
                <w:sz w:val="16"/>
                <w:sz w:val="20"/>
              </w:rPr>
              <w:t>267</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51,563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51,563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Tenor Opportunity Master Fund, Ltd.</w:t>
            </w:r>
            <w:r>
              <w:rPr>
                <w:rFonts w:ascii="Times New Roman;Times;Serif" w:hAnsi="Times New Roman;Times;Serif"/>
                <w:position w:val="7"/>
                <w:sz w:val="16"/>
                <w:sz w:val="20"/>
              </w:rPr>
              <w:t>268</w:t>
            </w:r>
            <w:r>
              <w:rPr>
                <w:rFonts w:ascii="Times New Roman;Times;Serif" w:hAnsi="Times New Roman;Times;Serif"/>
                <w:sz w:val="20"/>
              </w:rPr>
              <w:t xml:space="preserve">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Newhouse Family 2016 Revocable Trust</w:t>
            </w:r>
            <w:r>
              <w:rPr>
                <w:rFonts w:ascii="Times New Roman;Times;Serif" w:hAnsi="Times New Roman;Times;Serif"/>
                <w:position w:val="7"/>
                <w:sz w:val="16"/>
                <w:sz w:val="20"/>
              </w:rPr>
              <w:t>269</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4,968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4,968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Salman Rehmetullah Revocable Trust</w:t>
            </w:r>
            <w:r>
              <w:rPr>
                <w:rFonts w:ascii="Times New Roman;Times;Serif" w:hAnsi="Times New Roman;Times;Serif"/>
                <w:position w:val="7"/>
                <w:sz w:val="16"/>
                <w:sz w:val="20"/>
              </w:rPr>
              <w:t>270</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7,452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7,452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Vincent Raymond Stewart and Phyllis Lea Stewart Living Trust</w:t>
            </w:r>
            <w:r>
              <w:rPr>
                <w:rFonts w:ascii="Times New Roman;Times;Serif" w:hAnsi="Times New Roman;Times;Serif"/>
                <w:position w:val="7"/>
                <w:sz w:val="16"/>
                <w:sz w:val="20"/>
              </w:rPr>
              <w:t>271</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25,781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25,781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Triple Helix, LLC</w:t>
            </w:r>
            <w:r>
              <w:rPr>
                <w:rFonts w:ascii="Times New Roman;Times;Serif" w:hAnsi="Times New Roman;Times;Serif"/>
                <w:position w:val="7"/>
                <w:sz w:val="16"/>
                <w:sz w:val="20"/>
              </w:rPr>
              <w:t>272</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103,126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103,126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Una Ryan</w:t>
            </w:r>
            <w:r>
              <w:rPr>
                <w:rFonts w:ascii="Times New Roman;Times;Serif" w:hAnsi="Times New Roman;Times;Serif"/>
                <w:position w:val="7"/>
                <w:sz w:val="16"/>
                <w:sz w:val="20"/>
              </w:rPr>
              <w:t>273</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5,156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267</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Tauheed Epps. The address of the principal business office of Tauheed Epps is 1740 Defoor Pl, Atlanta, GA 30318.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268</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Tenor Opportunity Master Fund, Ltd. The address of the principal business office of Tenor Opportunity Fund, Ltd. is 810 Seventh Ave., Suite 1905, New York, NY 10019.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269</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The Newhouse Family 2016 Revocable Trust. Tiffany Newhouse is the Trustee of The Newhouse Family 2016 Revocable Trust and has voting and investment control of the shares held by The Newhouse Family 20216 Revocable Trust. The address of the principal business office of The Newhouse Family 2016 Revocable Trust is 620 Via De Bella, Fairfield, CA 94534.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270</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The Salman Rehmetullah Revocable Trust. Sal Rehmetullah is the Trustee of The Salman Rehmetullah Revocable Trust and has voting and investment control of the shares held by The Salman Remetullah Revocable Trust. The address of the principal business office of The Salman Rehmetullah Revocable Trust is 609 E Ridgewood St, Orlando, FL 32803-5622.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271</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The Vincent Raymond Stewart and Phyllis Lea Stewart Living Trust. The address of the principal business office of The Vincent Raymond Stewart and Phyllis Lea Stewart Living Trust is 3101 Castlerock Rd., Unit 107, Oklahoma City, OK 73120.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272</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Triple Helix, LLC. Asma Ishaq is the sole member of Triple Helix, LLC and has voting and investment control of the shares held by Triple Helix, LLC. The address of the principal business office of Triple Helix, LLC, Asma Ishaq is CRLLP 20351 Irvine Ave, Suite C6, Newport Beach, CA 92660.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273</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Una Ryan. The address of the principal business office of Una Ryan is 7500 Old Georgetown Road, Suite 901, Bethesda, MD 20814.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070" w:type="dxa"/>
        <w:jc w:val="left"/>
        <w:tblInd w:w="0" w:type="dxa"/>
        <w:tblLayout w:type="fixed"/>
        <w:tblCellMar>
          <w:top w:w="0" w:type="dxa"/>
          <w:left w:w="0" w:type="dxa"/>
          <w:bottom w:w="0" w:type="dxa"/>
          <w:right w:w="0" w:type="dxa"/>
        </w:tblCellMar>
      </w:tblPr>
      <w:tblGrid>
        <w:gridCol w:w="1385"/>
        <w:gridCol w:w="60"/>
        <w:gridCol w:w="68"/>
        <w:gridCol w:w="1122"/>
        <w:gridCol w:w="60"/>
        <w:gridCol w:w="60"/>
        <w:gridCol w:w="63"/>
        <w:gridCol w:w="1037"/>
        <w:gridCol w:w="60"/>
        <w:gridCol w:w="60"/>
        <w:gridCol w:w="114"/>
        <w:gridCol w:w="1076"/>
        <w:gridCol w:w="60"/>
        <w:gridCol w:w="60"/>
        <w:gridCol w:w="84"/>
        <w:gridCol w:w="791"/>
        <w:gridCol w:w="60"/>
        <w:gridCol w:w="60"/>
        <w:gridCol w:w="83"/>
        <w:gridCol w:w="1107"/>
        <w:gridCol w:w="60"/>
        <w:gridCol w:w="60"/>
        <w:gridCol w:w="88"/>
        <w:gridCol w:w="1012"/>
        <w:gridCol w:w="60"/>
        <w:gridCol w:w="60"/>
        <w:gridCol w:w="115"/>
        <w:gridCol w:w="1075"/>
        <w:gridCol w:w="60"/>
        <w:gridCol w:w="60"/>
        <w:gridCol w:w="84"/>
        <w:gridCol w:w="791"/>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Owned</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Prior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7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Valerie Mosley</w:t>
            </w:r>
            <w:r>
              <w:rPr>
                <w:rFonts w:ascii="Times New Roman;Times;Serif" w:hAnsi="Times New Roman;Times;Serif"/>
                <w:position w:val="7"/>
                <w:sz w:val="16"/>
                <w:sz w:val="20"/>
              </w:rPr>
              <w:t>274</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24,790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24,790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Vellar Special Opportunities Fund, LLC – Series 29</w:t>
            </w:r>
            <w:r>
              <w:rPr>
                <w:rFonts w:ascii="Times New Roman;Times;Serif" w:hAnsi="Times New Roman;Times;Serif"/>
                <w:position w:val="7"/>
                <w:sz w:val="16"/>
                <w:sz w:val="20"/>
              </w:rPr>
              <w:t>275</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1,057,916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1,057,916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147,830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147,830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Walleye Investment Fund LLC</w:t>
            </w:r>
            <w:r>
              <w:rPr>
                <w:rFonts w:ascii="Times New Roman;Times;Serif" w:hAnsi="Times New Roman;Times;Serif"/>
                <w:position w:val="7"/>
                <w:sz w:val="16"/>
                <w:sz w:val="20"/>
              </w:rPr>
              <w:t>276</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9,375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9,375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Walleye Opportunities Master Fund Ltd.</w:t>
            </w:r>
            <w:r>
              <w:rPr>
                <w:rFonts w:ascii="Times New Roman;Times;Serif" w:hAnsi="Times New Roman;Times;Serif"/>
                <w:position w:val="7"/>
                <w:sz w:val="16"/>
                <w:sz w:val="20"/>
              </w:rPr>
              <w:t>277</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18,750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18,750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ZNH Holdings Group, LLC</w:t>
            </w:r>
            <w:r>
              <w:rPr>
                <w:rFonts w:ascii="Times New Roman;Times;Serif" w:hAnsi="Times New Roman;Times;Serif"/>
                <w:position w:val="7"/>
                <w:sz w:val="16"/>
                <w:sz w:val="20"/>
              </w:rPr>
              <w:t>278</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23,204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23,204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Circle Principal Investments LLC</w:t>
            </w:r>
            <w:r>
              <w:rPr>
                <w:rFonts w:ascii="Times New Roman;Times;Serif" w:hAnsi="Times New Roman;Times;Serif"/>
                <w:position w:val="7"/>
                <w:sz w:val="16"/>
                <w:sz w:val="20"/>
              </w:rPr>
              <w:t>279</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5,524,624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274</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Valerie Mosley. The address of the principal business office of Valerie Mosley is PO Box 2430, Oak Bluffs, MA 02557.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275</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Vellar Special Opportunities Fund, LLC – Series 29. Andrew Davilman in his role as Chief Operating Officer has dispositive investment power over the shares held by Vellar Special Opportunities Fund, LLC – Series 29. The address of the principal business office of Vellar Special Opportunities Fund, LLC – Series 29 is 3 Columbus Circle, Suite 2400, New York, NY 10019.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276</w:t>
            </w:r>
          </w:p>
        </w:tc>
        <w:tc>
          <w:tcPr>
            <w:tcW w:w="9870" w:type="dxa"/>
            <w:tcBorders/>
            <w:vAlign w:val="center"/>
          </w:tcPr>
          <w:p>
            <w:pPr>
              <w:pStyle w:val="TableContents"/>
              <w:bidi w:val="0"/>
              <w:spacing w:before="0" w:after="283"/>
              <w:jc w:val="both"/>
              <w:rPr/>
            </w:pPr>
            <w:r>
              <w:rPr/>
              <w:t>Represents shares directly held by Walleye Investment Fund LLC. Walleye Investments Fund LLC (the “Walleye Entity”) is a private investment funds managed by Walleye Capital LLC. William England is the Chief Executive Office of Walleye Capital LLC. As a result, Walleye Capital LLC and Mr. England may be deemed to have shared voting and dispositive power with respect to the shared held by the Walleye Entity. The address of the principal business office of Walleye Investment Fund LLC is 401 Lake Street East, 3</w:t>
            </w:r>
            <w:r>
              <w:rPr>
                <w:position w:val="8"/>
                <w:sz w:val="19"/>
              </w:rPr>
              <w:t>rd</w:t>
            </w:r>
            <w:r>
              <w:rPr/>
              <w:t xml:space="preserve"> Floor, Wayzata, MN 55391.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277</w:t>
            </w:r>
          </w:p>
        </w:tc>
        <w:tc>
          <w:tcPr>
            <w:tcW w:w="9870" w:type="dxa"/>
            <w:tcBorders/>
            <w:vAlign w:val="center"/>
          </w:tcPr>
          <w:p>
            <w:pPr>
              <w:pStyle w:val="TableContents"/>
              <w:bidi w:val="0"/>
              <w:spacing w:before="0" w:after="283"/>
              <w:jc w:val="both"/>
              <w:rPr/>
            </w:pPr>
            <w:r>
              <w:rPr/>
              <w:t>Represents shares directly held by Walleye Opportunities Master Fund Ltd. Walleye Opportunities Master Fund Ltd (the “Walleye Entity”) is a private investment funds managed by Walleye Capital LLC. William England is the Chief Executive Office of Walleye Capital LLC. As a result, Walleye Capital LLC and Mr. England may be deemed to have shared voting and dispositive power with respect to the shared held by the Walleye Entity. The address of the principal business office of Walleye Opportunities Master Fund Ltd. is 401 Lake Street East, 3</w:t>
            </w:r>
            <w:r>
              <w:rPr>
                <w:position w:val="8"/>
                <w:sz w:val="19"/>
              </w:rPr>
              <w:t>rd</w:t>
            </w:r>
            <w:r>
              <w:rPr/>
              <w:t xml:space="preserve"> Floor, Wayzata, MN 55391.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278</w:t>
            </w:r>
          </w:p>
        </w:tc>
        <w:tc>
          <w:tcPr>
            <w:tcW w:w="98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ZNH Holdings Group, LLC. Stacey Abrams is the sole member of ZNH Holdings Group, LLC and has voting and investment control of the shares held by ZNH Holdings Group, LLC. The address of the principal business office of ZNH Holdings Group, LLC is 4900 Forestglade Ct., Stone Mountain, GA 30087.</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279</w:t>
            </w:r>
          </w:p>
        </w:tc>
        <w:tc>
          <w:tcPr>
            <w:tcW w:w="98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(1)85,995 shares based on the commitment fee of $350,000 calculated at an estimated price of $4.07 per share; and (2) 5,438,629 shares that we may, in our sole discretion, elect to issue and sell to New Circle, from time to time after the date of this prospectus, as part of the Total Commitment pursuant to (and limited by the terms of) the ELOC Agreement. In accordance with Rule 13d-3(d) under the Exchange Act, we have excluded from the number of shares beneficially owned prior to the offering all of the shares that New Circle may be required to purchase under the ELOC Agreement, because the issuance of such shares is at our discretion and is subject to conditions contained in the ELOC Agreement, the satisfaction of which are entirely outside of New Circle’s control, including the registration statement that includes this prospectus becoming and remaining effective. Also, the ELOC Agreement prohibits us from issuing and selling any shares of our common stock to New Circle to the extent such shares, when aggregated with all other shares of our common stock then beneficially owned by New Circle, would cause New Circle’s beneficial ownership of our common stock to exceed the 4.99% Ownership Limitation. The ELOC Agreement also prohibits us from issuing or selling shares of our Common Stock under the ELOC Agreement in excess of the 19.99% Exchange Cap, unless we obtain stockholder approval to do so, or unless all applicable sales of shares of common stock under the ELOC Agreement equal or exceed the “Minimum Price” (as such term is defined in Nasdaq Rule 5635) or, as to any Purchase, the issuance of the common stock pursuant to an Purchase Notice would be excluded from the Exchange Cap under Nasdaq rules (or interpretive guidance provided by Nasdaq with respect thereto), in which case the Exchange Cap limitation would no longer apply under applicable Nasdaq rules.</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7" w:name="a_016"/>
      <w:bookmarkEnd w:id="17"/>
      <w:r>
        <w:rPr>
          <w:rFonts w:ascii="Times New Roman;Times;Serif" w:hAnsi="Times New Roman;Times;Serif"/>
          <w:b/>
          <w:i w:val="false"/>
          <w:caps/>
          <w:sz w:val="20"/>
        </w:rPr>
        <w:t>DESCRIPTION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the material terms of the Company’s securities is not intended to be a complete summary of the rights and preferences of such securities. The full text of the Certificate of Incorporation, Bylaws and the Certificate of Designations are filed as exhibits to this registration statement. We urge you to read the Certificate of Incorporation, Bylaws and Certificate of Designations in their entirety for a complete description of the rights and preferences of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authorizes the Company to issue 300,000,000 shares, consisting of (A) 10,000,000 shares of Preferred Stock, par value $0.0001 per share (“Preferred Stock”) and (B) 290,000,000 shares of Common Stock, par value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capital stock and provisions of the Certificate of Incorporation, Bylaws and Certificate of Designations are summaries and are qualified by reference to the Certificate of Incorporation, Bylaws and Certificate of Designations, substantially in the form filed as exhibits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then outstanding preferred stock, holders of shares of Common Stock are entitled to receive such dividends, if any, as may be declared from time-to-time by the Board out of legally available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each holder of Common Stock is entitled to one vote for each share on all matters properly submitted to a vote of the stockholders, including the election of directors. Holders of Common Stock do not have cumulative voting rights in the election of directors. Accordingly, holders of a majority of the voting shares are able to elect all of the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the rights, if any, of the holders of any outstanding series of the preferred stock, in the event of any voluntary or involuntary liquidation, dissolution or winding up of the Company, after payment or provision for payment of the debts and other liabilities of the Company, the holders of shares of Common Stock will be entitled to receive all the remaining assets of the Company available for distribution to its stockholders, ratably in proportion to the number of shares of Common Stock held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and preferences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have no preemptive, conversion, subscription or other rights, and there are no redemption or sinking fund provisions applicable to Common Stock. The rights, preferences, and privileges of the holders of Common Stock are subject to and may be adversely affected by, the rights of the holders of shares of any series of preferred stock that the Company may designate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Lock-Up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Registration Rights and Lock-Up Agreement, the Holders (as defined therein) will be subject to a 180 day lock up period (subject to customary exceptions) in respect of their shares of Common Stock received in the Business Combination (subject to certain customary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the authority, without further action by the Company’s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of the Company or other corporate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outstanding for the purchase of one share of Common Stock is exercisable for one share of Common Stock, with all other terms of such warrants remaining unchanged. The following is a description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became exercisable on July 18, 2025, provided the Company has an effective registration statement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entitles the registered holder to purchase one share of Common Stock at a price of $11.50 per share, subject to adjustment as discussed below, at any time commencing on July 18, 2025, provided the Company has an effective registration statement under the Securities Act covering the shares of Common Stock issuable upon exercise of the Warrants and a current prospectus relating to them is available (or the Company permits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Common Stock. This means only a whole warrant may be exercised at a given time by a warrant holder. The Warrants will expire at 5:00 p.m., New York City time, on June 18, 2030, or earlier upon redemption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obligated to deliver any Common Stock pursuant to the exercise of a warrant and will have no obligation to settle such warrant exercise unless a registration statement under the Securities Act with respect to the Common Stock underlying the warrants is then effective and a prospectus relating thereto is current, subject to the Company satisfying their obligations described below with respect to registration. No Warrant will be exercisable and the Company will not be obligated to issue a share of Common Stock upon exercise of a Warrant unless the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Holders of our Warrants cannot pay cash to exercise their warrants unless we have an effective and current registration statement covering the issuance of the shares underlying such warrants and a current prospectus relating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that as soon as practicable, but in no event later than 15 business days after the closing of an initial business combination, the Company will use commercially reasonable efforts to file with the SEC a registration statement for the registration, under the Securities Act, of the Common Stock issuable upon exercise of the Warrants. The Company will use commercially reasonable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issuance of the shares issuable upon exercise of the Warrants is not effective within 60 business days from the Closing, warrant holders may, until such time as there is an effective registration statement and during any period when the Company will have failed to maintain an effective registration statement or a current prospectus, exercise Warrants on a cashless basis pursuant to an available exemption from registration under the Securities Act. Notwithstanding the above, if the shares of Common Stock are at the time of any exercise of Warrants not listed on a national securities exchange such that they satisfy the definition of a “covered security” under Section 18(b)(1) of the Securities Act, the Company may, at their option, require holders of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commercially reasonable efforts to register or qualify the shares under applicable blue sky laws to the extent an exemption is not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Public Warrants for Cash when the price per share of Common Stock equals or exceeds $18.00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the Company may redeem the outstanding Public Warrants:</w:t>
      </w:r>
    </w:p>
    <w:p>
      <w:pPr>
        <w:pStyle w:val="TextBody"/>
        <w:bidi w:val="0"/>
        <w:spacing w:before="0" w:after="0"/>
        <w:ind w:left="280" w:right="0" w:hanging="36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both"/>
              <w:rPr/>
            </w:pPr>
            <w:r>
              <w:rPr/>
              <w:t>in whole and not in part;</w:t>
            </w:r>
          </w:p>
        </w:tc>
      </w:tr>
    </w:tbl>
    <w:p>
      <w:pPr>
        <w:pStyle w:val="TextBody"/>
        <w:bidi w:val="0"/>
        <w:spacing w:before="0" w:after="0"/>
        <w:ind w:left="280" w:right="0" w:hanging="360"/>
        <w:jc w:val="both"/>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both"/>
              <w:rPr/>
            </w:pPr>
            <w:r>
              <w:rPr/>
              <w:t>at a price of $0.01 per warrant;</w:t>
            </w:r>
          </w:p>
        </w:tc>
      </w:tr>
    </w:tbl>
    <w:p>
      <w:pPr>
        <w:pStyle w:val="TextBody"/>
        <w:bidi w:val="0"/>
        <w:spacing w:before="0" w:after="0"/>
        <w:ind w:left="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upon a minimum of 30 days’ prior written notice of redemption (the “30-day redemption period”) to each warrant holder; and</w:t>
            </w:r>
          </w:p>
        </w:tc>
      </w:tr>
    </w:tbl>
    <w:p>
      <w:pPr>
        <w:pStyle w:val="TextBody"/>
        <w:bidi w:val="0"/>
        <w:spacing w:before="0" w:after="0"/>
        <w:ind w:left="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and only if, the closing price of the Common Stock equals or exceeds $18.00 per share (as adjusted for adjustments to the number of shares issuable upon exercise or the exercise price of a warrant as described under the heading “— Anti-Dilution Adjustments”) for any 20 trading days within a 30-trading day period ending on the third trading day prior to the date on which the Company sends the notice of redemption to the warrant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Public Warrants as described above unless an effective registration statement under the Securities Act covering the issuance of the shares of Common Stock issuable upon exercise of the Public Warrants is effective and a current prospectus relating to those shares of Common Stock is available throughout the 30 day redemption period, except if the Public Warrants may be exercised on a cashless basis and such cashless exercise is exempt from registration under the Securities Act. If and when the Public Warrants become redeemable by the Company, the Company may exercise their redemption right even if the Company is unable to register or qualify the underlying securities for sale under all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redemption criteria for the Public Warrants discussed above have been established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warrant prior to the scheduled redemption date. However, the price of the shares of Common Stock may fall below the $18.00 redemption trigger price (as adjusted for share sub-divisions, share capitalizations, reorganizations, recapitalizations and the like) as well as the $11.50 (for whole shares) Public Warrant exercise price after the redemption notice is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Procedures and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calls the Public Warrants for redemption as described above when the shares of Common Stock are trading at or above $18.00 per share, the Company’s management will have the option to require all holders that wish to exercise their warrants to do so on a “cashless basis.” In making such determination, the Company’s management will consider, among other factors, the Company’s cash position, the number of Public Warrants that are outstanding and the dilutive effect on our stockholders of issuing the maximum number of shares of Common Stock issuable upon the exercise of outstanding Warrants. In such event, all holders of Public Warrants would pay the exercise price by surrendering their warrants for that number of shares of Common Stock equal to the lesser of (i) the quotient obtained by dividing (x) the product of the number of shares of Common Stock underlying such Public Warrants, multiplied by the excess of the “fair market value” (as defined below) of shares of Common Stock over the exercise prices of the Public Warrants by (y) the fair market value. If the Company’s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If the Company calls the Warrants for redemption and the Company’s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market value” of the shares of Common Stock means the average last reported sale price of the shares of Common Stock for the 10 trading days ending on the third trading day prior to the date on which the notice of redemption is sent to the holders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 Election to Limit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may notify the Company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Common Stock outstanding immediately after giving effect to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Common Stock is increased by a share capitalization payable in shares of Common Stock, or by a sub-division of shares of Common Stock or other similar event, then, on the effective date of such share capitalization, sub-division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“historical fair market value” (as defined below) will be deemed a share capitalization of a number of shares of Common Stock equal to the product of (a) the number of shares of Common Stock actually sold in such rights offering (or issuable under any other equity securities sold in such rights offering that are convertible into or exercisable for shares of Common Stock) multiplied by (b) one minus the quotient of (i) the price per share of Common Stock paid in such rights offering divided by (ii) the historical fair market value. For these purposes (x) if the rights offering is for securities convertible into or exercisable for shares of Common Stock, in determining the price payable for Common Stock, there will be taken into account any consideration received for such rights, as well as any additional amount payable upon exercise or conversion and (y) “historical fair market value” means the volume-weighted average price of shares of Common Stock as reported during the ten-trading day period ending on the trading day prior to the first date on which the Common Stock trade on the applicable exchange or in the applicable market, regular way, without the right to receive such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Company, at any time while the warrants are outstanding and unexpired, pays a dividend or makes a distribution in cash, securities or other assets to holders of Common Stock on account of such Common Stock (or other securities into which the warrants are convertible), other than (a) as described above, or (b) any cash dividends or cash distributions which, when combined on a per share basis with all other cash dividends and cash distributions paid on the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Common Stock issuable on exercise of each warrant), do not exceed $0.50, then the warrant exercise price will be decreased, effective immediately after the effective date of such event, by the amount of cash and/or the fair market value of any securities or other assets paid on each share of Common Stock in respect of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Common Stock is decreased by a consolidation, combination, reverse share sub-division or reclassification of Common Stock or other similar event, then, on the effective date of such consolidation, combination, reverse share sub-division, reclassification or similar event, the number of shares of Common Stock issuable on exercise of each warrant will be decreased in proportion to such decrease in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the Company issues additional shares of Common Stock or equity-linked securities at an issue price or effective issue price of less than $9.20 per share of Common Stock (with such issue price or effective issue price to be determined in good faith by the Company Board) (the “Newly Issued Price”), and (y) the volume-weighted average trading price of our shares of Common Stock during the 20-trading day period starting on the trading day prior to the day on which the Company consummate our initial business combination (such price, the “Market Value”) of shares of Common Stock is below $9.20 per share, then the exercise price of the warrants will be adjusted (to the nearest cent) to be equal to 115% of the higher of the Market Value and the Newly Issued Price, and the $18.00 per share redemption trigger price described under “- Redemption” will be adjusted (to the nearest cent) to be equal to 180% of the higher of the Market Value and the Newly Issued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Common Stock (other than those described above or that solely affects the par value of such Common Stock), or in the case of any merger or consolidation of the Company with or into another corporation (other than a consolidation or merger in which the Company are the continuing corporation and that does not result in any reclassification or reorganization of the issued and outstanding Common Stock), or in the case of any sale or conveyance to another corporation or entity of the assets or other property of the Company as an entirety or substantially as an entirety in connection with which the Company are dissolved, the holders of the warrants will thereafter have the right to purchase and receive, upon the basis and upon the terms and conditions specified in the warrants and in lieu of the Common Stock immediately theretofore purchasable and receivable upon the exercise of the rights represented thereby, the kind and amount of shares of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stockholders as provided for in its amended and restated certificate of incorporation or as a result of the redemption of Common Stock by the Company if a proposed initial business combination is presented to the Company’ stockholders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shares of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be issued in registered form under a warrant agreement between Continental Stock Transfer &amp; Trust Company, as warrant agent, and the Company.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thereof. You should review a copy of the warrant agreement, which will be filed as an exhibit to the registration statement of which this proxy statement/prospectus is a part, for a complete description of the terms and conditions applicable to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Common Stock. After the issuance of Common Stock upon exercise of the warrants, each holder will be entitled to one vote for each share held of record on all matters to be voted on by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below, the Private Warrants have terms and provisions that are identical to those of the Public Warrants. The Private Warrants (including the Common Stock issuable upon exercise of such Private Warrants) will not be transferable, assignable or salable until July 18, 2025 (except, among other limited exceptions to certain officers and directors and other persons or entities affiliated with the holder of such Private Warrants) and they will not be redeemable by the Company so long as they are held by the Sponsor, members of the Sponsor, or their permitted transferees. The Sponsor, members of the Sponsor, or their permitted transferees have the option to exercise the Private Warrants on a cashless basis. If the Private Warrants are held by holders other than the Sponsor, members of the Sponsor, the Wentworth Members or their permitted transferees, the Private Warrants will be redeemable by the Company in all redemption scenarios and exercisable by the holders on the same basis as the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the Private Warrants elect to exercise its Private Warrants on a cashless basis, they would pay the exercise price by surrendering their warrants for that number of shares of Common Stock equal to the quotient obtained by dividing (x) the product of the number of shares of Common Stock underlying the warrants, multiplied by the excess of the “exercise fair market value” (defined below) over the exercise price of the warrants by (y) the exercise fair market value. The “exercise fair market value” will mean the average reported closing price of the Common Stock for the 10 trading days ending on the third trading day prior to the date on which the notice of warrant exercise is sent to the warrant agent. The Private Warrants will be exercisable on a cashless basis so long as they are held by the Sponsor, members of the Sponsor, the Wentworth Members or their permitted transferees because they may be affiliated with the Company following the Business Combination. If they remain affiliated with the Company, their ability to sell the Company’ securities in the open market will be significantly limited. the Company has policies in place that prohibit insiders from selling the Company’ securities except during specific periods of time. Even during such periods of time when insiders will be permitted to sell the Company’ securities, an insider cannot trade in the Company’ securities if they are in possession of material non-public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unlike public stockholders who could exercise their warrants and sell the shares of Common Stock received upon such exercise freely in the open market in order to recoup the cost of such exercise, the insiders could be significantly restricted from selling such securities. As a result, the Company believes that allowing the holders to exercise such Private Warrants on a cashless basis is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Declaration and payment of any dividend will be subject to the discretion of the Board. The time and amount of dividends will be dependent upon, among other things, the Company’s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may regard as relevant. Dividends may be payable in cash, stock or property of the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Holdings currently intends to retain all available funds and any future earnings to fund the development and growth of the business, and therefore does not anticipate declaring or paying any cash dividends on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Charter provides that the Board will consist of three classes of directors, Class I, Class II and Class II, with the members of the board of directors of the Company being elected to serve as Class I, Class II and Class III directors to serve staggered terms until the first, second and third annual meeting of stockholders of the Company, respectively, or until their respective successors are duly elected and qualified, or until their earlier resignation, removal, or death. At each succeeding annual meeting of stockholders, directors will be elected for a full term of three years to succeed the directors of the class whose terms expire at such annual meeting. Any director may be removed from office by the stockholders of the Company as provided in Section 141(k) of the DGCL only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Charter and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the Board, which we believe may result in an improvement of the terms of any such acquisition in favor of the stockholders. However, they also give the Board the power to discourage acquisitions that some stockholders may favor. Additionally, the creation of a classified board of directors may prevent attempts by our stockholders to replace or remove our current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but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but unissued shares of Common Stock and preferred stock are available for future issuance without stockholder approval, subject to any limitations imposed by the listing standards of Nasdaq. These additional shares may be used for a variety of corporate purposes, including corporate finance transactions, acquisitions and employee benefit plans. The existence of authorized but unissued and unreserved Holdings Common Stock and preferred stock could make more difficult or discourage an attempt to obtain control of us by means of a proxy contest, tender offer, merger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Action; Stockholders’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Charter provides that stockholders may not take action by written consent to remove a director. As a result, a holder controlling a majority of the Company’s capital stock would not be able to amend the bylaws or remove directors without holding a meeting of stockholders called for that purpose in accordance with the Company’s bylaws. Further, the Company Charter provides that only the chairperson of the Board, the Chief Executive Officer, or a majority of the Board, by resolution, may call a special Stockholders’ Meeting of the stockholders, thus prohibiting a stockholder from calling a special Stockholders’ Meeting. These provisions might delay the ability of the stockholders to force consideration of a proposal or for the stockholders controlling a majority of the Company’s capital stock to take any action, including the 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 Requirements for Stockholder Proposals and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Bylaws establish an advance notice procedure for stockholder proposals to be brought before an annual meeting of stockholders. Generally, in order for any matter to be “properly brought” before an annual meeting, the matter must be (i) specified in a notice of meeting given by or at the direction of the Board, (ii) if not specified in a notice of meeting, otherwise brought before the meeting by or at the direction of the Board, or (iii) otherwise properly brought before the meeting by a stockholder present in person who (A) was a stockholder both at the time of giving the notice and on the record date for the determination of stockholders entitled to vote at such annual meeting, (B) is entitled to vote at the meeting, and (C) has complied with the advance notice procedures specified in the Bylaws or properly made such proposal in accordance with Rule 14a-8 under the Exchange Act and the rules and regulations thereunder, which proposal has been included in the proxy statement for the annual meeting. Further, for business to be properly brought before an annual meeting by a stockholder, the stockholder must provide Timely Notice (as defined herein) thereof in writing and in proper form to the secretary of the Company. To be timely, a stockholder’s notice must be received at, the Company’s principal executive offices not less than 90 days nor more than 120 days prior to the one-year anniversary of the preceding year’s annual meeting; provided, however, that if the date of the annual meeting is more than 30 days before or more than 30 days after such anniversary date, notice by the stockholder to be timely must be received, not earlier than the close of business 120 days before the meeting and not later than the later of (x) the close of business 90 days before the meeting or (y) the close of business on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day on which public disclosure of the date of such annual meeting was first made by the Company (such notice within such time periods, “</w:t>
      </w:r>
      <w:r>
        <w:rPr>
          <w:rFonts w:ascii="Times New Roman;Times;Serif" w:hAnsi="Times New Roman;Times;Serif"/>
          <w:b/>
          <w:i/>
          <w:caps w:val="false"/>
          <w:smallCaps w:val="false"/>
          <w:sz w:val="20"/>
        </w:rPr>
        <w:t>Timely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at an annual meeting or Stockholders’ Meeting may only consider proposals or nominations specified in the notice of meeting or brought before the meeting by or at the direction of the Board or by a qualified stockholder of record on the record date for the meeting, who is entitled to vote at the meeting and who has delivered written Timely Notice in proper form to the Company’s secretary of the stockholder’s intention to bring such business before the meeting. These provisions could have the effect of delaying stockholder actions that are favored by the holders of a majority of the outstanding voting securities until the next stockholder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Charter or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the bylaws may be amended or repealed by a majority vote of the Board or by the holders of at least a majority of the voting power of all of the then-outstanding shares entitled to vote generally in the election of directors, voting as a single class. The Charter can be amended in accordance with the DGCL which requires approval by the Board and stockholders of the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Bylaws will provide indemnification and advancement of expenses for the Company’s directors and officers to the fullest extent permitted by the DGCL, subject to certain limited exceptions. The Company has entered into, or will enter into, indemnification agreements with each of its directors and officers. Under the terms of such indemnification agreements, the Company will be required to indemnify each of the Company’s directors and officers, if the basis of the indemnitee’s involvement was by reason of the fact that the indemnitee is or was a director of officer of the Company or any of its subsidiaries or was serving at the request of the Company in an official capacity of another entity. In some cases, the provisions of those indemnification agreements may be broader than the specific indemnification provisions contained under Delaware law. In addition, as permitted by Delaware law, the Charter and the Bylaws will include provisions that eliminate the personal liability of directors for monetary damages resulting from breaches of certain fiduciary duties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this provision is to restrict the Company’s rights and the rights of the Company’s stockholders in derivative suits to recover monetary damages against a director for breach of fiduciary duties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be held not to be enforceable for violations of the federal securities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Dissenters’ Rights of Appraisal and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the Company’s stockholders will have appraisal rights in connection with a merger or consolidation of the Company. Pursuant to Section 262 of the DGCL, stockholders who properly demand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Derivative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stockholder may bring an action in the Company’s name to procure a judgment in its favor, also known as a derivative action, provided that the stockholder bringing the action is a holder of the Holdings’ shares at the time of the transaction to which the action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Forum Selection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unless the Company consents in writing to the selection of an alternative forum, the Court of Chancery of the State of Delaware will, to the fullest extent permitted by applicable law, be the sole and exclusive forum for: (i) any derivative action brought by a stockholder on behalf of the Company, (ii) any claim of breach of a fiduciary duty owed by any of the Company’s directors, officers, stockholders, employees or agents to the Company or the Company’ stockholders, (iii) any claim against the Company, its directors, officers or employees arising under its charter, bylaws or the DGCL, or (iv) any claim against the Company, its directors, officers or employees governed by the internal affairs doctrine. The Proposed Charter designates the federal district courts of the United States of America as the exclusive forum for the resolution of any complaint asserting a cause of action arising under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and Warrants are listed on the Nasdaq under the symbols “DAIC” and “DAICW,”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Company’s securities is Continental Stock Transfer &amp; Trust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8" w:name="a_017"/>
      <w:bookmarkEnd w:id="18"/>
      <w:r>
        <w:rPr>
          <w:rFonts w:ascii="Times New Roman;Times;Serif" w:hAnsi="Times New Roman;Times;Serif"/>
          <w:b/>
          <w:i w:val="false"/>
          <w:caps/>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issuance by us of 14,999,983 shares of Common Stock issuable by us upon exercise of the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registering the offer and sale from time to time by the Selling Securityholders or their permitted transferees 29,701,559 Total Resale Shares, including (i) 11,522,565 shares of Common Stock which shares were originally issued to certain SEE ID Equityholders in connection with the consummation of the Business Combination as merger consideration at an equity consideration value of $10.00 per share; (ii) up to 7,365,834 Founder Shares issued in connection with the consummation of the Business Combination, originally issued in a private placement to ShoulderUp Technology Sponsor LLC, a Delaware limited liability company (“Sponsor”); (iii) up to 1,310,000 Private Placement Shares originally issued in a private placement to the Sponsor as part of the Private Placement Units at a price of $10.00 per Private Placement Unit; (iv) up to 3,323,536 PIPE Shares originally issued in a private placement to certain investors pursuant to the PIPE Subscription Agreements at price of $4.00 per share; (v) up to 5,524,624 New Circle Shares issuable pursuant to the ELOC Agreement, comprised of (a) 85,995 Commitment Shares issuable to New Circle, based on the commitment fee of $350,000 to be calculated using the market value of the closing price of the Common Stock on the date this Registration Statement is declared effective by the SEC, and (b) 5,438,629 ELOC Shares that we may, in our sole discretion, elect to issue and sell to New Circle, from time to time after the date of this prospectus, as part of the Total Commitment pursuant to (and limited by the terms of) the ELOC Agreement; (vi) up to 655,000 shares of Common Stock that are issuable by us upon the exercise of the Private Placement Warrants (as defined below) following the public resale of the Private Placement Warrants by the Selling Securityholders; and (2) up to 655,000 Private Placement Warrants originally issued to the Sponsor as part of the Private Placement Units in a private placement at a price of $10.00 per Private Placement Unit, currently exercisable at a price of $11.50 per share. Additional information about any offering may be provided in a prospectus supplement that describes, among other things, the specific amounts and prices of the Common Stock and Warrants being offered and the terms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offer and sell, from time to time, all or any portion of their respective shares of Common Stock or Warrants covered by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the Nasdaq, in the over-the-counter market or on any other national securities exchange on which our securities are listed or traded;</w:t>
            </w:r>
          </w:p>
        </w:tc>
      </w:tr>
    </w:tbl>
    <w:p>
      <w:pPr>
        <w:pStyle w:val="TextBody"/>
        <w:bidi w:val="0"/>
        <w:spacing w:before="0" w:after="0"/>
        <w:ind w:left="320" w:right="0" w:hanging="360"/>
        <w:jc w:val="both"/>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both"/>
              <w:rPr/>
            </w:pPr>
            <w:r>
              <w:rPr/>
              <w:t>in privately negotiated transactions;</w:t>
            </w:r>
          </w:p>
        </w:tc>
      </w:tr>
    </w:tbl>
    <w:p>
      <w:pPr>
        <w:pStyle w:val="TextBody"/>
        <w:bidi w:val="0"/>
        <w:spacing w:before="0" w:after="0"/>
        <w:ind w:left="320" w:right="0" w:hanging="360"/>
        <w:jc w:val="both"/>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17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both"/>
              <w:rPr/>
            </w:pPr>
            <w:r>
              <w:rPr/>
              <w:t>in underwritten transactions;</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a block trade in which a broker-dealer will attempt to sell the offered securities as agent but may purchase and resell a portion of the block as principal to facilitate the transaction;</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through purchases by a broker-dealer as principal and resale by the broker-dealer for its account pursuant to this prospectus;</w:t>
            </w:r>
          </w:p>
        </w:tc>
      </w:tr>
    </w:tbl>
    <w:p>
      <w:pPr>
        <w:pStyle w:val="TextBody"/>
        <w:bidi w:val="0"/>
        <w:spacing w:before="0" w:after="0"/>
        <w:ind w:left="320" w:right="0" w:hanging="360"/>
        <w:jc w:val="both"/>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in ordinary brokerage transactions and transactions in which the broker solicits purchasers;</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through the writing or settlement of options (including put or call options) or other hedging transactions, whether the options are listed on an options exchange or otherwise;</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through the distribution of the securities by any Selling Securityholder to its partners, members or stockholders;</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short sales entered into after the effective date of the registration statement of which this prospectus forms a part;</w:t>
            </w:r>
          </w:p>
        </w:tc>
      </w:tr>
    </w:tbl>
    <w:p>
      <w:pPr>
        <w:pStyle w:val="TextBody"/>
        <w:bidi w:val="0"/>
        <w:spacing w:before="0" w:after="0"/>
        <w:ind w:left="320" w:right="0" w:hanging="360"/>
        <w:jc w:val="both"/>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38"/>
        <w:gridCol w:w="17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pPr>
            <w:r>
              <w:rPr/>
              <w:t>by pledge to secured debts and other obligations;</w:t>
            </w:r>
          </w:p>
        </w:tc>
      </w:tr>
    </w:tbl>
    <w:p>
      <w:pPr>
        <w:pStyle w:val="TextBody"/>
        <w:bidi w:val="0"/>
        <w:spacing w:before="0" w:after="0"/>
        <w:ind w:left="320" w:right="0" w:hanging="360"/>
        <w:jc w:val="both"/>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38"/>
        <w:gridCol w:w="17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both"/>
              <w:rPr/>
            </w:pPr>
            <w:r>
              <w:rPr/>
              <w:t>to or through underwriters or agents;</w:t>
            </w:r>
          </w:p>
        </w:tc>
      </w:tr>
    </w:tbl>
    <w:p>
      <w:pPr>
        <w:pStyle w:val="TextBody"/>
        <w:bidi w:val="0"/>
        <w:spacing w:before="0" w:after="0"/>
        <w:ind w:left="320" w:right="0" w:hanging="360"/>
        <w:jc w:val="both"/>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17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pPr>
            <w:r>
              <w:rPr/>
              <w:t>“</w:t>
            </w:r>
            <w:r>
              <w:rPr/>
              <w:t>at the market” or through market makers or into an existing market for the securities; and</w:t>
            </w:r>
          </w:p>
        </w:tc>
      </w:tr>
    </w:tbl>
    <w:p>
      <w:pPr>
        <w:pStyle w:val="TextBody"/>
        <w:bidi w:val="0"/>
        <w:spacing w:before="0" w:after="0"/>
        <w:ind w:left="320" w:right="0" w:hanging="360"/>
        <w:jc w:val="both"/>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any other method permitted pursuant to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sell the securities at prices then prevailing, related to the then prevailing market price or at negotiated prices. The offering price of the securities from time to time will be determined by the Selling Securityholders and, at the time of the determination, may be higher or lower than the market price of our securities on the Nasdaq or any other exchange or market. The Selling Securityholders may also sell our securities short and deliver the securities to close out their short positions or loan or pledge the securities to broker-dealers or other financial institutions that in turn may sell the securities. The shares may be sold directly or through broker-dealers or other financial institutions acting as principal or agent or pursuant to a distribution by one or more underwriters on a firm commitment or best-efforts basis. The Selling Securityholders may also enter into hedging transactions with broker-dealers or other financial institutions. In connection with such transactions, broker-dealers or other financial institutions may engage in short sales of our securities in the course of hedging the positions they assume with the Selling Securityholders. The Selling Securityholders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A Selling Securityholder that is an entity may elect to make an in-kind distribution of Common Stock or Warrants to its members, partners or shareholders pursuant to the registration statement of which this prospectus is a part by delivering a prospectus. In connection with an underwritten offering, underwriters or agents may receive compensation in the form of discounts, concessions or commissions from the Selling Securityholders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Securityholders and any underwriters, dealers or agents participating in a distribution of the securities may be deemed to be “underwriters” within the meaning of the Securities Act, and any profit on the sale of the securities by the Selling Securityholders and any commissions received by broker-dealers may be deemed to be underwriting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Circle is an “underwriter” within the meaning of Section 2(a)(11) of the Securities Act, and any profits on the sales of shares of our Common Stock by New Circle and any discounts, commissions, or concessions received by New Circle are deemed to be underwriting discounts and commissions under the Securities Act. We know of no existing arrangements between New Circle or any other stockholder, broker, dealer, underwriter, or agent relating to the sale or distribution of the shares of our common stock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Circle has agreed that it and its affiliates will not engage in any short sales during the term of the ELOC and will not enter into any transaction that establishes a net short position with respect to the Common Stock. The ELOC stipulates that the New Circle may sell our Common Stock to be issued pursuant to a Purchase Notice, following receipt of the Purchase Notice, and may sell other Common Stock acquired pursuant to the ELOC that the Selling Stockholder has continuously held from a prior date of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party to the Registration Rights and Lock-Up Agreement have agreed, and the other Selling Securityholders may agree, to indemnify the underwriters, their officers, directors and each person who controls such underwriters (within the meaning of the Securities Act), against certain liabilities related to the sale of the securities, including liabilities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including New Circle, are subject to the applicable provisions of the Exchange Act, including Regulation M. This regulation, if applicable to sales hereunder, may limit the timing of purchases and sales of any of the securities offered in this prospectus by the Selling Securityholders. The anti-manipulation rules under the Exchange Act may apply to sales of the securities in the market and to the activities of the Selling Securityholders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this prospectus may be amended and/or supplemented from time to time to describe a specific plan of distribution. Instead of selling the securities under this prospectus, the Selling Securityholders may sell the securities in compliance with the provisions of Rule 144 under the Securities Act, if available, or pursuant to other available exemptions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to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Registration Rights and Lock-Up Agreement, the Holders (as defined therein) are subject to a 180 day lock up period (subject to customary exceptions) in respect of their shares of Common Stock received in the Business Combination (subject to certain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125</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9" w:name="a_018"/>
      <w:bookmarkEnd w:id="19"/>
      <w:r>
        <w:rPr>
          <w:rFonts w:ascii="Times New Roman;Times;Serif" w:hAnsi="Times New Roman;Times;Serif"/>
          <w:b/>
          <w:i w:val="false"/>
          <w:caps/>
          <w:sz w:val="20"/>
        </w:rPr>
        <w:t>UNITED STATES FEDERAL INCOME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material U.S. federal income tax consequences of the acquisition, ownership and disposition of our Common Stock and Warrants, which we refer to collectively as our securities. This discussion applies only to securities that are held as capital assets for U.S. federal income tax purposes and is applicable only to holders who are receiving our securities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38"/>
        <w:gridCol w:w="17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pPr>
            <w:r>
              <w:rPr/>
              <w:t>financial institutions or financial services entities;</w:t>
            </w:r>
          </w:p>
        </w:tc>
      </w:tr>
    </w:tbl>
    <w:p>
      <w:pPr>
        <w:pStyle w:val="TextBody"/>
        <w:bidi w:val="0"/>
        <w:spacing w:before="0" w:after="0"/>
        <w:ind w:left="0" w:right="0" w:hanging="0"/>
        <w:jc w:val="both"/>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17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both"/>
              <w:rPr/>
            </w:pPr>
            <w:r>
              <w:rPr/>
              <w:t>broker-dealers;</w:t>
            </w:r>
          </w:p>
        </w:tc>
      </w:tr>
    </w:tbl>
    <w:p>
      <w:pPr>
        <w:pStyle w:val="TextBody"/>
        <w:bidi w:val="0"/>
        <w:spacing w:before="0" w:after="0"/>
        <w:ind w:left="0" w:right="0" w:hanging="0"/>
        <w:jc w:val="both"/>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170"/>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both"/>
              <w:rPr/>
            </w:pPr>
            <w:r>
              <w:rPr/>
              <w:t>governments or agencies or instrumentalities thereof;</w:t>
            </w:r>
          </w:p>
        </w:tc>
      </w:tr>
    </w:tbl>
    <w:p>
      <w:pPr>
        <w:pStyle w:val="TextBody"/>
        <w:bidi w:val="0"/>
        <w:spacing w:before="0" w:after="0"/>
        <w:ind w:left="0" w:right="0" w:hanging="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17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both"/>
              <w:rPr/>
            </w:pPr>
            <w:r>
              <w:rPr/>
              <w:t>regulated investment companies;</w:t>
            </w:r>
          </w:p>
        </w:tc>
      </w:tr>
    </w:tbl>
    <w:p>
      <w:pPr>
        <w:pStyle w:val="TextBody"/>
        <w:bidi w:val="0"/>
        <w:spacing w:before="0" w:after="0"/>
        <w:ind w:left="0" w:right="0" w:hanging="0"/>
        <w:jc w:val="both"/>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17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pPr>
            <w:r>
              <w:rPr/>
              <w:t>real estate investment trusts;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8238" w:type="dxa"/>
        <w:jc w:val="left"/>
        <w:tblInd w:w="0" w:type="dxa"/>
        <w:tblLayout w:type="fixed"/>
        <w:tblCellMar>
          <w:top w:w="0" w:type="dxa"/>
          <w:left w:w="0" w:type="dxa"/>
          <w:bottom w:w="0" w:type="dxa"/>
          <w:right w:w="0" w:type="dxa"/>
        </w:tblCellMar>
      </w:tblPr>
      <w:tblGrid>
        <w:gridCol w:w="38"/>
        <w:gridCol w:w="17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pPr>
            <w:r>
              <w:rPr/>
              <w:t>persons that actually or constructively own five percent or more of our voting shares;</w:t>
            </w:r>
          </w:p>
        </w:tc>
      </w:tr>
    </w:tbl>
    <w:p>
      <w:pPr>
        <w:pStyle w:val="TextBody"/>
        <w:bidi w:val="0"/>
        <w:spacing w:before="0" w:after="0"/>
        <w:ind w:left="0" w:right="0" w:hanging="0"/>
        <w:jc w:val="both"/>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17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both"/>
              <w:rPr/>
            </w:pPr>
            <w:r>
              <w:rPr/>
              <w:t>insurance companies;</w:t>
            </w:r>
          </w:p>
        </w:tc>
      </w:tr>
    </w:tbl>
    <w:p>
      <w:pPr>
        <w:pStyle w:val="TextBody"/>
        <w:bidi w:val="0"/>
        <w:spacing w:before="0" w:after="0"/>
        <w:ind w:left="0" w:right="0" w:hanging="0"/>
        <w:jc w:val="both"/>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17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pPr>
            <w:r>
              <w:rPr/>
              <w:t>dealers or traders subject to a mark-to-market method of accounting with respect to the securities;</w:t>
            </w:r>
          </w:p>
        </w:tc>
      </w:tr>
    </w:tbl>
    <w:p>
      <w:pPr>
        <w:pStyle w:val="TextBody"/>
        <w:bidi w:val="0"/>
        <w:spacing w:before="0" w:after="283"/>
        <w:jc w:val="left"/>
        <w:rPr/>
      </w:pPr>
      <w:r>
        <w:rPr/>
        <w:t> </w:t>
      </w:r>
    </w:p>
    <w:tbl>
      <w:tblPr>
        <w:tblW w:w="10023" w:type="dxa"/>
        <w:jc w:val="left"/>
        <w:tblInd w:w="0" w:type="dxa"/>
        <w:tblLayout w:type="fixed"/>
        <w:tblCellMar>
          <w:top w:w="0" w:type="dxa"/>
          <w:left w:w="0" w:type="dxa"/>
          <w:bottom w:w="0" w:type="dxa"/>
          <w:right w:w="0" w:type="dxa"/>
        </w:tblCellMar>
      </w:tblPr>
      <w:tblGrid>
        <w:gridCol w:w="38"/>
        <w:gridCol w:w="170"/>
        <w:gridCol w:w="9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pPr>
            <w:r>
              <w:rPr/>
              <w:t>persons holding the securities as part of a “straddle,” hedge, integrated transaction or similar transaction;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persons who acquired the securities through the exercise or cancellation of employee stock options or otherwise as compensation for their services;</w:t>
            </w:r>
          </w:p>
        </w:tc>
      </w:tr>
    </w:tbl>
    <w:p>
      <w:pPr>
        <w:pStyle w:val="TextBody"/>
        <w:bidi w:val="0"/>
        <w:spacing w:before="0" w:after="0"/>
        <w:ind w:left="0" w:right="0" w:hanging="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17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pPr>
            <w:r>
              <w:rPr/>
              <w:t>U.S. holders (as defined below) whose functional currency is not the U.S. dollar;</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703" w:type="dxa"/>
        <w:jc w:val="left"/>
        <w:tblInd w:w="0" w:type="dxa"/>
        <w:tblLayout w:type="fixed"/>
        <w:tblCellMar>
          <w:top w:w="0" w:type="dxa"/>
          <w:left w:w="0" w:type="dxa"/>
          <w:bottom w:w="0" w:type="dxa"/>
          <w:right w:w="0" w:type="dxa"/>
        </w:tblCellMar>
      </w:tblPr>
      <w:tblGrid>
        <w:gridCol w:w="38"/>
        <w:gridCol w:w="17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both"/>
              <w:rPr/>
            </w:pPr>
            <w:r>
              <w:rPr/>
              <w:t>U.S. expatriates or former long-term residents of the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partnerships or other pass-through entities for U.S. federal income tax purposes and any beneficial owners of such entities; and</w:t>
            </w:r>
          </w:p>
        </w:tc>
      </w:tr>
    </w:tbl>
    <w:p>
      <w:pPr>
        <w:pStyle w:val="TextBody"/>
        <w:bidi w:val="0"/>
        <w:spacing w:before="0" w:after="0"/>
        <w:ind w:left="0" w:right="0" w:hanging="0"/>
        <w:jc w:val="both"/>
        <w:rPr>
          <w:caps w:val="false"/>
          <w:smallCaps w:val="false"/>
        </w:rPr>
      </w:pPr>
      <w:r>
        <w:rPr>
          <w:caps w:val="false"/>
          <w:smallCaps w:val="false"/>
        </w:rPr>
        <w:t> </w:t>
      </w:r>
    </w:p>
    <w:tbl>
      <w:tblPr>
        <w:tblW w:w="2073" w:type="dxa"/>
        <w:jc w:val="left"/>
        <w:tblInd w:w="0" w:type="dxa"/>
        <w:tblLayout w:type="fixed"/>
        <w:tblCellMar>
          <w:top w:w="0" w:type="dxa"/>
          <w:left w:w="0" w:type="dxa"/>
          <w:bottom w:w="0" w:type="dxa"/>
          <w:right w:w="0" w:type="dxa"/>
        </w:tblCellMar>
      </w:tblPr>
      <w:tblGrid>
        <w:gridCol w:w="38"/>
        <w:gridCol w:w="17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283"/>
              <w:jc w:val="both"/>
              <w:rPr/>
            </w:pPr>
            <w:r>
              <w:rPr/>
              <w:t>tax-exempt entities.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and administrative pronouncements, judicial decisions and final, temporary and proposed U.S.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sought, and will not seek, a ruling from the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consider the tax treatment of partnerships or other pass-through entities or persons who hold our securities through such entities. If a partnership (or other entity or arrangement classified as a partnership or other pass-through entity for U.S. federal income tax purposes) is the beneficial owner of our securities, the U.S.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own tax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NON-U.S.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applies to you if you are a “U.S. holder.” A U.S. holder is a beneficial owner of our shares of Common Stock or Warrants who or that is,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pPr>
            <w:r>
              <w:rPr/>
              <w:t>an individual who is a citizen or resident of the United States;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corporation (or other entity taxable as a corporation) organized in or under the laws of the United States, any state thereof or the District of Columbia;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estate the income of which is includible in gross income for U.S. federal income tax purposes regardless of its source;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U.S. Treasury regulations to be treated as a U.S.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Taxation of Distributions. </w:t>
      </w:r>
      <w:r>
        <w:rPr>
          <w:rFonts w:ascii="Times New Roman;Times;Serif" w:hAnsi="Times New Roman;Times;Serif"/>
          <w:b w:val="false"/>
          <w:i w:val="false"/>
          <w:caps w:val="false"/>
          <w:smallCaps w:val="false"/>
          <w:sz w:val="20"/>
        </w:rPr>
        <w:t>If we pay distributions in cash or other property (other than certain 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Times;Serif" w:hAnsi="Times New Roman;Times;Serif"/>
          <w:b w:val="false"/>
          <w:i/>
          <w:caps w:val="false"/>
          <w:smallCaps w:val="false"/>
          <w:sz w:val="20"/>
        </w:rPr>
        <w:t>U.S. Holders-Gain or Loss on Sale, Taxable Exchange or Other Taxable Disposition of Common Stock and Warrants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Gain or Loss on Sale, Taxable Exchange or Other Taxable Disposition of Common Stock and Warrants. </w:t>
      </w:r>
      <w:r>
        <w:rPr>
          <w:rFonts w:ascii="Times New Roman;Times;Serif" w:hAnsi="Times New Roman;Times;Serif"/>
          <w:b w:val="false"/>
          <w:i w:val="false"/>
          <w:caps w:val="false"/>
          <w:smallCaps w:val="false"/>
          <w:sz w:val="20"/>
        </w:rPr>
        <w:t>A U.S. holder will generally recognize gain or loss on the sale, taxable exchange or other taxable disposition of our Common Stock or Warrants which, in general, would include a redemption of Warrants that is treated as a sale as described below. Any such gain or loss will be capital gain or loss in an amount equal to the difference between the amount realized and the U.S. holder’s adjusted tax basis in the Common Stock or Warrants. Any such capital gain or loss generally will be long-term capital gain or loss if the U.S. holder’s holding period for the Common Stock or Warrants so disposed of exceeds one year. Long-term capital gains recognized by non-corporate U.S. holders may be eligible to be taxed at reduced rates. If the holding period requirements are not satisfied, any gain on a sale or taxable disposition of the shares or warrants would be subject to short-term capital gain treatment and would be taxed at regular ordinary income tax rates. The deductibility of capital losses is subject to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or Warrants so disposed of. A U.S. holder’s adjusted tax basis in its Common Stock or Warrants generally will equal the U.S. holder’s acquisition cost for the Common Stock or Warrants less, in the case of a share of Common Stock, any prior distributions treated as a return of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Exercise, Lapse or Redemption of a Warrant. </w:t>
      </w:r>
      <w:r>
        <w:rPr>
          <w:rFonts w:ascii="Times New Roman;Times;Serif" w:hAnsi="Times New Roman;Times;Serif"/>
          <w:b w:val="false"/>
          <w:i w:val="false"/>
          <w:caps w:val="false"/>
          <w:smallCaps w:val="false"/>
          <w:sz w:val="20"/>
        </w:rPr>
        <w:t>Except as discussed below with respect to the cashless exercise of a warrant, a U.S. holder generally will not recognize taxable gain or loss on the acquisition of our Common Stock upon exercise of a Warrant for cash. The U.S. holder’s tax basis in the share of our Common Stock received upon exercise of the Warrants generally will be an amount equal to the sum of the U.S. holder’s initial investment in the Warrants and the exercise price.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Warrant are not clear under current tax law. A cashless exercise may be tax-free, either because the exercise is not a gain realization event or because the exercise is treated as a recapitalization for U.S. federal income tax purposes. In either tax-free situation, a U.S. holder’s basis in the Common Stock received would equal the holder’s basis in the Warrant. If the cashless exercise were treated as not being a gain realization event, a U.S. holder’s holding period in the Common Stock would either include the period during which the U.S. holder held the Warrant or be treated as commencing on the date following the date of exercise (or possibly the date of exercise) of the Warrant. If the cashless exercise were treated as a recapitalization, the holding period of the Common Stock would include the holding period of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could be treated in part as a taxable exchange in which gain or loss would be recognized. In such event, a U.S. holder would recognize gain or loss with respect to the portion of the exercised Warrants treated as surrendered to pay the exercise price of the Warrants (the “surrendered warrants”). The U.S. holder would recognize capital gain or loss in an amount equal to the difference between the fair market value of the surrendered warrants and the U.S. holder’s tax basis in such Warrants. In this case, a U.S. holder’s tax basis in the Common Stock received would equal the sum of the U.S. holder’s initial tax basis in the Warrants exercised (except for any such tax basis allocable to the surrendered warrants) and the exercise price of the exercised Warrants. A U.S. holder’s holding period for the Common Stock would commence on the date following the date of exercise (or possibly the date of exercise) of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including when a U.S. holder’s holding period would commence with respect to the Common Stock received, there can be no assurance which of the alternative tax consequences and holding periods described above would be adopted by the IRS or a court of law. Accordingly, U.S. holders should consult their tax advisors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redeem Warrants for cash pursuant to the redemption provisions described in the section of this prospectus entitled “</w:t>
      </w:r>
      <w:r>
        <w:rPr>
          <w:rFonts w:ascii="Times New Roman;Times;Serif" w:hAnsi="Times New Roman;Times;Serif"/>
          <w:b w:val="false"/>
          <w:i/>
          <w:caps w:val="false"/>
          <w:smallCaps w:val="false"/>
          <w:sz w:val="20"/>
        </w:rPr>
        <w:t>Description of Securities-Warrants</w:t>
      </w:r>
      <w:r>
        <w:rPr>
          <w:rFonts w:ascii="Times New Roman;Times;Serif" w:hAnsi="Times New Roman;Times;Serif"/>
          <w:b w:val="false"/>
          <w:i w:val="false"/>
          <w:caps w:val="false"/>
          <w:smallCaps w:val="false"/>
          <w:sz w:val="20"/>
        </w:rPr>
        <w:t>” or if we purchase Warrants in an open market transaction, such redemption or purchase generally will be treated as a taxable disposition to the U.S. holder, taxed as described above under “-</w:t>
      </w:r>
      <w:r>
        <w:rPr>
          <w:rFonts w:ascii="Times New Roman;Times;Serif" w:hAnsi="Times New Roman;Times;Serif"/>
          <w:b w:val="false"/>
          <w:i/>
          <w:caps w:val="false"/>
          <w:smallCaps w:val="false"/>
          <w:sz w:val="20"/>
        </w:rPr>
        <w:t>Gain or Loss on Sale, Taxable Exchange or Other Taxable Disposition of Common Stock and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Possible Constructive Distributions. </w:t>
      </w:r>
      <w:r>
        <w:rPr>
          <w:rFonts w:ascii="Times New Roman;Times;Serif" w:hAnsi="Times New Roman;Times;Serif"/>
          <w:b w:val="false"/>
          <w:i w:val="false"/>
          <w:caps w:val="false"/>
          <w:smallCaps w:val="false"/>
          <w:sz w:val="20"/>
        </w:rPr>
        <w:t>The terms of each Warrant provide for an adjustment to the number of shares of Common Stock for which the Warrant may be exercised or to the exercise price of the Warrant in certain events, as discussed in the section of this prospectus entitled “</w:t>
      </w:r>
      <w:r>
        <w:rPr>
          <w:rFonts w:ascii="Times New Roman;Times;Serif" w:hAnsi="Times New Roman;Times;Serif"/>
          <w:b w:val="false"/>
          <w:i/>
          <w:caps w:val="false"/>
          <w:smallCaps w:val="false"/>
          <w:sz w:val="20"/>
        </w:rPr>
        <w:t>Description of Securities-Warrants</w:t>
      </w:r>
      <w:r>
        <w:rPr>
          <w:rFonts w:ascii="Times New Roman;Times;Serif" w:hAnsi="Times New Roman;Times;Serif"/>
          <w:b w:val="false"/>
          <w:i w:val="false"/>
          <w:caps w:val="false"/>
          <w:smallCaps w:val="false"/>
          <w:sz w:val="20"/>
        </w:rPr>
        <w:t>.” An adjustment which has the effect of preventing dilution generally is not taxable. The U.S. holders of the Warrants would, however, be treated as receiving a constructive distribution from us if, for example, the adjustment to the number of such shares or to such exercise price increases the warrantholders’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holders of such shares as a distribution. Such constructive distribution would be subject to tax as described under “-</w:t>
      </w:r>
      <w:r>
        <w:rPr>
          <w:rFonts w:ascii="Times New Roman;Times;Serif" w:hAnsi="Times New Roman;Times;Serif"/>
          <w:b w:val="false"/>
          <w:i/>
          <w:caps w:val="false"/>
          <w:smallCaps w:val="false"/>
          <w:sz w:val="20"/>
        </w:rPr>
        <w:t>Taxation of Distributions</w:t>
      </w:r>
      <w:r>
        <w:rPr>
          <w:rFonts w:ascii="Times New Roman;Times;Serif" w:hAnsi="Times New Roman;Times;Serif"/>
          <w:b w:val="false"/>
          <w:i w:val="false"/>
          <w:caps w:val="false"/>
          <w:smallCaps w:val="false"/>
          <w:sz w:val="20"/>
        </w:rPr>
        <w:t>” in the same manner as if the U.S. holders of the Warrants received a cash distribution from us equal to the fair market value of such increased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Reporting and Backup Withholding. </w:t>
      </w:r>
      <w:r>
        <w:rPr>
          <w:rFonts w:ascii="Times New Roman;Times;Serif" w:hAnsi="Times New Roman;Times;Serif"/>
          <w:b w:val="false"/>
          <w:i w:val="false"/>
          <w:caps w:val="false"/>
          <w:smallCaps w:val="false"/>
          <w:sz w:val="20"/>
        </w:rPr>
        <w:t>In general, information reporting requirements may apply to dividends paid to a U.S. holder and to the proceeds of the sale or other disposition of our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amounts withheld under the backup withholding rules generally should be allowed as a refund or a credit against a U.S. holder’s U.S. federal income tax liability provided the required information is timely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applies to you if you are a “Non-U.S. holder.” As used herein, the term “Non-U.S. holder” means a beneficial owner of our Common Stock or Warrants who or that is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non-resident alien individual (other than certain former citizens and residents of the U.S. subject to U.S. tax as expatriates);</w:t>
            </w:r>
          </w:p>
        </w:tc>
      </w:tr>
    </w:tbl>
    <w:p>
      <w:pPr>
        <w:pStyle w:val="TextBody"/>
        <w:bidi w:val="0"/>
        <w:spacing w:before="0" w:after="0"/>
        <w:ind w:left="0" w:right="0" w:hanging="0"/>
        <w:jc w:val="both"/>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17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both"/>
              <w:rPr/>
            </w:pPr>
            <w:r>
              <w:rPr/>
              <w:t>a foreign corporation; or</w:t>
            </w:r>
          </w:p>
        </w:tc>
      </w:tr>
    </w:tbl>
    <w:p>
      <w:pPr>
        <w:pStyle w:val="TextBody"/>
        <w:bidi w:val="0"/>
        <w:spacing w:before="0" w:after="0"/>
        <w:ind w:left="0" w:right="0" w:hanging="0"/>
        <w:jc w:val="both"/>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38"/>
        <w:gridCol w:w="17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pPr>
            <w:r>
              <w:rPr/>
              <w:t>an estate or trust that is not a U.S.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generally does not include an individual who is present in the U.S. for 183 days or more in the taxable year of disposition. If you are such an individual, you should consult your tax advisor regarding the U.S. federal income tax consequences of the acquisition, ownership or sale or other disposition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Taxation of Distributions. </w:t>
      </w:r>
      <w:r>
        <w:rPr>
          <w:rFonts w:ascii="Times New Roman;Times;Serif" w:hAnsi="Times New Roman;Times;Serif"/>
          <w:b w:val="false"/>
          <w:i w:val="false"/>
          <w:caps w:val="false"/>
          <w:smallCaps w:val="false"/>
          <w:sz w:val="20"/>
        </w:rPr>
        <w:t>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(and are not attributable to a U.S. permanent establishment under an applicable treaty),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Times;Serif" w:hAnsi="Times New Roman;Times;Serif"/>
          <w:b w:val="false"/>
          <w:i/>
          <w:caps w:val="false"/>
          <w:smallCaps w:val="false"/>
          <w:sz w:val="20"/>
        </w:rPr>
        <w:t>Non-U.S. Holders-Gain on Sale, Taxable Exchange or Other Taxable Disposition of Common Stock and Warrants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withholding tax does not apply to dividends paid to a Non-U.S. holder who provides a Form W-8ECI, certifying that the dividends are effectively connected with the Non-U.S. holder’s conduct of a trade or business within the United States (or if a tax treaty applies, are attributable to a U.S. permanent establishment or fixed base maintained by the Non-U.S. holder). Instead, the effectively connected dividends will be subject to regular U.S. income tax as if the Non-U.S. holder were a U.S. holder, subject to an applicable income tax treaty providing otherwise. A non-U.S. corporation receiving effectively connected dividends may also be subject to an additional “branch profits tax” imposed at a rate of 30% (or a lower treaty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Exercise, Lapse or Redemption of a Warrant. </w:t>
      </w:r>
      <w:r>
        <w:rPr>
          <w:rFonts w:ascii="Times New Roman;Times;Serif" w:hAnsi="Times New Roman;Times;Serif"/>
          <w:b w:val="false"/>
          <w:i w:val="false"/>
          <w:caps w:val="false"/>
          <w:smallCaps w:val="false"/>
          <w:sz w:val="20"/>
        </w:rPr>
        <w:t>The U.S. federal income tax treatment of a Non-U.S. holder’s exercise of a warrant, or the lapse of a warrant held by a Non-U.S. holder, generally will correspond to the U.S. federal income tax treatment of the exercise or lapse of a warrant by a U.S. holder, as described under “</w:t>
      </w:r>
      <w:r>
        <w:rPr>
          <w:rFonts w:ascii="Times New Roman;Times;Serif" w:hAnsi="Times New Roman;Times;Serif"/>
          <w:b w:val="false"/>
          <w:i/>
          <w:caps w:val="false"/>
          <w:smallCaps w:val="false"/>
          <w:sz w:val="20"/>
        </w:rPr>
        <w:t>U.S. Holders-Exercise, Lapse or Redemption of a Warrant</w:t>
      </w:r>
      <w:r>
        <w:rPr>
          <w:rFonts w:ascii="Times New Roman;Times;Serif" w:hAnsi="Times New Roman;Times;Serif"/>
          <w:b w:val="false"/>
          <w:i w:val="false"/>
          <w:caps w:val="false"/>
          <w:smallCaps w:val="false"/>
          <w:sz w:val="20"/>
        </w:rPr>
        <w:t>” above, although to the extent a cashless exercise results in a taxable exchange, the consequences would be similar to those described below in “</w:t>
      </w:r>
      <w:r>
        <w:rPr>
          <w:rFonts w:ascii="Times New Roman;Times;Serif" w:hAnsi="Times New Roman;Times;Serif"/>
          <w:b w:val="false"/>
          <w:i/>
          <w:caps w:val="false"/>
          <w:smallCaps w:val="false"/>
          <w:sz w:val="20"/>
        </w:rPr>
        <w:t>Non-U.S. Holders-Gain on Sale, Taxable Exchange or Other Taxable Disposition of Common Stock and Warrants</w:t>
      </w:r>
      <w:r>
        <w:rPr>
          <w:rFonts w:ascii="Times New Roman;Times;Serif" w:hAnsi="Times New Roman;Times;Serif"/>
          <w:b w:val="false"/>
          <w:i w:val="false"/>
          <w:caps w:val="false"/>
          <w:smallCaps w:val="false"/>
          <w:sz w:val="20"/>
        </w:rPr>
        <w:t>.” The U.S. federal income tax treatment for a Non-U.S. holder of a redemption of Warrants for cash described in the section of this prospectus entitled “</w:t>
      </w:r>
      <w:r>
        <w:rPr>
          <w:rFonts w:ascii="Times New Roman;Times;Serif" w:hAnsi="Times New Roman;Times;Serif"/>
          <w:b w:val="false"/>
          <w:i/>
          <w:caps w:val="false"/>
          <w:smallCaps w:val="false"/>
          <w:sz w:val="20"/>
        </w:rPr>
        <w:t>Description of Securities-Warrants</w:t>
      </w:r>
      <w:r>
        <w:rPr>
          <w:rFonts w:ascii="Times New Roman;Times;Serif" w:hAnsi="Times New Roman;Times;Serif"/>
          <w:b w:val="false"/>
          <w:i w:val="false"/>
          <w:caps w:val="false"/>
          <w:smallCaps w:val="false"/>
          <w:sz w:val="20"/>
        </w:rPr>
        <w:t>” (or if we purchase Warrants in an open market transaction) would be similar to that described below in “</w:t>
      </w:r>
      <w:r>
        <w:rPr>
          <w:rFonts w:ascii="Times New Roman;Times;Serif" w:hAnsi="Times New Roman;Times;Serif"/>
          <w:b w:val="false"/>
          <w:i/>
          <w:caps w:val="false"/>
          <w:smallCaps w:val="false"/>
          <w:sz w:val="20"/>
        </w:rPr>
        <w:t>Non-U.S. Holders-Gain on Sale, Taxable Exchange or Other Taxable Disposition of Common Stock and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Gain on Sale, Taxable Exchange or Other Taxable Disposition of Common Stock and Warrants. </w:t>
      </w:r>
      <w:r>
        <w:rPr>
          <w:rFonts w:ascii="Times New Roman;Times;Serif" w:hAnsi="Times New Roman;Times;Serif"/>
          <w:b w:val="false"/>
          <w:i w:val="false"/>
          <w:caps w:val="false"/>
          <w:smallCaps w:val="false"/>
          <w:sz w:val="20"/>
        </w:rPr>
        <w:t>A Non-U.S. holder generally will not be subject to U.S. federal income or withholding tax in respect of gain recognized on a sale, taxable exchange or other taxable disposition of our Common Stock or Warrants (including a redemption of our Warrants), unless: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are not, and do not anticipate becoming, a U.S. real property holding corporation; however, there can be no assurance that we will not become a U.S. real property holding corporation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 applicable treaty provides otherwise, gain described in the first bullet point above will be subject to tax at generally applicable U.S. federal income tax rates as if the Non-U.S. holder were a U.S. holder. Any gains described in the first bullet point above of a Non-U.S. holder that is a foreign corporation may also be subject to an additional “branch profits tax” at a 30% rate (or lower treaty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Possible Constructive Distributions. </w:t>
      </w:r>
      <w:r>
        <w:rPr>
          <w:rFonts w:ascii="Times New Roman;Times;Serif" w:hAnsi="Times New Roman;Times;Serif"/>
          <w:b w:val="false"/>
          <w:i w:val="false"/>
          <w:caps w:val="false"/>
          <w:smallCaps w:val="false"/>
          <w:sz w:val="20"/>
        </w:rPr>
        <w:t>The terms of each Warrant provide for an adjustment to the number of shares of Common Stock for which the Warrant may be exercised or to the exercise price of the Warrant in certain events, as discussed in the section of this prospectus entitled “</w:t>
      </w:r>
      <w:r>
        <w:rPr>
          <w:rFonts w:ascii="Times New Roman;Times;Serif" w:hAnsi="Times New Roman;Times;Serif"/>
          <w:b w:val="false"/>
          <w:i/>
          <w:caps w:val="false"/>
          <w:smallCaps w:val="false"/>
          <w:sz w:val="20"/>
        </w:rPr>
        <w:t>Description of Securities-Warrants</w:t>
      </w:r>
      <w:r>
        <w:rPr>
          <w:rFonts w:ascii="Times New Roman;Times;Serif" w:hAnsi="Times New Roman;Times;Serif"/>
          <w:b w:val="false"/>
          <w:i w:val="false"/>
          <w:caps w:val="false"/>
          <w:smallCaps w:val="false"/>
          <w:sz w:val="20"/>
        </w:rPr>
        <w:t>.” An adjustment which has the effect of preventing dilution is generally not taxable. The Non-U.S. holders of Warrants would, however, be treated as receiving a constructive distribution from us if, for example, the adjustment increases the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a stock dividend to the holders of our Common Stock, in each case which is taxable to such holders as a distribution. Any constructive distribution received by a Non-U.S. holder would be subject to U.S. federal income tax (including any applicable withholding) in the same manner as if such Non-U.S. holder received a cash distribution from us equal to the fair market value of such increased interest without any corresponding receipt of cash.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Reporting and Backup Withholding. </w:t>
      </w:r>
      <w:r>
        <w:rPr>
          <w:rFonts w:ascii="Times New Roman;Times;Serif" w:hAnsi="Times New Roman;Times;Serif"/>
          <w:b w:val="false"/>
          <w:i w:val="false"/>
          <w:caps w:val="false"/>
          <w:smallCaps w:val="false"/>
          <w:sz w:val="20"/>
        </w:rPr>
        <w:t>Information returns will be filed with the IRS in connection with payments of dividends and the proceeds from a sale or other disposition of our shares of Common Stock and Warrants. A Non-U.S. holder may have to comply with certification procedures to establish that it is not a United States person (by providing certification of its foreign status, under penalties of perjury, on a duly executed applicable IRS Form W-8 or by otherwise establishing an exemption)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FATCA Withholding Taxes. </w:t>
      </w:r>
      <w:r>
        <w:rPr>
          <w:rFonts w:ascii="Times New Roman;Times;Serif" w:hAnsi="Times New Roman;Times;Serif"/>
          <w:b w:val="false"/>
          <w:i w:val="false"/>
          <w:caps w:val="false"/>
          <w:smallCaps w:val="false"/>
          <w:sz w:val="20"/>
        </w:rPr>
        <w:t>Provisions commonly referred to as “FATCA” impose withholding of 30% on payments of dividends (including constructive dividends) and, subject to the discussion of certain proposed U.S. Treasury regulations below, on the gross proceeds from a sale or other disposition of our Common Stock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advisors regarding the effects of FATCA on their investment in our securities. The IRS released proposed U.S. Treasury regulations that, if finalized in their present form, would eliminate the U.S. federal withholding tax of 30% applicable to the gross proceeds of a sale or other disposition of our Common Stock. In its preamble to such proposed U.S. Treasury regulations, the IRS stated that taxpayers may generally rely on the proposed U.S. Treasury regulations until final U.S. Treasury regulations are issued.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130</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0" w:name="a_019"/>
      <w:bookmarkEnd w:id="20"/>
      <w:r>
        <w:rPr>
          <w:rFonts w:ascii="Times New Roman;Times;Serif" w:hAnsi="Times New Roman;Times;Serif"/>
          <w:b/>
          <w:i w:val="false"/>
          <w:caps/>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SEE ID as of and for the year ended December 31, 2024, included in this prospectus of CID HoldCo, Inc., which is referred to and made a part of this Prospectus and Registration Statement, have been audited by Berkowitz Pollack Brant Advisors + CPAs, an independent registered public accounting firm, as set forth in their report appearing elsewhere herein, and are included in reliance upon such report given on the authority of such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SEE ID as of and for the year ended December 31, 2023, included in this prospectus of CID HoldCo, Inc., which is referred to and made a part of this Prospectus and Registration Statement, have been audited by Wolf &amp; Company, P.C., an independent registered public accounting firm, as set forth in their report appearing elsewhere herein, and are included in reliance upon such report given on the authority of such firm as experts in accounting and auditing.</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1" w:name="a_020"/>
      <w:bookmarkEnd w:id="21"/>
      <w:r>
        <w:rPr>
          <w:rFonts w:ascii="Times New Roman;Times;Serif" w:hAnsi="Times New Roman;Times;Serif"/>
          <w:b/>
          <w:i w:val="false"/>
          <w:caps/>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DLA Piper LLP will pass upon the validity of the Common Stock and Warrants covered by this prospectus.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2" w:name="a_021"/>
      <w:bookmarkEnd w:id="22"/>
      <w:r>
        <w:rPr>
          <w:rFonts w:ascii="Times New Roman;Times;Serif" w:hAnsi="Times New Roman;Times;Serif"/>
          <w:b/>
          <w:i w:val="false"/>
          <w:caps/>
          <w:sz w:val="20"/>
        </w:rPr>
        <w:t>WHERE YOU CAN FIND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Our SEC filings are available to the public over the internet at the SEC’s website at www.sec.gov and on our website, free of charge, at www.atipt.com. The information found on, or that can be accessed from or that is hyperlinked to, our website is not part of this prospectus. You may inspect a copy of the registration statement through the SEC’s website, as provided herein.</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3" w:name="a_022"/>
      <w:bookmarkEnd w:id="23"/>
      <w:r>
        <w:rPr>
          <w:rFonts w:ascii="Times New Roman;Times;Serif" w:hAnsi="Times New Roman;Times;Serif"/>
          <w:b/>
          <w:i w:val="false"/>
          <w:caps/>
          <w:sz w:val="20"/>
        </w:rPr>
        <w:t>CHANGES IN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Audit Committee of the Board approved Berkowitz Pollack Brant Advisors + CPAs (“BPB”) as its independent registered public accounting firm. BPB previously served as the independent registered public accounting firm of SEE ID prior to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SUPPLEMENTARY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4" w:name="a_023"/>
      <w:bookmarkEnd w:id="24"/>
      <w:r>
        <w:rPr>
          <w:rFonts w:ascii="Times New Roman;Times;Serif" w:hAnsi="Times New Roman;Times;Serif"/>
          <w:b/>
          <w:i w:val="false"/>
          <w:caps/>
          <w:sz w:val="20"/>
        </w:rPr>
        <w:t>INDEX TO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63"/>
        <w:gridCol w:w="442"/>
      </w:tblGrid>
      <w:tr>
        <w:trPr/>
        <w:tc>
          <w:tcPr>
            <w:tcW w:w="9763"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center"/>
              <w:rPr/>
            </w:pPr>
            <w:r>
              <w:rPr/>
              <w:t> </w:t>
            </w:r>
          </w:p>
        </w:tc>
      </w:tr>
      <w:tr>
        <w:trPr/>
        <w:tc>
          <w:tcPr>
            <w:tcW w:w="9763" w:type="dxa"/>
            <w:tcBorders/>
            <w:shd w:fill="CCEEFF" w:val="clear"/>
            <w:vAlign w:val="center"/>
          </w:tcPr>
          <w:p>
            <w:pPr>
              <w:pStyle w:val="TableContents"/>
              <w:bidi w:val="0"/>
              <w:spacing w:before="0" w:after="283"/>
              <w:jc w:val="left"/>
              <w:rPr>
                <w:b/>
                <w:sz w:val="20"/>
              </w:rPr>
            </w:pPr>
            <w:r>
              <w:rPr>
                <w:b/>
                <w:sz w:val="20"/>
              </w:rPr>
              <w:t>CID HoldCo, Inc. (formerly known as SEE ID, Inc. dba Dot Ai)</w:t>
            </w:r>
          </w:p>
        </w:tc>
        <w:tc>
          <w:tcPr>
            <w:tcW w:w="442" w:type="dxa"/>
            <w:tcBorders/>
            <w:shd w:fill="CCEEFF" w:val="clear"/>
            <w:vAlign w:val="center"/>
          </w:tcPr>
          <w:p>
            <w:pPr>
              <w:pStyle w:val="TableContents"/>
              <w:bidi w:val="0"/>
              <w:spacing w:before="0" w:after="283"/>
              <w:jc w:val="center"/>
              <w:rPr/>
            </w:pPr>
            <w:r>
              <w:rPr/>
              <w:t> </w:t>
            </w:r>
          </w:p>
        </w:tc>
      </w:tr>
      <w:tr>
        <w:trPr/>
        <w:tc>
          <w:tcPr>
            <w:tcW w:w="9763"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center"/>
              <w:rPr/>
            </w:pPr>
            <w:r>
              <w:rPr/>
              <w:t> </w:t>
            </w:r>
          </w:p>
        </w:tc>
      </w:tr>
      <w:tr>
        <w:trPr/>
        <w:tc>
          <w:tcPr>
            <w:tcW w:w="9763" w:type="dxa"/>
            <w:tcBorders/>
            <w:shd w:fill="CCEEFF" w:val="clear"/>
            <w:vAlign w:val="center"/>
          </w:tcPr>
          <w:p>
            <w:pPr>
              <w:pStyle w:val="TableContents"/>
              <w:bidi w:val="0"/>
              <w:spacing w:before="0" w:after="283"/>
              <w:jc w:val="left"/>
              <w:rPr/>
            </w:pPr>
            <w:r>
              <w:rPr/>
              <w:t>Unaudited Financial Statements</w:t>
            </w:r>
          </w:p>
        </w:tc>
        <w:tc>
          <w:tcPr>
            <w:tcW w:w="442" w:type="dxa"/>
            <w:tcBorders/>
            <w:shd w:fill="CCEEFF" w:val="clear"/>
            <w:vAlign w:val="center"/>
          </w:tcPr>
          <w:p>
            <w:pPr>
              <w:pStyle w:val="TableContents"/>
              <w:bidi w:val="0"/>
              <w:spacing w:before="0" w:after="283"/>
              <w:jc w:val="center"/>
              <w:rPr/>
            </w:pPr>
            <w:r>
              <w:rPr/>
              <w:t> </w:t>
            </w:r>
          </w:p>
        </w:tc>
      </w:tr>
      <w:tr>
        <w:trPr/>
        <w:tc>
          <w:tcPr>
            <w:tcW w:w="9763" w:type="dxa"/>
            <w:tcBorders/>
            <w:shd w:fill="FFFFFF" w:val="clear"/>
            <w:vAlign w:val="center"/>
          </w:tcPr>
          <w:p>
            <w:pPr>
              <w:pStyle w:val="TableContents"/>
              <w:bidi w:val="0"/>
              <w:spacing w:before="0" w:after="283"/>
              <w:jc w:val="left"/>
              <w:rPr/>
            </w:pPr>
            <w:hyperlink w:anchor="b_002">
              <w:r>
                <w:rPr>
                  <w:rStyle w:val="InternetLink"/>
                  <w:sz w:val="20"/>
                </w:rPr>
                <w:t>Condensed Consolidated balance sheets at September 30, 2025 (unaudited) and December 31, 2024</w:t>
              </w:r>
            </w:hyperlink>
          </w:p>
        </w:tc>
        <w:tc>
          <w:tcPr>
            <w:tcW w:w="442" w:type="dxa"/>
            <w:tcBorders/>
            <w:shd w:fill="FFFFFF" w:val="clear"/>
            <w:vAlign w:val="center"/>
          </w:tcPr>
          <w:p>
            <w:pPr>
              <w:pStyle w:val="TableContents"/>
              <w:bidi w:val="0"/>
              <w:spacing w:before="0" w:after="283"/>
              <w:ind w:left="0" w:right="0" w:hanging="180"/>
              <w:jc w:val="center"/>
              <w:rPr/>
            </w:pPr>
            <w:r>
              <w:rPr/>
              <w:t>F-2</w:t>
            </w:r>
          </w:p>
        </w:tc>
      </w:tr>
      <w:tr>
        <w:trPr/>
        <w:tc>
          <w:tcPr>
            <w:tcW w:w="9763" w:type="dxa"/>
            <w:tcBorders/>
            <w:shd w:fill="CCEEFF" w:val="clear"/>
            <w:vAlign w:val="center"/>
          </w:tcPr>
          <w:p>
            <w:pPr>
              <w:pStyle w:val="TableContents"/>
              <w:bidi w:val="0"/>
              <w:spacing w:before="0" w:after="283"/>
              <w:jc w:val="left"/>
              <w:rPr/>
            </w:pPr>
            <w:hyperlink w:anchor="b_003">
              <w:r>
                <w:rPr>
                  <w:rStyle w:val="InternetLink"/>
                  <w:sz w:val="20"/>
                </w:rPr>
                <w:t>Condensed Consolidated statements of operations for the three and nine-months ended September 30, 2025 and 2024 (unaudited)</w:t>
              </w:r>
            </w:hyperlink>
          </w:p>
        </w:tc>
        <w:tc>
          <w:tcPr>
            <w:tcW w:w="442" w:type="dxa"/>
            <w:tcBorders/>
            <w:shd w:fill="CCEEFF" w:val="clear"/>
            <w:vAlign w:val="center"/>
          </w:tcPr>
          <w:p>
            <w:pPr>
              <w:pStyle w:val="TableContents"/>
              <w:bidi w:val="0"/>
              <w:spacing w:before="0" w:after="283"/>
              <w:ind w:left="0" w:right="0" w:hanging="180"/>
              <w:jc w:val="center"/>
              <w:rPr/>
            </w:pPr>
            <w:r>
              <w:rPr/>
              <w:t>F-3</w:t>
            </w:r>
          </w:p>
        </w:tc>
      </w:tr>
      <w:tr>
        <w:trPr/>
        <w:tc>
          <w:tcPr>
            <w:tcW w:w="9763" w:type="dxa"/>
            <w:tcBorders/>
            <w:shd w:fill="FFFFFF" w:val="clear"/>
            <w:vAlign w:val="center"/>
          </w:tcPr>
          <w:p>
            <w:pPr>
              <w:pStyle w:val="TableContents"/>
              <w:bidi w:val="0"/>
              <w:spacing w:before="0" w:after="283"/>
              <w:jc w:val="left"/>
              <w:rPr/>
            </w:pPr>
            <w:hyperlink w:anchor="b_004">
              <w:r>
                <w:rPr>
                  <w:rStyle w:val="InternetLink"/>
                  <w:sz w:val="20"/>
                </w:rPr>
                <w:t>Condensed Consolidated statements of stockholders’ equity (deficit) for the three and nine-months ended September 30, 2025 and 2024 (unaudited)</w:t>
              </w:r>
            </w:hyperlink>
          </w:p>
        </w:tc>
        <w:tc>
          <w:tcPr>
            <w:tcW w:w="442" w:type="dxa"/>
            <w:tcBorders/>
            <w:shd w:fill="FFFFFF" w:val="clear"/>
            <w:vAlign w:val="center"/>
          </w:tcPr>
          <w:p>
            <w:pPr>
              <w:pStyle w:val="TableContents"/>
              <w:bidi w:val="0"/>
              <w:spacing w:before="0" w:after="283"/>
              <w:ind w:left="0" w:right="0" w:hanging="180"/>
              <w:jc w:val="center"/>
              <w:rPr/>
            </w:pPr>
            <w:r>
              <w:rPr/>
              <w:t>F-4</w:t>
            </w:r>
          </w:p>
        </w:tc>
      </w:tr>
      <w:tr>
        <w:trPr/>
        <w:tc>
          <w:tcPr>
            <w:tcW w:w="9763" w:type="dxa"/>
            <w:tcBorders/>
            <w:shd w:fill="CCEEFF" w:val="clear"/>
            <w:vAlign w:val="center"/>
          </w:tcPr>
          <w:p>
            <w:pPr>
              <w:pStyle w:val="TableContents"/>
              <w:bidi w:val="0"/>
              <w:spacing w:before="0" w:after="283"/>
              <w:jc w:val="left"/>
              <w:rPr/>
            </w:pPr>
            <w:hyperlink w:anchor="b_005">
              <w:r>
                <w:rPr>
                  <w:rStyle w:val="InternetLink"/>
                  <w:sz w:val="20"/>
                </w:rPr>
                <w:t>Condensed Consolidated statements of cash flows for the three and nine-months ended September 30, 2025 and 2024 (unaudited)</w:t>
              </w:r>
            </w:hyperlink>
          </w:p>
        </w:tc>
        <w:tc>
          <w:tcPr>
            <w:tcW w:w="442" w:type="dxa"/>
            <w:tcBorders/>
            <w:shd w:fill="CCEEFF" w:val="clear"/>
            <w:vAlign w:val="center"/>
          </w:tcPr>
          <w:p>
            <w:pPr>
              <w:pStyle w:val="TableContents"/>
              <w:bidi w:val="0"/>
              <w:spacing w:before="0" w:after="283"/>
              <w:jc w:val="center"/>
              <w:rPr/>
            </w:pPr>
            <w:r>
              <w:rPr/>
              <w:t>F-5</w:t>
            </w:r>
          </w:p>
        </w:tc>
      </w:tr>
      <w:tr>
        <w:trPr/>
        <w:tc>
          <w:tcPr>
            <w:tcW w:w="9763" w:type="dxa"/>
            <w:tcBorders/>
            <w:shd w:fill="FFFFFF" w:val="clear"/>
            <w:vAlign w:val="center"/>
          </w:tcPr>
          <w:p>
            <w:pPr>
              <w:pStyle w:val="TableContents"/>
              <w:bidi w:val="0"/>
              <w:spacing w:before="0" w:after="283"/>
              <w:jc w:val="left"/>
              <w:rPr/>
            </w:pPr>
            <w:hyperlink w:anchor="b_006">
              <w:r>
                <w:rPr>
                  <w:rStyle w:val="InternetLink"/>
                  <w:sz w:val="20"/>
                </w:rPr>
                <w:t>Notes to condensed consolidated financial statements</w:t>
              </w:r>
            </w:hyperlink>
          </w:p>
        </w:tc>
        <w:tc>
          <w:tcPr>
            <w:tcW w:w="442" w:type="dxa"/>
            <w:tcBorders/>
            <w:shd w:fill="FFFFFF" w:val="clear"/>
            <w:vAlign w:val="center"/>
          </w:tcPr>
          <w:p>
            <w:pPr>
              <w:pStyle w:val="TableContents"/>
              <w:bidi w:val="0"/>
              <w:spacing w:before="0" w:after="283"/>
              <w:jc w:val="center"/>
              <w:rPr/>
            </w:pPr>
            <w:r>
              <w:rPr/>
              <w:t>F-6</w:t>
            </w:r>
          </w:p>
        </w:tc>
      </w:tr>
      <w:tr>
        <w:trPr/>
        <w:tc>
          <w:tcPr>
            <w:tcW w:w="9763"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center"/>
              <w:rPr/>
            </w:pPr>
            <w:r>
              <w:rPr/>
              <w:t> </w:t>
            </w:r>
          </w:p>
        </w:tc>
      </w:tr>
      <w:tr>
        <w:trPr/>
        <w:tc>
          <w:tcPr>
            <w:tcW w:w="9763" w:type="dxa"/>
            <w:tcBorders/>
            <w:shd w:fill="FFFFFF" w:val="clear"/>
            <w:vAlign w:val="center"/>
          </w:tcPr>
          <w:p>
            <w:pPr>
              <w:pStyle w:val="TableContents"/>
              <w:bidi w:val="0"/>
              <w:spacing w:before="0" w:after="283"/>
              <w:jc w:val="left"/>
              <w:rPr>
                <w:sz w:val="20"/>
              </w:rPr>
            </w:pPr>
            <w:r>
              <w:rPr>
                <w:sz w:val="20"/>
              </w:rPr>
              <w:t>Audited Financial Statements  </w:t>
            </w:r>
          </w:p>
        </w:tc>
        <w:tc>
          <w:tcPr>
            <w:tcW w:w="442" w:type="dxa"/>
            <w:tcBorders/>
            <w:shd w:fill="FFFFFF" w:val="clear"/>
            <w:vAlign w:val="center"/>
          </w:tcPr>
          <w:p>
            <w:pPr>
              <w:pStyle w:val="TableContents"/>
              <w:bidi w:val="0"/>
              <w:spacing w:before="0" w:after="283"/>
              <w:jc w:val="center"/>
              <w:rPr/>
            </w:pPr>
            <w:r>
              <w:rPr/>
              <w:t> </w:t>
            </w:r>
          </w:p>
        </w:tc>
      </w:tr>
      <w:tr>
        <w:trPr/>
        <w:tc>
          <w:tcPr>
            <w:tcW w:w="9763"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center"/>
              <w:rPr/>
            </w:pPr>
            <w:r>
              <w:rPr/>
              <w:t> </w:t>
            </w:r>
          </w:p>
        </w:tc>
      </w:tr>
      <w:tr>
        <w:trPr/>
        <w:tc>
          <w:tcPr>
            <w:tcW w:w="9763" w:type="dxa"/>
            <w:tcBorders/>
            <w:shd w:fill="FFFFFF" w:val="clear"/>
            <w:vAlign w:val="center"/>
          </w:tcPr>
          <w:p>
            <w:pPr>
              <w:pStyle w:val="TableContents"/>
              <w:bidi w:val="0"/>
              <w:spacing w:before="0" w:after="283"/>
              <w:jc w:val="left"/>
              <w:rPr/>
            </w:pPr>
            <w:hyperlink w:anchor="f_001">
              <w:r>
                <w:rPr>
                  <w:rStyle w:val="InternetLink"/>
                  <w:sz w:val="20"/>
                </w:rPr>
                <w:t>Report of Independent Registered Public Accountant (PCAOB ID: 52)</w:t>
              </w:r>
            </w:hyperlink>
          </w:p>
        </w:tc>
        <w:tc>
          <w:tcPr>
            <w:tcW w:w="442" w:type="dxa"/>
            <w:tcBorders/>
            <w:shd w:fill="FFFFFF" w:val="clear"/>
            <w:vAlign w:val="center"/>
          </w:tcPr>
          <w:p>
            <w:pPr>
              <w:pStyle w:val="TableContents"/>
              <w:bidi w:val="0"/>
              <w:spacing w:before="0" w:after="283"/>
              <w:jc w:val="center"/>
              <w:rPr/>
            </w:pPr>
            <w:r>
              <w:rPr/>
              <w:t>F-25</w:t>
            </w:r>
          </w:p>
        </w:tc>
      </w:tr>
      <w:tr>
        <w:trPr/>
        <w:tc>
          <w:tcPr>
            <w:tcW w:w="9763" w:type="dxa"/>
            <w:tcBorders/>
            <w:shd w:fill="CCEEFF" w:val="clear"/>
            <w:vAlign w:val="center"/>
          </w:tcPr>
          <w:p>
            <w:pPr>
              <w:pStyle w:val="TableContents"/>
              <w:bidi w:val="0"/>
              <w:spacing w:before="0" w:after="283"/>
              <w:jc w:val="left"/>
              <w:rPr/>
            </w:pPr>
            <w:hyperlink w:anchor="f_002">
              <w:r>
                <w:rPr>
                  <w:rStyle w:val="InternetLink"/>
                  <w:sz w:val="20"/>
                </w:rPr>
                <w:t>Report of Independent Registered Public Accountant (PCAOB ID: 392)</w:t>
              </w:r>
            </w:hyperlink>
          </w:p>
        </w:tc>
        <w:tc>
          <w:tcPr>
            <w:tcW w:w="442" w:type="dxa"/>
            <w:tcBorders/>
            <w:shd w:fill="CCEEFF" w:val="clear"/>
            <w:vAlign w:val="center"/>
          </w:tcPr>
          <w:p>
            <w:pPr>
              <w:pStyle w:val="TableContents"/>
              <w:bidi w:val="0"/>
              <w:spacing w:before="0" w:after="283"/>
              <w:jc w:val="center"/>
              <w:rPr/>
            </w:pPr>
            <w:r>
              <w:rPr/>
              <w:t>F-26</w:t>
            </w:r>
          </w:p>
        </w:tc>
      </w:tr>
      <w:tr>
        <w:trPr/>
        <w:tc>
          <w:tcPr>
            <w:tcW w:w="9763" w:type="dxa"/>
            <w:tcBorders/>
            <w:shd w:fill="FFFFFF" w:val="clear"/>
            <w:vAlign w:val="center"/>
          </w:tcPr>
          <w:p>
            <w:pPr>
              <w:pStyle w:val="TableContents"/>
              <w:bidi w:val="0"/>
              <w:spacing w:before="0" w:after="283"/>
              <w:jc w:val="left"/>
              <w:rPr/>
            </w:pPr>
            <w:hyperlink w:anchor="f_003">
              <w:r>
                <w:rPr>
                  <w:rStyle w:val="InternetLink"/>
                  <w:sz w:val="20"/>
                </w:rPr>
                <w:t>Consolidated balance sheets</w:t>
              </w:r>
            </w:hyperlink>
          </w:p>
        </w:tc>
        <w:tc>
          <w:tcPr>
            <w:tcW w:w="442" w:type="dxa"/>
            <w:tcBorders/>
            <w:shd w:fill="FFFFFF" w:val="clear"/>
            <w:vAlign w:val="center"/>
          </w:tcPr>
          <w:p>
            <w:pPr>
              <w:pStyle w:val="TableContents"/>
              <w:bidi w:val="0"/>
              <w:spacing w:before="0" w:after="283"/>
              <w:jc w:val="center"/>
              <w:rPr/>
            </w:pPr>
            <w:r>
              <w:rPr/>
              <w:t>F-27</w:t>
            </w:r>
          </w:p>
        </w:tc>
      </w:tr>
      <w:tr>
        <w:trPr/>
        <w:tc>
          <w:tcPr>
            <w:tcW w:w="9763" w:type="dxa"/>
            <w:tcBorders/>
            <w:shd w:fill="CCEEFF" w:val="clear"/>
            <w:vAlign w:val="center"/>
          </w:tcPr>
          <w:p>
            <w:pPr>
              <w:pStyle w:val="TableContents"/>
              <w:bidi w:val="0"/>
              <w:spacing w:before="0" w:after="283"/>
              <w:jc w:val="left"/>
              <w:rPr/>
            </w:pPr>
            <w:hyperlink w:anchor="f_004">
              <w:r>
                <w:rPr>
                  <w:rStyle w:val="InternetLink"/>
                  <w:sz w:val="20"/>
                </w:rPr>
                <w:t>Consolidated statements of operations</w:t>
              </w:r>
            </w:hyperlink>
          </w:p>
        </w:tc>
        <w:tc>
          <w:tcPr>
            <w:tcW w:w="442" w:type="dxa"/>
            <w:tcBorders/>
            <w:shd w:fill="CCEEFF" w:val="clear"/>
            <w:vAlign w:val="center"/>
          </w:tcPr>
          <w:p>
            <w:pPr>
              <w:pStyle w:val="TableContents"/>
              <w:bidi w:val="0"/>
              <w:spacing w:before="0" w:after="283"/>
              <w:jc w:val="center"/>
              <w:rPr/>
            </w:pPr>
            <w:r>
              <w:rPr/>
              <w:t>F-29</w:t>
            </w:r>
          </w:p>
        </w:tc>
      </w:tr>
      <w:tr>
        <w:trPr/>
        <w:tc>
          <w:tcPr>
            <w:tcW w:w="9763" w:type="dxa"/>
            <w:tcBorders/>
            <w:shd w:fill="FFFFFF" w:val="clear"/>
            <w:vAlign w:val="center"/>
          </w:tcPr>
          <w:p>
            <w:pPr>
              <w:pStyle w:val="TableContents"/>
              <w:bidi w:val="0"/>
              <w:spacing w:before="0" w:after="283"/>
              <w:jc w:val="left"/>
              <w:rPr/>
            </w:pPr>
            <w:hyperlink w:anchor="f_005">
              <w:r>
                <w:rPr>
                  <w:rStyle w:val="InternetLink"/>
                  <w:sz w:val="20"/>
                </w:rPr>
                <w:t>Consolidated statements of stockholders’ deficit</w:t>
              </w:r>
            </w:hyperlink>
          </w:p>
        </w:tc>
        <w:tc>
          <w:tcPr>
            <w:tcW w:w="442" w:type="dxa"/>
            <w:tcBorders/>
            <w:shd w:fill="FFFFFF" w:val="clear"/>
            <w:vAlign w:val="center"/>
          </w:tcPr>
          <w:p>
            <w:pPr>
              <w:pStyle w:val="TableContents"/>
              <w:bidi w:val="0"/>
              <w:spacing w:before="0" w:after="283"/>
              <w:jc w:val="center"/>
              <w:rPr/>
            </w:pPr>
            <w:r>
              <w:rPr/>
              <w:t>F-30</w:t>
            </w:r>
          </w:p>
        </w:tc>
      </w:tr>
      <w:tr>
        <w:trPr/>
        <w:tc>
          <w:tcPr>
            <w:tcW w:w="9763" w:type="dxa"/>
            <w:tcBorders/>
            <w:shd w:fill="CCEEFF" w:val="clear"/>
            <w:vAlign w:val="center"/>
          </w:tcPr>
          <w:p>
            <w:pPr>
              <w:pStyle w:val="TableContents"/>
              <w:bidi w:val="0"/>
              <w:spacing w:before="0" w:after="283"/>
              <w:jc w:val="left"/>
              <w:rPr/>
            </w:pPr>
            <w:hyperlink w:anchor="f_006">
              <w:r>
                <w:rPr>
                  <w:rStyle w:val="InternetLink"/>
                  <w:sz w:val="20"/>
                </w:rPr>
                <w:t>Consolidated statements of cash flows</w:t>
              </w:r>
            </w:hyperlink>
          </w:p>
        </w:tc>
        <w:tc>
          <w:tcPr>
            <w:tcW w:w="442" w:type="dxa"/>
            <w:tcBorders/>
            <w:shd w:fill="CCEEFF" w:val="clear"/>
            <w:vAlign w:val="center"/>
          </w:tcPr>
          <w:p>
            <w:pPr>
              <w:pStyle w:val="TableContents"/>
              <w:bidi w:val="0"/>
              <w:spacing w:before="0" w:after="283"/>
              <w:jc w:val="center"/>
              <w:rPr/>
            </w:pPr>
            <w:r>
              <w:rPr/>
              <w:t>F-31</w:t>
            </w:r>
          </w:p>
        </w:tc>
      </w:tr>
      <w:tr>
        <w:trPr/>
        <w:tc>
          <w:tcPr>
            <w:tcW w:w="9763" w:type="dxa"/>
            <w:tcBorders/>
            <w:shd w:fill="FFFFFF" w:val="clear"/>
            <w:vAlign w:val="center"/>
          </w:tcPr>
          <w:p>
            <w:pPr>
              <w:pStyle w:val="TableContents"/>
              <w:bidi w:val="0"/>
              <w:spacing w:before="0" w:after="283"/>
              <w:jc w:val="left"/>
              <w:rPr/>
            </w:pPr>
            <w:hyperlink w:anchor="f_007">
              <w:r>
                <w:rPr>
                  <w:rStyle w:val="InternetLink"/>
                  <w:sz w:val="20"/>
                </w:rPr>
                <w:t>Notes to consolidated financial statements</w:t>
              </w:r>
            </w:hyperlink>
          </w:p>
        </w:tc>
        <w:tc>
          <w:tcPr>
            <w:tcW w:w="442" w:type="dxa"/>
            <w:tcBorders/>
            <w:shd w:fill="FFFFFF" w:val="clear"/>
            <w:vAlign w:val="center"/>
          </w:tcPr>
          <w:p>
            <w:pPr>
              <w:pStyle w:val="TableContents"/>
              <w:bidi w:val="0"/>
              <w:spacing w:before="0" w:after="283"/>
              <w:jc w:val="center"/>
              <w:rPr/>
            </w:pPr>
            <w:r>
              <w:rPr/>
              <w:t>F-32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b_002"/>
      <w:bookmarkEnd w:id="25"/>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5"/>
        <w:gridCol w:w="60"/>
        <w:gridCol w:w="145"/>
        <w:gridCol w:w="1219"/>
        <w:gridCol w:w="95"/>
        <w:gridCol w:w="60"/>
        <w:gridCol w:w="151"/>
        <w:gridCol w:w="1281"/>
        <w:gridCol w:w="89"/>
      </w:tblGrid>
      <w:tr>
        <w:trPr/>
        <w:tc>
          <w:tcPr>
            <w:tcW w:w="7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89" w:type="dxa"/>
            <w:tcBorders/>
            <w:vAlign w:val="center"/>
          </w:tcPr>
          <w:p>
            <w:pPr>
              <w:pStyle w:val="TableContents"/>
              <w:bidi w:val="0"/>
              <w:spacing w:before="0" w:after="283"/>
              <w:jc w:val="left"/>
              <w:rPr/>
            </w:pPr>
            <w:r>
              <w:rPr/>
              <w:t> </w:t>
            </w:r>
          </w:p>
        </w:tc>
      </w:tr>
      <w:tr>
        <w:trPr/>
        <w:tc>
          <w:tcPr>
            <w:tcW w:w="7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4"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2" w:type="dxa"/>
            <w:gridSpan w:val="2"/>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r>
      <w:tr>
        <w:trPr/>
        <w:tc>
          <w:tcPr>
            <w:tcW w:w="710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6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2" w:type="dxa"/>
            <w:gridSpan w:val="2"/>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r>
      <w:tr>
        <w:trPr/>
        <w:tc>
          <w:tcPr>
            <w:tcW w:w="710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19" w:type="dxa"/>
            <w:tcBorders/>
            <w:shd w:fill="CCEEFF" w:val="clear"/>
            <w:vAlign w:val="center"/>
          </w:tcPr>
          <w:p>
            <w:pPr>
              <w:pStyle w:val="TableContents"/>
              <w:bidi w:val="0"/>
              <w:spacing w:before="0" w:after="283"/>
              <w:jc w:val="right"/>
              <w:rPr/>
            </w:pPr>
            <w:r>
              <w:rPr/>
              <w:t>1,418,834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281" w:type="dxa"/>
            <w:tcBorders/>
            <w:shd w:fill="CCEEFF" w:val="clear"/>
            <w:vAlign w:val="center"/>
          </w:tcPr>
          <w:p>
            <w:pPr>
              <w:pStyle w:val="TableContents"/>
              <w:bidi w:val="0"/>
              <w:spacing w:before="0" w:after="283"/>
              <w:jc w:val="right"/>
              <w:rPr/>
            </w:pPr>
            <w:r>
              <w:rPr/>
              <w:t>721,032</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915,027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50,264</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468,102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65,248</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FFFFFF" w:val="clear"/>
            <w:tcMar>
              <w:bottom w:w="28" w:type="dxa"/>
            </w:tcMar>
            <w:vAlign w:val="center"/>
          </w:tcPr>
          <w:p>
            <w:pPr>
              <w:pStyle w:val="TableContents"/>
              <w:bidi w:val="0"/>
              <w:spacing w:before="0" w:after="283"/>
              <w:jc w:val="right"/>
              <w:rPr/>
            </w:pPr>
            <w:r>
              <w:rPr/>
              <w:t>744,194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167,551</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3,546,157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1,004,095</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478,171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11,286</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Operating lease right-of-use assets (ROU)</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735,871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307,892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Capitalized software development costs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2,660,194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1,761,396</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Long-term assets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FFFFFF" w:val="clear"/>
            <w:tcMar>
              <w:bottom w:w="28" w:type="dxa"/>
            </w:tcMar>
            <w:vAlign w:val="center"/>
          </w:tcPr>
          <w:p>
            <w:pPr>
              <w:pStyle w:val="TableContents"/>
              <w:bidi w:val="0"/>
              <w:spacing w:before="0" w:after="283"/>
              <w:jc w:val="right"/>
              <w:rPr/>
            </w:pPr>
            <w:r>
              <w:rPr/>
              <w:t>25,713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12,103</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Total long-term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3,899,949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2,092,677</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9" w:type="dxa"/>
            <w:tcBorders>
              <w:bottom w:val="double" w:sz="10" w:space="0" w:color="000000"/>
            </w:tcBorders>
            <w:shd w:fill="FFFFFF" w:val="clear"/>
            <w:tcMar>
              <w:bottom w:w="28" w:type="dxa"/>
            </w:tcMar>
            <w:vAlign w:val="center"/>
          </w:tcPr>
          <w:p>
            <w:pPr>
              <w:pStyle w:val="TableContents"/>
              <w:bidi w:val="0"/>
              <w:spacing w:before="0" w:after="283"/>
              <w:jc w:val="right"/>
              <w:rPr/>
            </w:pPr>
            <w:r>
              <w:rPr/>
              <w:t>7,446,106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81" w:type="dxa"/>
            <w:tcBorders>
              <w:bottom w:val="double" w:sz="10" w:space="0" w:color="000000"/>
            </w:tcBorders>
            <w:shd w:fill="FFFFFF" w:val="clear"/>
            <w:tcMar>
              <w:bottom w:w="28" w:type="dxa"/>
            </w:tcMar>
            <w:vAlign w:val="center"/>
          </w:tcPr>
          <w:p>
            <w:pPr>
              <w:pStyle w:val="TableContents"/>
              <w:bidi w:val="0"/>
              <w:spacing w:before="0" w:after="283"/>
              <w:jc w:val="right"/>
              <w:rPr/>
            </w:pPr>
            <w:r>
              <w:rPr/>
              <w:t>3,096,772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b/>
              </w:rPr>
            </w:pPr>
            <w:r>
              <w:rPr>
                <w:b/>
              </w:rPr>
              <w:t>LIABILITIES AND SHAREHOLDERS’ EQUITY (DEFICIT)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19" w:type="dxa"/>
            <w:tcBorders/>
            <w:shd w:fill="CCEEFF" w:val="clear"/>
            <w:vAlign w:val="center"/>
          </w:tcPr>
          <w:p>
            <w:pPr>
              <w:pStyle w:val="TableContents"/>
              <w:bidi w:val="0"/>
              <w:spacing w:before="0" w:after="283"/>
              <w:jc w:val="right"/>
              <w:rPr/>
            </w:pPr>
            <w:r>
              <w:rPr/>
              <w:t>933,306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281" w:type="dxa"/>
            <w:tcBorders/>
            <w:shd w:fill="CCEEFF" w:val="clear"/>
            <w:vAlign w:val="center"/>
          </w:tcPr>
          <w:p>
            <w:pPr>
              <w:pStyle w:val="TableContents"/>
              <w:bidi w:val="0"/>
              <w:spacing w:before="0" w:after="283"/>
              <w:jc w:val="right"/>
              <w:rPr/>
            </w:pPr>
            <w:r>
              <w:rPr/>
              <w:t>770,276</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1,119,808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24,219</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Accrued compensation</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75,228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246,720</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Accrued taxes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3,913,668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Deferred revenue, current portion</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2,772,178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1,142,643</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Operating lease liabilities, current portion</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FFFFFF" w:val="clear"/>
            <w:tcMar>
              <w:bottom w:w="28" w:type="dxa"/>
            </w:tcMar>
            <w:vAlign w:val="center"/>
          </w:tcPr>
          <w:p>
            <w:pPr>
              <w:pStyle w:val="TableContents"/>
              <w:bidi w:val="0"/>
              <w:spacing w:before="0" w:after="283"/>
              <w:jc w:val="right"/>
              <w:rPr/>
            </w:pPr>
            <w:r>
              <w:rPr/>
              <w:t>135,976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36,225</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8,950,164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2,220,083</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Long-term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SAFE notes, net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23,334,626</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Deferred revenue, net of current portion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1,570,572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614,126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265,413</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FFFFFF" w:val="clear"/>
            <w:tcMar>
              <w:bottom w:w="28" w:type="dxa"/>
            </w:tcMar>
            <w:vAlign w:val="center"/>
          </w:tcPr>
          <w:p>
            <w:pPr>
              <w:pStyle w:val="TableContents"/>
              <w:bidi w:val="0"/>
              <w:spacing w:before="0" w:after="283"/>
              <w:jc w:val="right"/>
              <w:rPr/>
            </w:pPr>
            <w:r>
              <w:rPr/>
              <w:t>614,126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25,170,611</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9,564,290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27,390,694</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b/>
              </w:rPr>
            </w:pPr>
            <w:r>
              <w:rPr>
                <w:b/>
              </w:rPr>
              <w:t>Shareholders’ equity (deficit)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Common stock, $0.0001 par value; 300,000,000 shares authorized; 27,743,322 and 12,210,718 shares issued and outstanding as of September 30,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2,774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1,221</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56,972,621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438,120</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(59,093,579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(24,733,263</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7105" w:type="dxa"/>
            <w:tcBorders/>
            <w:shd w:fill="FFFFFF" w:val="clear"/>
            <w:vAlign w:val="center"/>
          </w:tcPr>
          <w:p>
            <w:pPr>
              <w:pStyle w:val="TableContents"/>
              <w:bidi w:val="0"/>
              <w:spacing w:before="0" w:after="283"/>
              <w:jc w:val="left"/>
              <w:rPr>
                <w:b/>
              </w:rPr>
            </w:pPr>
            <w:r>
              <w:rPr>
                <w:b/>
              </w:rPr>
              <w:t>Total shareholders’ deficit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FFFFFF" w:val="clear"/>
            <w:tcMar>
              <w:bottom w:w="28" w:type="dxa"/>
            </w:tcMar>
            <w:vAlign w:val="center"/>
          </w:tcPr>
          <w:p>
            <w:pPr>
              <w:pStyle w:val="TableContents"/>
              <w:bidi w:val="0"/>
              <w:spacing w:before="0" w:after="283"/>
              <w:jc w:val="right"/>
              <w:rPr/>
            </w:pPr>
            <w:r>
              <w:rPr/>
              <w:t>(2,118,184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(24,293,922</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7105" w:type="dxa"/>
            <w:tcBorders/>
            <w:shd w:fill="CCEEFF" w:val="clear"/>
            <w:vAlign w:val="center"/>
          </w:tcPr>
          <w:p>
            <w:pPr>
              <w:pStyle w:val="TableContents"/>
              <w:bidi w:val="0"/>
              <w:spacing w:before="0" w:after="283"/>
              <w:jc w:val="left"/>
              <w:rPr>
                <w:b/>
              </w:rPr>
            </w:pPr>
            <w:r>
              <w:rPr>
                <w:b/>
              </w:rPr>
              <w:t>Total liabilities and shareholders’ equity (deficit)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19" w:type="dxa"/>
            <w:tcBorders>
              <w:bottom w:val="double" w:sz="10" w:space="0" w:color="000000"/>
            </w:tcBorders>
            <w:shd w:fill="CCEEFF" w:val="clear"/>
            <w:tcMar>
              <w:bottom w:w="28" w:type="dxa"/>
            </w:tcMar>
            <w:vAlign w:val="center"/>
          </w:tcPr>
          <w:p>
            <w:pPr>
              <w:pStyle w:val="TableContents"/>
              <w:bidi w:val="0"/>
              <w:spacing w:before="0" w:after="283"/>
              <w:jc w:val="right"/>
              <w:rPr/>
            </w:pPr>
            <w:r>
              <w:rPr/>
              <w:t>7,446,106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1" w:type="dxa"/>
            <w:tcBorders>
              <w:bottom w:val="double" w:sz="10" w:space="0" w:color="000000"/>
            </w:tcBorders>
            <w:shd w:fill="CCEEFF" w:val="clear"/>
            <w:tcMar>
              <w:bottom w:w="28" w:type="dxa"/>
            </w:tcMar>
            <w:vAlign w:val="center"/>
          </w:tcPr>
          <w:p>
            <w:pPr>
              <w:pStyle w:val="TableContents"/>
              <w:bidi w:val="0"/>
              <w:spacing w:before="0" w:after="283"/>
              <w:jc w:val="right"/>
              <w:rPr/>
            </w:pPr>
            <w:r>
              <w:rPr/>
              <w:t>3,096,772</w:t>
            </w:r>
          </w:p>
        </w:tc>
        <w:tc>
          <w:tcPr>
            <w:tcW w:w="8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b_003"/>
      <w:bookmarkEnd w:id="26"/>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593" w:type="dxa"/>
        <w:jc w:val="left"/>
        <w:tblInd w:w="0" w:type="dxa"/>
        <w:tblLayout w:type="fixed"/>
        <w:tblCellMar>
          <w:top w:w="0" w:type="dxa"/>
          <w:left w:w="0" w:type="dxa"/>
          <w:bottom w:w="0" w:type="dxa"/>
          <w:right w:w="0" w:type="dxa"/>
        </w:tblCellMar>
      </w:tblPr>
      <w:tblGrid>
        <w:gridCol w:w="3425"/>
        <w:gridCol w:w="60"/>
        <w:gridCol w:w="154"/>
        <w:gridCol w:w="1210"/>
        <w:gridCol w:w="104"/>
        <w:gridCol w:w="66"/>
        <w:gridCol w:w="163"/>
        <w:gridCol w:w="1281"/>
        <w:gridCol w:w="95"/>
        <w:gridCol w:w="60"/>
        <w:gridCol w:w="141"/>
        <w:gridCol w:w="1185"/>
        <w:gridCol w:w="95"/>
        <w:gridCol w:w="60"/>
        <w:gridCol w:w="147"/>
        <w:gridCol w:w="1237"/>
        <w:gridCol w:w="110"/>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nine months ended </w:t>
              <w:br/>
              <w:t>September 30,</w:t>
            </w:r>
          </w:p>
        </w:tc>
        <w:tc>
          <w:tcPr>
            <w:tcW w:w="11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4"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jc w:val="center"/>
              <w:rPr>
                <w:b/>
              </w:rPr>
            </w:pPr>
            <w:r>
              <w:rPr>
                <w:b/>
              </w:rPr>
              <w:t>2024</w:t>
            </w:r>
          </w:p>
          <w:p>
            <w:pPr>
              <w:pStyle w:val="TableContents"/>
              <w:bidi w:val="0"/>
              <w:spacing w:before="0" w:after="283"/>
              <w:jc w:val="center"/>
              <w:rPr>
                <w:b/>
              </w:rPr>
            </w:pPr>
            <w:r>
              <w:rPr>
                <w:b/>
              </w:rPr>
              <w:t>(As Restated)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br/>
              <w:t>(As Restated)</w:t>
            </w:r>
          </w:p>
        </w:tc>
        <w:tc>
          <w:tcPr>
            <w:tcW w:w="11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778,482</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81" w:type="dxa"/>
            <w:tcBorders/>
            <w:shd w:fill="CCEEFF" w:val="clear"/>
            <w:vAlign w:val="center"/>
          </w:tcPr>
          <w:p>
            <w:pPr>
              <w:pStyle w:val="TableContents"/>
              <w:bidi w:val="0"/>
              <w:spacing w:before="0" w:after="283"/>
              <w:jc w:val="right"/>
              <w:rPr/>
            </w:pPr>
            <w:r>
              <w:rPr/>
              <w:t>81,636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1,257,813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183,631</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488,286</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7,997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572,558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FFFFFF" w:val="clear"/>
            <w:tcMar>
              <w:bottom w:w="28" w:type="dxa"/>
            </w:tcMar>
            <w:vAlign w:val="center"/>
          </w:tcPr>
          <w:p>
            <w:pPr>
              <w:pStyle w:val="TableContents"/>
              <w:bidi w:val="0"/>
              <w:spacing w:before="0" w:after="283"/>
              <w:jc w:val="right"/>
              <w:rPr/>
            </w:pPr>
            <w:r>
              <w:rPr/>
              <w:t>18,006</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290,196</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73,639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685,255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CCEEFF" w:val="clear"/>
            <w:tcMar>
              <w:bottom w:w="28" w:type="dxa"/>
            </w:tcMar>
            <w:vAlign w:val="center"/>
          </w:tcPr>
          <w:p>
            <w:pPr>
              <w:pStyle w:val="TableContents"/>
              <w:bidi w:val="0"/>
              <w:spacing w:before="0" w:after="283"/>
              <w:jc w:val="right"/>
              <w:rPr/>
            </w:pPr>
            <w:r>
              <w:rPr/>
              <w:t>165,625</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2,742,753</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506,886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4,184,688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1,064,461</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397,135</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186,678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972,640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459,991</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1,111,895</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638,584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2,564,891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1,763,170</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Acquisition and integration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243,230</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635,459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1,154,857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1,501,261</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11,738</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16,839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4,506,751</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1,967,607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8,893,915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FFFFFF" w:val="clear"/>
            <w:tcMar>
              <w:bottom w:w="28" w:type="dxa"/>
            </w:tcMar>
            <w:vAlign w:val="center"/>
          </w:tcPr>
          <w:p>
            <w:pPr>
              <w:pStyle w:val="TableContents"/>
              <w:bidi w:val="0"/>
              <w:spacing w:before="0" w:after="283"/>
              <w:jc w:val="right"/>
              <w:rPr/>
            </w:pPr>
            <w:r>
              <w:rPr/>
              <w:t>4,788,883</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(4,216,555</w:t>
            </w:r>
          </w:p>
        </w:tc>
        <w:tc>
          <w:tcPr>
            <w:tcW w:w="104"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(1,893,968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(8,208,660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CCEEFF" w:val="clear"/>
            <w:tcMar>
              <w:bottom w:w="28" w:type="dxa"/>
            </w:tcMar>
            <w:vAlign w:val="center"/>
          </w:tcPr>
          <w:p>
            <w:pPr>
              <w:pStyle w:val="TableContents"/>
              <w:bidi w:val="0"/>
              <w:spacing w:before="0" w:after="283"/>
              <w:jc w:val="right"/>
              <w:rPr/>
            </w:pPr>
            <w:r>
              <w:rPr/>
              <w:t>(4,623,258</w:t>
            </w:r>
          </w:p>
        </w:tc>
        <w:tc>
          <w:tcPr>
            <w:tcW w:w="110" w:type="dxa"/>
            <w:tcBorders/>
            <w:shd w:fill="CCEEFF" w:val="clear"/>
            <w:vAlign w:val="center"/>
          </w:tcPr>
          <w:p>
            <w:pPr>
              <w:pStyle w:val="TableContents"/>
              <w:bidi w:val="0"/>
              <w:spacing w:before="0" w:after="283"/>
              <w:jc w:val="left"/>
              <w:rPr/>
            </w:pPr>
            <w:r>
              <w:rPr/>
              <w:t>)</w:t>
            </w:r>
          </w:p>
        </w:tc>
      </w:tr>
      <w:tr>
        <w:trPr/>
        <w:tc>
          <w:tcPr>
            <w:tcW w:w="3425" w:type="dxa"/>
            <w:tcBorders/>
            <w:shd w:fill="FFFFFF" w:val="clear"/>
            <w:vAlign w:val="center"/>
          </w:tcPr>
          <w:p>
            <w:pPr>
              <w:pStyle w:val="TableContents"/>
              <w:bidi w:val="0"/>
              <w:spacing w:before="0" w:after="283"/>
              <w:jc w:val="left"/>
              <w:rPr/>
            </w:pPr>
            <w:r>
              <w:rPr/>
              <w:t>Other expenses: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(328,763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Change in fair value of SAFE notes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(764,446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(17,368,415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(14,227,156</w:t>
            </w:r>
          </w:p>
        </w:tc>
        <w:tc>
          <w:tcPr>
            <w:tcW w:w="110" w:type="dxa"/>
            <w:tcBorders/>
            <w:shd w:fill="FFFFFF" w:val="clear"/>
            <w:vAlign w:val="center"/>
          </w:tcPr>
          <w:p>
            <w:pPr>
              <w:pStyle w:val="TableContents"/>
              <w:bidi w:val="0"/>
              <w:spacing w:before="0" w:after="283"/>
              <w:jc w:val="left"/>
              <w:rPr/>
            </w:pPr>
            <w:r>
              <w:rPr/>
              <w:t>)</w:t>
            </w:r>
          </w:p>
        </w:tc>
      </w:tr>
      <w:tr>
        <w:trPr/>
        <w:tc>
          <w:tcPr>
            <w:tcW w:w="3425" w:type="dxa"/>
            <w:tcBorders/>
            <w:shd w:fill="CCEEFF" w:val="clear"/>
            <w:vAlign w:val="center"/>
          </w:tcPr>
          <w:p>
            <w:pPr>
              <w:pStyle w:val="TableContents"/>
              <w:bidi w:val="0"/>
              <w:spacing w:before="0" w:after="283"/>
              <w:jc w:val="left"/>
              <w:rPr/>
            </w:pPr>
            <w:r>
              <w:rPr/>
              <w:t>Transaction costs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(2,726,183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(5,728,295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Total other expenses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(764,446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(26,151,656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CCEEFF" w:val="clear"/>
            <w:tcMar>
              <w:bottom w:w="28" w:type="dxa"/>
            </w:tcMar>
            <w:vAlign w:val="center"/>
          </w:tcPr>
          <w:p>
            <w:pPr>
              <w:pStyle w:val="TableContents"/>
              <w:bidi w:val="0"/>
              <w:spacing w:before="0" w:after="283"/>
              <w:jc w:val="right"/>
              <w:rPr/>
            </w:pPr>
            <w:r>
              <w:rPr/>
              <w:t>(14,227,156</w:t>
            </w:r>
          </w:p>
        </w:tc>
        <w:tc>
          <w:tcPr>
            <w:tcW w:w="110" w:type="dxa"/>
            <w:tcBorders/>
            <w:shd w:fill="CCEEFF" w:val="clear"/>
            <w:vAlign w:val="center"/>
          </w:tcPr>
          <w:p>
            <w:pPr>
              <w:pStyle w:val="TableContents"/>
              <w:bidi w:val="0"/>
              <w:spacing w:before="0" w:after="283"/>
              <w:jc w:val="left"/>
              <w:rPr/>
            </w:pPr>
            <w:r>
              <w:rPr/>
              <w:t>)</w:t>
            </w:r>
          </w:p>
        </w:tc>
      </w:tr>
      <w:tr>
        <w:trPr/>
        <w:tc>
          <w:tcPr>
            <w:tcW w:w="3425"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(4,216,555</w:t>
            </w:r>
          </w:p>
        </w:tc>
        <w:tc>
          <w:tcPr>
            <w:tcW w:w="104"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(2,658,414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(34,360,316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FFFFFF" w:val="clear"/>
            <w:tcMar>
              <w:bottom w:w="28" w:type="dxa"/>
            </w:tcMar>
            <w:vAlign w:val="center"/>
          </w:tcPr>
          <w:p>
            <w:pPr>
              <w:pStyle w:val="TableContents"/>
              <w:bidi w:val="0"/>
              <w:spacing w:before="0" w:after="283"/>
              <w:jc w:val="right"/>
              <w:rPr/>
            </w:pPr>
            <w:r>
              <w:rPr/>
              <w:t>(18,850,414</w:t>
            </w:r>
          </w:p>
        </w:tc>
        <w:tc>
          <w:tcPr>
            <w:tcW w:w="110" w:type="dxa"/>
            <w:tcBorders/>
            <w:shd w:fill="FFFFFF" w:val="clear"/>
            <w:vAlign w:val="center"/>
          </w:tcPr>
          <w:p>
            <w:pPr>
              <w:pStyle w:val="TableContents"/>
              <w:bidi w:val="0"/>
              <w:spacing w:before="0" w:after="283"/>
              <w:jc w:val="left"/>
              <w:rPr/>
            </w:pPr>
            <w:r>
              <w:rPr/>
              <w:t>)</w:t>
            </w:r>
          </w:p>
        </w:tc>
      </w:tr>
      <w:tr>
        <w:trPr/>
        <w:tc>
          <w:tcPr>
            <w:tcW w:w="3425"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double" w:sz="10" w:space="0" w:color="000000"/>
            </w:tcBorders>
            <w:shd w:fill="FFFFFF" w:val="clear"/>
            <w:tcMar>
              <w:bottom w:w="28" w:type="dxa"/>
            </w:tcMar>
            <w:vAlign w:val="center"/>
          </w:tcPr>
          <w:p>
            <w:pPr>
              <w:pStyle w:val="TableContents"/>
              <w:bidi w:val="0"/>
              <w:spacing w:before="0" w:after="283"/>
              <w:jc w:val="right"/>
              <w:rPr/>
            </w:pPr>
            <w:r>
              <w:rPr/>
              <w:t>(4,216,555</w:t>
            </w:r>
          </w:p>
        </w:tc>
        <w:tc>
          <w:tcPr>
            <w:tcW w:w="104"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81" w:type="dxa"/>
            <w:tcBorders>
              <w:bottom w:val="double" w:sz="10" w:space="0" w:color="000000"/>
            </w:tcBorders>
            <w:shd w:fill="FFFFFF" w:val="clear"/>
            <w:tcMar>
              <w:bottom w:w="28" w:type="dxa"/>
            </w:tcMar>
            <w:vAlign w:val="center"/>
          </w:tcPr>
          <w:p>
            <w:pPr>
              <w:pStyle w:val="TableContents"/>
              <w:bidi w:val="0"/>
              <w:spacing w:before="0" w:after="283"/>
              <w:jc w:val="right"/>
              <w:rPr/>
            </w:pPr>
            <w:r>
              <w:rPr/>
              <w:t>(2,658,414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FFFFFF" w:val="clear"/>
            <w:tcMar>
              <w:bottom w:w="28" w:type="dxa"/>
            </w:tcMar>
            <w:vAlign w:val="center"/>
          </w:tcPr>
          <w:p>
            <w:pPr>
              <w:pStyle w:val="TableContents"/>
              <w:bidi w:val="0"/>
              <w:spacing w:before="0" w:after="283"/>
              <w:jc w:val="right"/>
              <w:rPr/>
            </w:pPr>
            <w:r>
              <w:rPr/>
              <w:t>(34,360,316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shd w:fill="FFFFFF" w:val="clear"/>
            <w:tcMar>
              <w:bottom w:w="28" w:type="dxa"/>
            </w:tcMar>
            <w:vAlign w:val="center"/>
          </w:tcPr>
          <w:p>
            <w:pPr>
              <w:pStyle w:val="TableContents"/>
              <w:bidi w:val="0"/>
              <w:spacing w:before="0" w:after="283"/>
              <w:jc w:val="right"/>
              <w:rPr/>
            </w:pPr>
            <w:r>
              <w:rPr/>
              <w:t>(18,850,414</w:t>
            </w:r>
          </w:p>
        </w:tc>
        <w:tc>
          <w:tcPr>
            <w:tcW w:w="110" w:type="dxa"/>
            <w:tcBorders/>
            <w:shd w:fill="FFFFFF" w:val="clear"/>
            <w:vAlign w:val="center"/>
          </w:tcPr>
          <w:p>
            <w:pPr>
              <w:pStyle w:val="TableContents"/>
              <w:bidi w:val="0"/>
              <w:spacing w:before="0" w:after="283"/>
              <w:jc w:val="left"/>
              <w:rPr/>
            </w:pPr>
            <w:r>
              <w:rPr/>
              <w:t>)</w:t>
            </w:r>
          </w:p>
        </w:tc>
      </w:tr>
      <w:tr>
        <w:trPr/>
        <w:tc>
          <w:tcPr>
            <w:tcW w:w="3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Net loss per share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(0.15</w:t>
            </w:r>
          </w:p>
        </w:tc>
        <w:tc>
          <w:tcPr>
            <w:tcW w:w="104"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81" w:type="dxa"/>
            <w:tcBorders/>
            <w:shd w:fill="CCEEFF" w:val="clear"/>
            <w:vAlign w:val="center"/>
          </w:tcPr>
          <w:p>
            <w:pPr>
              <w:pStyle w:val="TableContents"/>
              <w:bidi w:val="0"/>
              <w:spacing w:before="0" w:after="283"/>
              <w:jc w:val="right"/>
              <w:rPr/>
            </w:pPr>
            <w:r>
              <w:rPr/>
              <w:t>(0.22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(1.89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(1.56</w:t>
            </w:r>
          </w:p>
        </w:tc>
        <w:tc>
          <w:tcPr>
            <w:tcW w:w="110" w:type="dxa"/>
            <w:tcBorders/>
            <w:shd w:fill="CCEEFF" w:val="clear"/>
            <w:vAlign w:val="center"/>
          </w:tcPr>
          <w:p>
            <w:pPr>
              <w:pStyle w:val="TableContents"/>
              <w:bidi w:val="0"/>
              <w:spacing w:before="0" w:after="283"/>
              <w:jc w:val="left"/>
              <w:rPr/>
            </w:pPr>
            <w:r>
              <w:rPr/>
              <w:t>)</w:t>
            </w:r>
          </w:p>
        </w:tc>
      </w:tr>
      <w:tr>
        <w:trPr/>
        <w:tc>
          <w:tcPr>
            <w:tcW w:w="3425" w:type="dxa"/>
            <w:tcBorders/>
            <w:shd w:fill="FFFFFF" w:val="clear"/>
            <w:vAlign w:val="center"/>
          </w:tcPr>
          <w:p>
            <w:pPr>
              <w:pStyle w:val="TableContents"/>
              <w:bidi w:val="0"/>
              <w:spacing w:before="0" w:after="283"/>
              <w:jc w:val="left"/>
              <w:rPr/>
            </w:pPr>
            <w:r>
              <w:rPr/>
              <w:t>Weighted average number of shares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27,645,033</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12,210,718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18,146,608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12,095,288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b_004"/>
      <w:bookmarkEnd w:id="27"/>
      <w:r>
        <w:rPr>
          <w:rFonts w:ascii="Times New Roman;Times;Serif" w:hAnsi="Times New Roman;Times;Serif"/>
          <w:b/>
          <w:i w:val="false"/>
          <w:caps w:val="false"/>
          <w:smallCaps w:val="false"/>
          <w:sz w:val="20"/>
        </w:rPr>
        <w:t>CONDENSED CONSOLIDATED STATEMENTS OF SHAREHOLDERS’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9"/>
        <w:gridCol w:w="60"/>
        <w:gridCol w:w="122"/>
        <w:gridCol w:w="624"/>
        <w:gridCol w:w="66"/>
        <w:gridCol w:w="66"/>
        <w:gridCol w:w="285"/>
        <w:gridCol w:w="600"/>
        <w:gridCol w:w="60"/>
        <w:gridCol w:w="60"/>
        <w:gridCol w:w="60"/>
        <w:gridCol w:w="1100"/>
        <w:gridCol w:w="60"/>
        <w:gridCol w:w="60"/>
        <w:gridCol w:w="172"/>
        <w:gridCol w:w="688"/>
        <w:gridCol w:w="60"/>
        <w:gridCol w:w="60"/>
        <w:gridCol w:w="140"/>
        <w:gridCol w:w="1100"/>
        <w:gridCol w:w="60"/>
        <w:gridCol w:w="60"/>
        <w:gridCol w:w="145"/>
        <w:gridCol w:w="1225"/>
        <w:gridCol w:w="95"/>
        <w:gridCol w:w="60"/>
        <w:gridCol w:w="169"/>
        <w:gridCol w:w="1276"/>
        <w:gridCol w:w="113"/>
      </w:tblGrid>
      <w:tr>
        <w:trPr/>
        <w:tc>
          <w:tcPr>
            <w:tcW w:w="1559" w:type="dxa"/>
            <w:tcBorders/>
            <w:vAlign w:val="center"/>
          </w:tcPr>
          <w:p>
            <w:pPr>
              <w:pStyle w:val="TableContents"/>
              <w:bidi w:val="0"/>
              <w:spacing w:before="0" w:after="283"/>
              <w:jc w:val="left"/>
              <w:rPr>
                <w:b/>
              </w:rPr>
            </w:pPr>
            <w:r>
              <w:rPr>
                <w:b/>
              </w:rPr>
              <w:t>Three months ended</w:t>
            </w:r>
          </w:p>
        </w:tc>
        <w:tc>
          <w:tcPr>
            <w:tcW w:w="60" w:type="dxa"/>
            <w:tcBorders/>
            <w:vAlign w:val="center"/>
          </w:tcPr>
          <w:p>
            <w:pPr>
              <w:pStyle w:val="TableContents"/>
              <w:bidi w:val="0"/>
              <w:spacing w:before="0" w:after="283"/>
              <w:jc w:val="left"/>
              <w:rPr/>
            </w:pPr>
            <w:r>
              <w:rPr/>
              <w:t> </w:t>
            </w:r>
          </w:p>
        </w:tc>
        <w:tc>
          <w:tcPr>
            <w:tcW w:w="176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Legacy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 xml:space="preserve">Total </w:t>
              <w:br/>
              <w:t>Shareholders’</w:t>
              <w:br/>
              <w:t>Equity</w:t>
            </w:r>
          </w:p>
        </w:tc>
        <w:tc>
          <w:tcPr>
            <w:tcW w:w="113" w:type="dxa"/>
            <w:tcBorders/>
            <w:vAlign w:val="center"/>
          </w:tcPr>
          <w:p>
            <w:pPr>
              <w:pStyle w:val="TableContents"/>
              <w:bidi w:val="0"/>
              <w:spacing w:before="0" w:after="283"/>
              <w:jc w:val="left"/>
              <w:rPr/>
            </w:pPr>
            <w:r>
              <w:rPr/>
              <w:t> </w:t>
            </w:r>
          </w:p>
        </w:tc>
      </w:tr>
      <w:tr>
        <w:trPr/>
        <w:tc>
          <w:tcPr>
            <w:tcW w:w="1559" w:type="dxa"/>
            <w:tcBorders>
              <w:bottom w:val="single" w:sz="12" w:space="0" w:color="000000"/>
            </w:tcBorders>
            <w:tcMar>
              <w:bottom w:w="28" w:type="dxa"/>
            </w:tcMar>
            <w:vAlign w:val="center"/>
          </w:tcPr>
          <w:p>
            <w:pPr>
              <w:pStyle w:val="TableContents"/>
              <w:bidi w:val="0"/>
              <w:spacing w:before="0" w:after="283"/>
              <w:jc w:val="left"/>
              <w:rPr>
                <w:b/>
              </w:rPr>
            </w:pPr>
            <w:r>
              <w:rPr>
                <w:b/>
              </w:rPr>
              <w:t>September 30, 2025</w:t>
            </w:r>
          </w:p>
        </w:tc>
        <w:tc>
          <w:tcPr>
            <w:tcW w:w="60" w:type="dxa"/>
            <w:tcBorders/>
            <w:vAlign w:val="center"/>
          </w:tcPr>
          <w:p>
            <w:pPr>
              <w:pStyle w:val="TableContents"/>
              <w:bidi w:val="0"/>
              <w:spacing w:before="0" w:after="283"/>
              <w:jc w:val="left"/>
              <w:rPr/>
            </w:pPr>
            <w:r>
              <w:rPr/>
              <w:t> </w:t>
            </w:r>
          </w:p>
        </w:tc>
        <w:tc>
          <w:tcPr>
            <w:tcW w:w="7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3" w:type="dxa"/>
            <w:tcBorders/>
            <w:vAlign w:val="center"/>
          </w:tcPr>
          <w:p>
            <w:pPr>
              <w:pStyle w:val="TableContents"/>
              <w:bidi w:val="0"/>
              <w:spacing w:before="0" w:after="283"/>
              <w:ind w:left="0" w:right="0" w:hanging="180"/>
              <w:jc w:val="left"/>
              <w:rPr/>
            </w:pPr>
            <w:r>
              <w:rPr/>
              <w:t> </w:t>
            </w:r>
          </w:p>
        </w:tc>
      </w:tr>
      <w:tr>
        <w:trPr/>
        <w:tc>
          <w:tcPr>
            <w:tcW w:w="1559" w:type="dxa"/>
            <w:tcBorders/>
            <w:shd w:fill="CCEEFF" w:val="clear"/>
            <w:vAlign w:val="center"/>
          </w:tcPr>
          <w:p>
            <w:pPr>
              <w:pStyle w:val="TableContents"/>
              <w:bidi w:val="0"/>
              <w:spacing w:before="0" w:after="283"/>
              <w:jc w:val="left"/>
              <w:rPr/>
            </w:pPr>
            <w:r>
              <w:rPr/>
              <w:t>Balances as of June 30, 2025</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27,636,939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2,764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56,613,511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(54,877,024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1276" w:type="dxa"/>
            <w:tcBorders/>
            <w:shd w:fill="CCEEFF" w:val="clear"/>
            <w:vAlign w:val="center"/>
          </w:tcPr>
          <w:p>
            <w:pPr>
              <w:pStyle w:val="TableContents"/>
              <w:bidi w:val="0"/>
              <w:spacing w:before="0" w:after="283"/>
              <w:jc w:val="right"/>
              <w:rPr/>
            </w:pPr>
            <w:r>
              <w:rPr/>
              <w:t>1,739,251</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1559"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9,120</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1559" w:type="dxa"/>
            <w:tcBorders/>
            <w:shd w:fill="CCEEFF" w:val="clear"/>
            <w:vAlign w:val="center"/>
          </w:tcPr>
          <w:p>
            <w:pPr>
              <w:pStyle w:val="TableContents"/>
              <w:bidi w:val="0"/>
              <w:spacing w:before="0" w:after="283"/>
              <w:jc w:val="left"/>
              <w:rPr/>
            </w:pPr>
            <w:r>
              <w:rPr/>
              <w:t>Share purchase commitment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349,990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350,000</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1559"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(4,216,555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FFFFFF" w:val="clear"/>
            <w:tcMar>
              <w:bottom w:w="28" w:type="dxa"/>
            </w:tcMar>
            <w:vAlign w:val="center"/>
          </w:tcPr>
          <w:p>
            <w:pPr>
              <w:pStyle w:val="TableContents"/>
              <w:bidi w:val="0"/>
              <w:spacing w:before="0" w:after="283"/>
              <w:jc w:val="right"/>
              <w:rPr/>
            </w:pPr>
            <w:r>
              <w:rPr/>
              <w:t>(4,216,555</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1559" w:type="dxa"/>
            <w:tcBorders/>
            <w:shd w:fill="CCEEFF" w:val="clear"/>
            <w:vAlign w:val="center"/>
          </w:tcPr>
          <w:p>
            <w:pPr>
              <w:pStyle w:val="TableContents"/>
              <w:bidi w:val="0"/>
              <w:spacing w:before="0" w:after="283"/>
              <w:jc w:val="left"/>
              <w:rPr/>
            </w:pPr>
            <w:r>
              <w:rPr/>
              <w:t>Balances as of September 30, 2025</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2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27,743,322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shd w:fill="CCEEFF" w:val="clear"/>
            <w:tcMar>
              <w:bottom w:w="28" w:type="dxa"/>
            </w:tcMar>
            <w:vAlign w:val="center"/>
          </w:tcPr>
          <w:p>
            <w:pPr>
              <w:pStyle w:val="TableContents"/>
              <w:bidi w:val="0"/>
              <w:spacing w:before="0" w:after="283"/>
              <w:jc w:val="right"/>
              <w:rPr/>
            </w:pPr>
            <w:r>
              <w:rPr/>
              <w:t>2,774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56,972,621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pPr>
            <w:r>
              <w:rPr/>
              <w:t>(59,093,579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6" w:type="dxa"/>
            <w:tcBorders>
              <w:bottom w:val="double" w:sz="10" w:space="0" w:color="000000"/>
            </w:tcBorders>
            <w:shd w:fill="CCEEFF" w:val="clear"/>
            <w:tcMar>
              <w:bottom w:w="28" w:type="dxa"/>
            </w:tcMar>
            <w:vAlign w:val="center"/>
          </w:tcPr>
          <w:p>
            <w:pPr>
              <w:pStyle w:val="TableContents"/>
              <w:bidi w:val="0"/>
              <w:spacing w:before="0" w:after="283"/>
              <w:jc w:val="right"/>
              <w:rPr/>
            </w:pPr>
            <w:r>
              <w:rPr/>
              <w:t>(2,118,184</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10760" w:type="dxa"/>
        <w:jc w:val="left"/>
        <w:tblInd w:w="0" w:type="dxa"/>
        <w:tblLayout w:type="fixed"/>
        <w:tblCellMar>
          <w:top w:w="0" w:type="dxa"/>
          <w:left w:w="0" w:type="dxa"/>
          <w:bottom w:w="0" w:type="dxa"/>
          <w:right w:w="0" w:type="dxa"/>
        </w:tblCellMar>
      </w:tblPr>
      <w:tblGrid>
        <w:gridCol w:w="1460"/>
        <w:gridCol w:w="60"/>
        <w:gridCol w:w="60"/>
        <w:gridCol w:w="1295"/>
        <w:gridCol w:w="95"/>
        <w:gridCol w:w="60"/>
        <w:gridCol w:w="140"/>
        <w:gridCol w:w="875"/>
        <w:gridCol w:w="95"/>
        <w:gridCol w:w="60"/>
        <w:gridCol w:w="60"/>
        <w:gridCol w:w="1100"/>
        <w:gridCol w:w="60"/>
        <w:gridCol w:w="60"/>
        <w:gridCol w:w="172"/>
        <w:gridCol w:w="688"/>
        <w:gridCol w:w="60"/>
        <w:gridCol w:w="60"/>
        <w:gridCol w:w="163"/>
        <w:gridCol w:w="937"/>
        <w:gridCol w:w="60"/>
        <w:gridCol w:w="60"/>
        <w:gridCol w:w="145"/>
        <w:gridCol w:w="1225"/>
        <w:gridCol w:w="95"/>
        <w:gridCol w:w="60"/>
        <w:gridCol w:w="153"/>
        <w:gridCol w:w="1292"/>
        <w:gridCol w:w="110"/>
      </w:tblGrid>
      <w:tr>
        <w:trPr/>
        <w:tc>
          <w:tcPr>
            <w:tcW w:w="1460" w:type="dxa"/>
            <w:tcBorders/>
            <w:vAlign w:val="center"/>
          </w:tcPr>
          <w:p>
            <w:pPr>
              <w:pStyle w:val="TableContents"/>
              <w:bidi w:val="0"/>
              <w:spacing w:before="0" w:after="283"/>
              <w:jc w:val="left"/>
              <w:rPr>
                <w:b/>
              </w:rPr>
            </w:pPr>
            <w:r>
              <w:rPr>
                <w:b/>
              </w:rPr>
              <w:t>Three months ended</w:t>
            </w:r>
          </w:p>
        </w:tc>
        <w:tc>
          <w:tcPr>
            <w:tcW w:w="60" w:type="dxa"/>
            <w:tcBorders/>
            <w:vAlign w:val="center"/>
          </w:tcPr>
          <w:p>
            <w:pPr>
              <w:pStyle w:val="TableContents"/>
              <w:bidi w:val="0"/>
              <w:spacing w:before="0" w:after="283"/>
              <w:jc w:val="left"/>
              <w:rPr/>
            </w:pPr>
            <w:r>
              <w:rPr/>
              <w:t> </w:t>
            </w:r>
          </w:p>
        </w:tc>
        <w:tc>
          <w:tcPr>
            <w:tcW w:w="25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Legacy Common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 xml:space="preserve">Additional </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 xml:space="preserve">Total </w:t>
              <w:br/>
              <w:t>Shareholders’</w:t>
              <w:br/>
              <w:t>Equity</w:t>
            </w:r>
          </w:p>
        </w:tc>
        <w:tc>
          <w:tcPr>
            <w:tcW w:w="110" w:type="dxa"/>
            <w:tcBorders/>
            <w:vAlign w:val="center"/>
          </w:tcPr>
          <w:p>
            <w:pPr>
              <w:pStyle w:val="TableContents"/>
              <w:bidi w:val="0"/>
              <w:spacing w:before="0" w:after="283"/>
              <w:jc w:val="left"/>
              <w:rPr/>
            </w:pPr>
            <w:r>
              <w:rPr/>
              <w:t> </w:t>
            </w:r>
          </w:p>
        </w:tc>
      </w:tr>
      <w:tr>
        <w:trPr/>
        <w:tc>
          <w:tcPr>
            <w:tcW w:w="1460" w:type="dxa"/>
            <w:tcBorders>
              <w:bottom w:val="single" w:sz="12" w:space="0" w:color="000000"/>
            </w:tcBorders>
            <w:tcMar>
              <w:bottom w:w="28" w:type="dxa"/>
            </w:tcMar>
            <w:vAlign w:val="center"/>
          </w:tcPr>
          <w:p>
            <w:pPr>
              <w:pStyle w:val="TableContents"/>
              <w:bidi w:val="0"/>
              <w:spacing w:before="0" w:after="283"/>
              <w:jc w:val="left"/>
              <w:rPr>
                <w:b/>
              </w:rPr>
            </w:pPr>
            <w:r>
              <w:rPr>
                <w:b/>
              </w:rPr>
              <w:t>September 30, 2024</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Balances as of June 30, 2024 (as restated)</w:t>
            </w:r>
          </w:p>
        </w:tc>
        <w:tc>
          <w:tcPr>
            <w:tcW w:w="60" w:type="dxa"/>
            <w:tcBorders/>
            <w:shd w:fill="CCEEFF" w:val="clear"/>
            <w:vAlign w:val="center"/>
          </w:tcPr>
          <w:p>
            <w:pPr>
              <w:pStyle w:val="TableContents"/>
              <w:bidi w:val="0"/>
              <w:spacing w:before="0" w:after="283"/>
              <w:jc w:val="left"/>
              <w:rPr/>
            </w:pPr>
            <w:r>
              <w:rPr/>
              <w:t> </w:t>
            </w:r>
          </w:p>
        </w:tc>
        <w:tc>
          <w:tcPr>
            <w:tcW w:w="1355" w:type="dxa"/>
            <w:gridSpan w:val="2"/>
            <w:tcBorders/>
            <w:shd w:fill="CCEEFF" w:val="clear"/>
            <w:vAlign w:val="center"/>
          </w:tcPr>
          <w:p>
            <w:pPr>
              <w:pStyle w:val="TableContents"/>
              <w:bidi w:val="0"/>
              <w:spacing w:before="0" w:after="283"/>
              <w:jc w:val="right"/>
              <w:rPr/>
            </w:pPr>
            <w:r>
              <w:rPr/>
              <w:t>108,975,000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w:t>
            </w:r>
          </w:p>
        </w:tc>
        <w:tc>
          <w:tcPr>
            <w:tcW w:w="875" w:type="dxa"/>
            <w:tcBorders/>
            <w:shd w:fill="CCEEFF" w:val="clear"/>
            <w:vAlign w:val="center"/>
          </w:tcPr>
          <w:p>
            <w:pPr>
              <w:pStyle w:val="TableContents"/>
              <w:bidi w:val="0"/>
              <w:spacing w:before="0" w:after="283"/>
              <w:jc w:val="right"/>
              <w:rPr/>
            </w:pPr>
            <w:r>
              <w:rPr/>
              <w:t>108,975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gridSpan w:val="2"/>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right"/>
              <w:rPr/>
            </w:pPr>
            <w:r>
              <w:rPr/>
              <w:t>$</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right"/>
              <w:rPr/>
            </w:pPr>
            <w:r>
              <w:rPr/>
              <w:t>$</w:t>
            </w:r>
          </w:p>
        </w:tc>
        <w:tc>
          <w:tcPr>
            <w:tcW w:w="937" w:type="dxa"/>
            <w:tcBorders/>
            <w:shd w:fill="CCEEFF" w:val="clear"/>
            <w:vAlign w:val="center"/>
          </w:tcPr>
          <w:p>
            <w:pPr>
              <w:pStyle w:val="TableContents"/>
              <w:bidi w:val="0"/>
              <w:spacing w:before="0" w:after="283"/>
              <w:jc w:val="right"/>
              <w:rPr/>
            </w:pPr>
            <w:r>
              <w:rPr/>
              <w:t>305,828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right"/>
              <w:rPr/>
            </w:pPr>
            <w:r>
              <w:rPr/>
              <w:t>$</w:t>
            </w:r>
          </w:p>
        </w:tc>
        <w:tc>
          <w:tcPr>
            <w:tcW w:w="1225" w:type="dxa"/>
            <w:tcBorders/>
            <w:shd w:fill="CCEEFF" w:val="clear"/>
            <w:vAlign w:val="center"/>
          </w:tcPr>
          <w:p>
            <w:pPr>
              <w:pStyle w:val="TableContents"/>
              <w:bidi w:val="0"/>
              <w:spacing w:before="0" w:after="283"/>
              <w:jc w:val="right"/>
              <w:rPr/>
            </w:pPr>
            <w:r>
              <w:rPr/>
              <w:t>(19,387,833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right"/>
              <w:rPr/>
            </w:pPr>
            <w:r>
              <w:rPr/>
              <w:t>$</w:t>
            </w:r>
          </w:p>
        </w:tc>
        <w:tc>
          <w:tcPr>
            <w:tcW w:w="1292" w:type="dxa"/>
            <w:tcBorders/>
            <w:shd w:fill="CCEEFF" w:val="clear"/>
            <w:vAlign w:val="center"/>
          </w:tcPr>
          <w:p>
            <w:pPr>
              <w:pStyle w:val="TableContents"/>
              <w:bidi w:val="0"/>
              <w:spacing w:before="0" w:after="283"/>
              <w:jc w:val="right"/>
              <w:rPr/>
            </w:pPr>
            <w:r>
              <w:rPr/>
              <w:t>(18,973,030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pPr>
            <w:r>
              <w:rPr/>
              <w:t>Retroactive application of recapitalization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(108,975,000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(108,975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12,210,718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1,221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107,754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Balances as of June 30, 2024, adjusted</w:t>
              <w:br/>
              <w:t>(as restated)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12,210,718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1,221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413,582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(19,387,833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shd w:fill="CCEEFF" w:val="clear"/>
            <w:tcMar>
              <w:bottom w:w="28" w:type="dxa"/>
            </w:tcMar>
            <w:vAlign w:val="center"/>
          </w:tcPr>
          <w:p>
            <w:pPr>
              <w:pStyle w:val="TableContents"/>
              <w:bidi w:val="0"/>
              <w:spacing w:before="0" w:after="283"/>
              <w:jc w:val="right"/>
              <w:rPr/>
            </w:pPr>
            <w:r>
              <w:rPr/>
              <w:t>(18,973,030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14,533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14,533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(2,658,414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shd w:fill="CCEEFF" w:val="clear"/>
            <w:tcMar>
              <w:bottom w:w="28" w:type="dxa"/>
            </w:tcMar>
            <w:vAlign w:val="center"/>
          </w:tcPr>
          <w:p>
            <w:pPr>
              <w:pStyle w:val="TableContents"/>
              <w:bidi w:val="0"/>
              <w:spacing w:before="0" w:after="283"/>
              <w:jc w:val="right"/>
              <w:rPr/>
            </w:pPr>
            <w:r>
              <w:rPr/>
              <w:t>(2,658,414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pPr>
            <w:r>
              <w:rPr/>
              <w:t>Balances as of 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12,210,718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pPr>
            <w:r>
              <w:rPr/>
              <w:t>1,221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pPr>
            <w:r>
              <w:rPr/>
              <w:t>428,115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pPr>
            <w:r>
              <w:rPr/>
              <w:t>(22,046,247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2" w:type="dxa"/>
            <w:tcBorders>
              <w:bottom w:val="double" w:sz="10" w:space="0" w:color="000000"/>
            </w:tcBorders>
            <w:shd w:fill="FFFFFF" w:val="clear"/>
            <w:tcMar>
              <w:bottom w:w="28" w:type="dxa"/>
            </w:tcMar>
            <w:vAlign w:val="center"/>
          </w:tcPr>
          <w:p>
            <w:pPr>
              <w:pStyle w:val="TableContents"/>
              <w:bidi w:val="0"/>
              <w:spacing w:before="0" w:after="283"/>
              <w:jc w:val="right"/>
              <w:rPr/>
            </w:pPr>
            <w:r>
              <w:rPr/>
              <w:t>(21,616,911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10900" w:type="dxa"/>
        <w:jc w:val="left"/>
        <w:tblInd w:w="0" w:type="dxa"/>
        <w:tblLayout w:type="fixed"/>
        <w:tblCellMar>
          <w:top w:w="0" w:type="dxa"/>
          <w:left w:w="0" w:type="dxa"/>
          <w:bottom w:w="0" w:type="dxa"/>
          <w:right w:w="0" w:type="dxa"/>
        </w:tblCellMar>
      </w:tblPr>
      <w:tblGrid>
        <w:gridCol w:w="1460"/>
        <w:gridCol w:w="60"/>
        <w:gridCol w:w="60"/>
        <w:gridCol w:w="1295"/>
        <w:gridCol w:w="95"/>
        <w:gridCol w:w="60"/>
        <w:gridCol w:w="140"/>
        <w:gridCol w:w="875"/>
        <w:gridCol w:w="95"/>
        <w:gridCol w:w="60"/>
        <w:gridCol w:w="60"/>
        <w:gridCol w:w="1100"/>
        <w:gridCol w:w="60"/>
        <w:gridCol w:w="60"/>
        <w:gridCol w:w="172"/>
        <w:gridCol w:w="688"/>
        <w:gridCol w:w="60"/>
        <w:gridCol w:w="60"/>
        <w:gridCol w:w="140"/>
        <w:gridCol w:w="1100"/>
        <w:gridCol w:w="60"/>
        <w:gridCol w:w="60"/>
        <w:gridCol w:w="145"/>
        <w:gridCol w:w="1225"/>
        <w:gridCol w:w="95"/>
        <w:gridCol w:w="60"/>
        <w:gridCol w:w="153"/>
        <w:gridCol w:w="1292"/>
        <w:gridCol w:w="110"/>
      </w:tblGrid>
      <w:tr>
        <w:trPr/>
        <w:tc>
          <w:tcPr>
            <w:tcW w:w="1460" w:type="dxa"/>
            <w:tcBorders/>
            <w:vAlign w:val="center"/>
          </w:tcPr>
          <w:p>
            <w:pPr>
              <w:pStyle w:val="TableContents"/>
              <w:bidi w:val="0"/>
              <w:spacing w:before="0" w:after="283"/>
              <w:jc w:val="left"/>
              <w:rPr>
                <w:b/>
              </w:rPr>
            </w:pPr>
            <w:r>
              <w:rPr>
                <w:b/>
              </w:rPr>
              <w:t>Nine months ended</w:t>
            </w:r>
          </w:p>
        </w:tc>
        <w:tc>
          <w:tcPr>
            <w:tcW w:w="60" w:type="dxa"/>
            <w:tcBorders/>
            <w:vAlign w:val="center"/>
          </w:tcPr>
          <w:p>
            <w:pPr>
              <w:pStyle w:val="TableContents"/>
              <w:bidi w:val="0"/>
              <w:spacing w:before="0" w:after="283"/>
              <w:jc w:val="left"/>
              <w:rPr/>
            </w:pPr>
            <w:r>
              <w:rPr/>
              <w:t> </w:t>
            </w:r>
          </w:p>
        </w:tc>
        <w:tc>
          <w:tcPr>
            <w:tcW w:w="25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Legacy Common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 xml:space="preserve">Additional </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Total</w:t>
              <w:br/>
              <w:t>Shareholders’</w:t>
              <w:br/>
              <w:t>Equity</w:t>
            </w:r>
          </w:p>
        </w:tc>
        <w:tc>
          <w:tcPr>
            <w:tcW w:w="110" w:type="dxa"/>
            <w:tcBorders/>
            <w:vAlign w:val="center"/>
          </w:tcPr>
          <w:p>
            <w:pPr>
              <w:pStyle w:val="TableContents"/>
              <w:bidi w:val="0"/>
              <w:spacing w:before="0" w:after="283"/>
              <w:jc w:val="left"/>
              <w:rPr/>
            </w:pPr>
            <w:r>
              <w:rPr/>
              <w:t> </w:t>
            </w:r>
          </w:p>
        </w:tc>
      </w:tr>
      <w:tr>
        <w:trPr/>
        <w:tc>
          <w:tcPr>
            <w:tcW w:w="1460" w:type="dxa"/>
            <w:tcBorders>
              <w:bottom w:val="single" w:sz="12" w:space="0" w:color="000000"/>
            </w:tcBorders>
            <w:tcMar>
              <w:bottom w:w="28" w:type="dxa"/>
            </w:tcMar>
            <w:vAlign w:val="center"/>
          </w:tcPr>
          <w:p>
            <w:pPr>
              <w:pStyle w:val="TableContents"/>
              <w:bidi w:val="0"/>
              <w:spacing w:before="0" w:after="283"/>
              <w:jc w:val="left"/>
              <w:rPr>
                <w:b/>
              </w:rPr>
            </w:pPr>
            <w:r>
              <w:rPr>
                <w:b/>
              </w:rPr>
              <w:t>September 30, 2025</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Balances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108,975,000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108,975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330,366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(24,733,263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(24,293,922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pPr>
            <w:r>
              <w:rPr/>
              <w:t>Retroactive application of recapitalization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(108,975,000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(108,975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12,210,718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1,221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107,754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Balances as of December 31, 2024, adjusted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12,210,718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1,221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438,120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(24,733,263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shd w:fill="CCEEFF" w:val="clear"/>
            <w:tcMar>
              <w:bottom w:w="28" w:type="dxa"/>
            </w:tcMar>
            <w:vAlign w:val="center"/>
          </w:tcPr>
          <w:p>
            <w:pPr>
              <w:pStyle w:val="TableContents"/>
              <w:bidi w:val="0"/>
              <w:spacing w:before="0" w:after="283"/>
              <w:jc w:val="right"/>
              <w:rPr/>
            </w:pPr>
            <w:r>
              <w:rPr/>
              <w:t>(24,293,922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28,862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Reverse recapitalization transactions,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15,426,221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56,155,649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56,157,192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Share purchase commitment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106,383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349,990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350,000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(34,360,316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shd w:fill="CCEEFF" w:val="clear"/>
            <w:tcMar>
              <w:bottom w:w="28" w:type="dxa"/>
            </w:tcMar>
            <w:vAlign w:val="center"/>
          </w:tcPr>
          <w:p>
            <w:pPr>
              <w:pStyle w:val="TableContents"/>
              <w:bidi w:val="0"/>
              <w:spacing w:before="0" w:after="283"/>
              <w:jc w:val="right"/>
              <w:rPr/>
            </w:pPr>
            <w:r>
              <w:rPr/>
              <w:t>(34,360,316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pPr>
            <w:r>
              <w:rPr/>
              <w:t>Balances as of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27,743,322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pPr>
            <w:r>
              <w:rPr/>
              <w:t>2,774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56,972,621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pPr>
            <w:r>
              <w:rPr/>
              <w:t>(59,093,579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2" w:type="dxa"/>
            <w:tcBorders>
              <w:bottom w:val="double" w:sz="10" w:space="0" w:color="000000"/>
            </w:tcBorders>
            <w:shd w:fill="FFFFFF" w:val="clear"/>
            <w:tcMar>
              <w:bottom w:w="28" w:type="dxa"/>
            </w:tcMar>
            <w:vAlign w:val="center"/>
          </w:tcPr>
          <w:p>
            <w:pPr>
              <w:pStyle w:val="TableContents"/>
              <w:bidi w:val="0"/>
              <w:spacing w:before="0" w:after="283"/>
              <w:jc w:val="right"/>
              <w:rPr/>
            </w:pPr>
            <w:r>
              <w:rPr/>
              <w:t>(2,118,184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10760" w:type="dxa"/>
        <w:jc w:val="left"/>
        <w:tblInd w:w="0" w:type="dxa"/>
        <w:tblLayout w:type="fixed"/>
        <w:tblCellMar>
          <w:top w:w="0" w:type="dxa"/>
          <w:left w:w="0" w:type="dxa"/>
          <w:bottom w:w="0" w:type="dxa"/>
          <w:right w:w="0" w:type="dxa"/>
        </w:tblCellMar>
      </w:tblPr>
      <w:tblGrid>
        <w:gridCol w:w="1460"/>
        <w:gridCol w:w="60"/>
        <w:gridCol w:w="60"/>
        <w:gridCol w:w="1295"/>
        <w:gridCol w:w="95"/>
        <w:gridCol w:w="60"/>
        <w:gridCol w:w="140"/>
        <w:gridCol w:w="875"/>
        <w:gridCol w:w="95"/>
        <w:gridCol w:w="60"/>
        <w:gridCol w:w="60"/>
        <w:gridCol w:w="1100"/>
        <w:gridCol w:w="60"/>
        <w:gridCol w:w="60"/>
        <w:gridCol w:w="172"/>
        <w:gridCol w:w="688"/>
        <w:gridCol w:w="60"/>
        <w:gridCol w:w="60"/>
        <w:gridCol w:w="163"/>
        <w:gridCol w:w="937"/>
        <w:gridCol w:w="60"/>
        <w:gridCol w:w="60"/>
        <w:gridCol w:w="145"/>
        <w:gridCol w:w="1225"/>
        <w:gridCol w:w="95"/>
        <w:gridCol w:w="60"/>
        <w:gridCol w:w="153"/>
        <w:gridCol w:w="1292"/>
        <w:gridCol w:w="110"/>
      </w:tblGrid>
      <w:tr>
        <w:trPr/>
        <w:tc>
          <w:tcPr>
            <w:tcW w:w="1460" w:type="dxa"/>
            <w:tcBorders/>
            <w:vAlign w:val="center"/>
          </w:tcPr>
          <w:p>
            <w:pPr>
              <w:pStyle w:val="TableContents"/>
              <w:bidi w:val="0"/>
              <w:spacing w:before="0" w:after="283"/>
              <w:jc w:val="left"/>
              <w:rPr>
                <w:b/>
              </w:rPr>
            </w:pPr>
            <w:r>
              <w:rPr>
                <w:b/>
              </w:rPr>
              <w:t>Nine months ended</w:t>
            </w:r>
          </w:p>
        </w:tc>
        <w:tc>
          <w:tcPr>
            <w:tcW w:w="60" w:type="dxa"/>
            <w:tcBorders/>
            <w:vAlign w:val="center"/>
          </w:tcPr>
          <w:p>
            <w:pPr>
              <w:pStyle w:val="TableContents"/>
              <w:bidi w:val="0"/>
              <w:spacing w:before="0" w:after="283"/>
              <w:jc w:val="left"/>
              <w:rPr/>
            </w:pPr>
            <w:r>
              <w:rPr/>
              <w:t> </w:t>
            </w:r>
          </w:p>
        </w:tc>
        <w:tc>
          <w:tcPr>
            <w:tcW w:w="25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Legacy Common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 xml:space="preserve">Additional </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Total</w:t>
              <w:br/>
              <w:t>Shareholders’</w:t>
              <w:br/>
              <w:t>Equity</w:t>
            </w:r>
          </w:p>
        </w:tc>
        <w:tc>
          <w:tcPr>
            <w:tcW w:w="110" w:type="dxa"/>
            <w:tcBorders/>
            <w:vAlign w:val="center"/>
          </w:tcPr>
          <w:p>
            <w:pPr>
              <w:pStyle w:val="TableContents"/>
              <w:bidi w:val="0"/>
              <w:spacing w:before="0" w:after="283"/>
              <w:jc w:val="left"/>
              <w:rPr/>
            </w:pPr>
            <w:r>
              <w:rPr/>
              <w:t> </w:t>
            </w:r>
          </w:p>
        </w:tc>
      </w:tr>
      <w:tr>
        <w:trPr/>
        <w:tc>
          <w:tcPr>
            <w:tcW w:w="1460" w:type="dxa"/>
            <w:tcBorders>
              <w:bottom w:val="single" w:sz="12" w:space="0" w:color="000000"/>
            </w:tcBorders>
            <w:tcMar>
              <w:bottom w:w="28" w:type="dxa"/>
            </w:tcMar>
            <w:vAlign w:val="center"/>
          </w:tcPr>
          <w:p>
            <w:pPr>
              <w:pStyle w:val="TableContents"/>
              <w:bidi w:val="0"/>
              <w:spacing w:before="0" w:after="283"/>
              <w:jc w:val="left"/>
              <w:rPr>
                <w:b/>
              </w:rPr>
            </w:pPr>
            <w:r>
              <w:rPr>
                <w:b/>
              </w:rPr>
              <w:t>September 30, 2024</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pPr>
            <w:r>
              <w:rPr/>
              <w:t>Balances as of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108,975,000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108,975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133,360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(3,195,833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(2,953,498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pPr>
            <w:r>
              <w:rPr/>
              <w:t>Retroactive application of recapitalization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(108,975,000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(108,975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12,208,851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1,221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107,754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Balances as of December 31, 2023, adjusted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12,208,851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1,221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241,114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(3,195,833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shd w:fill="CCEEFF" w:val="clear"/>
            <w:tcMar>
              <w:bottom w:w="28" w:type="dxa"/>
            </w:tcMar>
            <w:vAlign w:val="center"/>
          </w:tcPr>
          <w:p>
            <w:pPr>
              <w:pStyle w:val="TableContents"/>
              <w:bidi w:val="0"/>
              <w:spacing w:before="0" w:after="283"/>
              <w:jc w:val="right"/>
              <w:rPr/>
            </w:pPr>
            <w:r>
              <w:rPr/>
              <w:t>(2,953,498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187,001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187,001</w:t>
            </w:r>
          </w:p>
        </w:tc>
        <w:tc>
          <w:tcPr>
            <w:tcW w:w="11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(18,850,414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shd w:fill="CCEEFF" w:val="clear"/>
            <w:tcMar>
              <w:bottom w:w="28" w:type="dxa"/>
            </w:tcMar>
            <w:vAlign w:val="center"/>
          </w:tcPr>
          <w:p>
            <w:pPr>
              <w:pStyle w:val="TableContents"/>
              <w:bidi w:val="0"/>
              <w:spacing w:before="0" w:after="283"/>
              <w:jc w:val="right"/>
              <w:rPr/>
            </w:pPr>
            <w:r>
              <w:rPr/>
              <w:t>(18,850,414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pPr>
            <w:r>
              <w:rPr/>
              <w:t>Balances as of 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12,210,718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pPr>
            <w:r>
              <w:rPr/>
              <w:t>1,221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pPr>
            <w:r>
              <w:rPr/>
              <w:t>428,115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pPr>
            <w:r>
              <w:rPr/>
              <w:t>(22,046,247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2" w:type="dxa"/>
            <w:tcBorders>
              <w:bottom w:val="double" w:sz="10" w:space="0" w:color="000000"/>
            </w:tcBorders>
            <w:shd w:fill="FFFFFF" w:val="clear"/>
            <w:tcMar>
              <w:bottom w:w="28" w:type="dxa"/>
            </w:tcMar>
            <w:vAlign w:val="center"/>
          </w:tcPr>
          <w:p>
            <w:pPr>
              <w:pStyle w:val="TableContents"/>
              <w:bidi w:val="0"/>
              <w:spacing w:before="0" w:after="283"/>
              <w:jc w:val="right"/>
              <w:rPr/>
            </w:pPr>
            <w:r>
              <w:rPr/>
              <w:t>(21,616,911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b_005"/>
      <w:bookmarkEnd w:id="28"/>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927" w:type="dxa"/>
        <w:jc w:val="left"/>
        <w:tblInd w:w="0" w:type="dxa"/>
        <w:tblLayout w:type="fixed"/>
        <w:tblCellMar>
          <w:top w:w="0" w:type="dxa"/>
          <w:left w:w="0" w:type="dxa"/>
          <w:bottom w:w="0" w:type="dxa"/>
          <w:right w:w="0" w:type="dxa"/>
        </w:tblCellMar>
      </w:tblPr>
      <w:tblGrid>
        <w:gridCol w:w="6950"/>
        <w:gridCol w:w="60"/>
        <w:gridCol w:w="141"/>
        <w:gridCol w:w="1185"/>
        <w:gridCol w:w="95"/>
        <w:gridCol w:w="60"/>
        <w:gridCol w:w="141"/>
        <w:gridCol w:w="1185"/>
        <w:gridCol w:w="110"/>
      </w:tblGrid>
      <w:tr>
        <w:trPr/>
        <w:tc>
          <w:tcPr>
            <w:tcW w:w="6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nine months ended </w:t>
              <w:br/>
              <w:t>September 30,</w:t>
            </w:r>
          </w:p>
        </w:tc>
        <w:tc>
          <w:tcPr>
            <w:tcW w:w="110" w:type="dxa"/>
            <w:tcBorders/>
            <w:vAlign w:val="center"/>
          </w:tcPr>
          <w:p>
            <w:pPr>
              <w:pStyle w:val="TableContents"/>
              <w:bidi w:val="0"/>
              <w:spacing w:before="0" w:after="283"/>
              <w:jc w:val="center"/>
              <w:rPr/>
            </w:pPr>
            <w:r>
              <w:rPr/>
              <w:t> </w:t>
            </w:r>
          </w:p>
        </w:tc>
      </w:tr>
      <w:tr>
        <w:trPr/>
        <w:tc>
          <w:tcPr>
            <w:tcW w:w="6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6950" w:type="dxa"/>
            <w:tcBorders/>
            <w:vAlign w:val="center"/>
          </w:tcPr>
          <w:p>
            <w:pPr>
              <w:pStyle w:val="TableContents"/>
              <w:bidi w:val="0"/>
              <w:spacing w:before="0" w:after="283"/>
              <w:jc w:val="left"/>
              <w:rPr>
                <w:b/>
              </w:rPr>
            </w:pPr>
            <w:r>
              <w:rPr>
                <w:b/>
              </w:rPr>
              <w:t>OPERATING ACTIVITIES</w:t>
            </w:r>
          </w:p>
        </w:tc>
        <w:tc>
          <w:tcPr>
            <w:tcW w:w="60" w:type="dxa"/>
            <w:tcBorders/>
            <w:vAlign w:val="center"/>
          </w:tcPr>
          <w:p>
            <w:pPr>
              <w:pStyle w:val="TableContents"/>
              <w:bidi w:val="0"/>
              <w:spacing w:before="0" w:after="283"/>
              <w:jc w:val="left"/>
              <w:rPr/>
            </w:pPr>
            <w:r>
              <w:rPr/>
              <w:t> </w:t>
            </w:r>
          </w:p>
        </w:tc>
        <w:tc>
          <w:tcPr>
            <w:tcW w:w="1326"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6"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(34,360,316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(18,850,414</w:t>
            </w:r>
          </w:p>
        </w:tc>
        <w:tc>
          <w:tcPr>
            <w:tcW w:w="110" w:type="dxa"/>
            <w:tcBorders/>
            <w:shd w:fill="CCEEFF" w:val="clear"/>
            <w:vAlign w:val="center"/>
          </w:tcPr>
          <w:p>
            <w:pPr>
              <w:pStyle w:val="TableContents"/>
              <w:bidi w:val="0"/>
              <w:spacing w:before="0" w:after="283"/>
              <w:jc w:val="left"/>
              <w:rPr/>
            </w:pPr>
            <w:r>
              <w:rPr/>
              <w:t>)</w:t>
            </w:r>
          </w:p>
        </w:tc>
      </w:tr>
      <w:tr>
        <w:trPr/>
        <w:tc>
          <w:tcPr>
            <w:tcW w:w="695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16,839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Change in fair value of SAFE notes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17,368,415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14,227,156</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Transaction costs paid in shares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156,869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28,862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187,001</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Noncash operating lease expense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64,857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11,890</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Loss on debt extinguishment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5,728,295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Reverse recapitalization transaction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(4,739,169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Fair value of shares issued as commitment fee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350,000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(864,763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(92,252</w:t>
            </w:r>
          </w:p>
        </w:tc>
        <w:tc>
          <w:tcPr>
            <w:tcW w:w="110" w:type="dxa"/>
            <w:tcBorders/>
            <w:shd w:fill="FFFFFF" w:val="clear"/>
            <w:vAlign w:val="center"/>
          </w:tcPr>
          <w:p>
            <w:pPr>
              <w:pStyle w:val="TableContents"/>
              <w:bidi w:val="0"/>
              <w:spacing w:before="0" w:after="283"/>
              <w:jc w:val="left"/>
              <w:rPr/>
            </w:pPr>
            <w:r>
              <w:rPr/>
              <w:t>)</w:t>
            </w:r>
          </w:p>
        </w:tc>
      </w:tr>
      <w:tr>
        <w:trPr/>
        <w:tc>
          <w:tcPr>
            <w:tcW w:w="6950" w:type="dxa"/>
            <w:tcBorders/>
            <w:shd w:fill="CCEEFF" w:val="clear"/>
            <w:vAlign w:val="center"/>
          </w:tcPr>
          <w:p>
            <w:pPr>
              <w:pStyle w:val="TableContents"/>
              <w:bidi w:val="0"/>
              <w:spacing w:before="0" w:after="283"/>
              <w:jc w:val="left"/>
              <w:rPr/>
            </w:pPr>
            <w:r>
              <w:rPr/>
              <w:t>Prepaid and other assets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(572,655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107,218</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(402,854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(134,448</w:t>
            </w:r>
          </w:p>
        </w:tc>
        <w:tc>
          <w:tcPr>
            <w:tcW w:w="110" w:type="dxa"/>
            <w:tcBorders/>
            <w:shd w:fill="FFFFFF" w:val="clear"/>
            <w:vAlign w:val="center"/>
          </w:tcPr>
          <w:p>
            <w:pPr>
              <w:pStyle w:val="TableContents"/>
              <w:bidi w:val="0"/>
              <w:spacing w:before="0" w:after="283"/>
              <w:jc w:val="left"/>
              <w:rPr/>
            </w:pPr>
            <w:r>
              <w:rPr/>
              <w:t>)</w:t>
            </w:r>
          </w:p>
        </w:tc>
      </w:tr>
      <w:tr>
        <w:trPr/>
        <w:tc>
          <w:tcPr>
            <w:tcW w:w="695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163,030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693,309</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Accrued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1,095,589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6,572</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Accrued compensation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(171,492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(7,872</w:t>
            </w:r>
          </w:p>
        </w:tc>
        <w:tc>
          <w:tcPr>
            <w:tcW w:w="110" w:type="dxa"/>
            <w:tcBorders/>
            <w:shd w:fill="CCEEFF" w:val="clear"/>
            <w:vAlign w:val="center"/>
          </w:tcPr>
          <w:p>
            <w:pPr>
              <w:pStyle w:val="TableContents"/>
              <w:bidi w:val="0"/>
              <w:spacing w:before="0" w:after="283"/>
              <w:jc w:val="left"/>
              <w:rPr/>
            </w:pPr>
            <w:r>
              <w:rPr/>
              <w:t>)</w:t>
            </w:r>
          </w:p>
        </w:tc>
      </w:tr>
      <w:tr>
        <w:trPr/>
        <w:tc>
          <w:tcPr>
            <w:tcW w:w="6950"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280,000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Accrued taxes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3,913,668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(61,968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2,611</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Short-term debt,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3,750,000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58,963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750,000</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(8,197,830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(3,099,229</w:t>
            </w:r>
          </w:p>
        </w:tc>
        <w:tc>
          <w:tcPr>
            <w:tcW w:w="110" w:type="dxa"/>
            <w:tcBorders/>
            <w:shd w:fill="CCEEFF" w:val="clear"/>
            <w:vAlign w:val="center"/>
          </w:tcPr>
          <w:p>
            <w:pPr>
              <w:pStyle w:val="TableContents"/>
              <w:bidi w:val="0"/>
              <w:spacing w:before="0" w:after="283"/>
              <w:jc w:val="left"/>
              <w:rPr/>
            </w:pPr>
            <w:r>
              <w:rPr/>
              <w:t>)</w:t>
            </w:r>
          </w:p>
        </w:tc>
      </w:tr>
      <w:tr>
        <w:trPr/>
        <w:tc>
          <w:tcPr>
            <w:tcW w:w="6950"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(483,724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Capitalized software development costs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(898,798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(579,327</w:t>
            </w:r>
          </w:p>
        </w:tc>
        <w:tc>
          <w:tcPr>
            <w:tcW w:w="110" w:type="dxa"/>
            <w:tcBorders/>
            <w:shd w:fill="FFFFFF" w:val="clear"/>
            <w:vAlign w:val="center"/>
          </w:tcPr>
          <w:p>
            <w:pPr>
              <w:pStyle w:val="TableContents"/>
              <w:bidi w:val="0"/>
              <w:spacing w:before="0" w:after="283"/>
              <w:jc w:val="left"/>
              <w:rPr/>
            </w:pPr>
            <w:r>
              <w:rPr/>
              <w:t>)</w:t>
            </w:r>
          </w:p>
        </w:tc>
      </w:tr>
      <w:tr>
        <w:trPr/>
        <w:tc>
          <w:tcPr>
            <w:tcW w:w="695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(1,382,522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(579,327</w:t>
            </w:r>
          </w:p>
        </w:tc>
        <w:tc>
          <w:tcPr>
            <w:tcW w:w="110" w:type="dxa"/>
            <w:tcBorders/>
            <w:shd w:fill="CCEEFF" w:val="clear"/>
            <w:vAlign w:val="center"/>
          </w:tcPr>
          <w:p>
            <w:pPr>
              <w:pStyle w:val="TableContents"/>
              <w:bidi w:val="0"/>
              <w:spacing w:before="0" w:after="283"/>
              <w:jc w:val="left"/>
              <w:rPr/>
            </w:pPr>
            <w:r>
              <w:rPr/>
              <w:t>)</w:t>
            </w:r>
          </w:p>
        </w:tc>
      </w:tr>
      <w:tr>
        <w:trPr/>
        <w:tc>
          <w:tcPr>
            <w:tcW w:w="6950" w:type="dxa"/>
            <w:tcBorders/>
            <w:shd w:fill="FFFFFF" w:val="clear"/>
            <w:vAlign w:val="center"/>
          </w:tcPr>
          <w:p>
            <w:pPr>
              <w:pStyle w:val="TableContents"/>
              <w:bidi w:val="0"/>
              <w:spacing w:before="0" w:after="283"/>
              <w:jc w:val="left"/>
              <w:rPr>
                <w:b/>
              </w:rPr>
            </w:pPr>
            <w:r>
              <w:rPr>
                <w:b/>
              </w:rPr>
              <w:t>FINANCING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Proceeds from issuance of bridge loans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Proceeds from issuance of SAFE notes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23,752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3,834,500</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Repayment of bridge loans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(1,660,545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Proceeds from PIPE investments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10,837,643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Purchase of common stock</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(5,000,000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Proceeds from Trust account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5,577,304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10,278,154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3,834,500</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Net increase in cash during period</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697,802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155,944</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Cash, beginning of period</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721,032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605,760</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Cash, end of period</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FFFFFF" w:val="clear"/>
            <w:tcMar>
              <w:bottom w:w="28" w:type="dxa"/>
            </w:tcMar>
            <w:vAlign w:val="center"/>
          </w:tcPr>
          <w:p>
            <w:pPr>
              <w:pStyle w:val="TableContents"/>
              <w:bidi w:val="0"/>
              <w:spacing w:before="0" w:after="283"/>
              <w:jc w:val="right"/>
              <w:rPr/>
            </w:pPr>
            <w:r>
              <w:rPr/>
              <w:t>1,418,834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FFFFFF" w:val="clear"/>
            <w:tcMar>
              <w:bottom w:w="28" w:type="dxa"/>
            </w:tcMar>
            <w:vAlign w:val="center"/>
          </w:tcPr>
          <w:p>
            <w:pPr>
              <w:pStyle w:val="TableContents"/>
              <w:bidi w:val="0"/>
              <w:spacing w:before="0" w:after="283"/>
              <w:jc w:val="right"/>
              <w:rPr/>
            </w:pPr>
            <w:r>
              <w:rPr/>
              <w:t>761,704</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b/>
              </w:rPr>
            </w:pPr>
            <w:r>
              <w:rPr>
                <w:b/>
              </w:rPr>
              <w:t>SUPPLEMENTAL DISCLOSURE OF NON-CASH ACTIVITIES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ROU asset obtained in exchange for lease liability</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482,227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324,426</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Conversion of SAFE notes to equity</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40,726,793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Conversion of short-term debt to equity</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2,456,500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39,462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b_006"/>
      <w:bookmarkEnd w:id="29"/>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 – Company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 and nature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real-time tracking of resources. Through CID Holdco’s extensive research and development initiatives, CID Holdco’s main focus includes areas such as Industrial IoT, Indoor &amp; Outdoor tracking with seamless transitions, Passive RFID (including Bluetooth and 5G), Collision Avoidance, real-time locating system, Dolly Management, and related supported software applications.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is the developer of an asset tracking platform intended to push the limits of near real-time precision-based location technology. CID Holdco’s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CID Holdco serves multiple industries including construction, military, mining, retail, warehousing and manufacturing.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Legacy Company incorporated Dot Works, Inc. (“Dot Works”), a Puerto Rico corporation, as a wholly-owned subsidiary. Dot Works, based in Puerto Rico, serves as the primary manufacturing facility for Dot Ai, producing smart hardware devices and embedded technological components used in AI-driven enterprise solutions (ZIM Bridges and Smart Industrial TAGS). Activities include assembly, quality control, and packaging of proprietary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the Legacy Company entered into a Business Combination Agreement (the “Business Combination Agreement”) by and among CID HoldCo, Inc., a Delaware corporation and a direct, wholly-owned subsidiary of ShoulderUp Technology Acquisition Corp, a Delaware corporation (“SUAC” or “ShoulderUp”), ShoulderUp Merger Sub, Inc., a Delaware corporation and wholly-owned subsidiary of Holdings (“ShoulderUp Merger Sub”), SEI Merger Sub, Inc., a Delaware corporation and a direct, wholly owned subsidiary of Holdings (“SEI Merger Sub” and together with ShoulderUp Merger Sub, the “Merger Subs”).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“Closing Date” or “Closing”), the Company consummated the Business Combination transactions by and among the Company, SUAC,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Business Combination Agreement, on June 18, 2025, each of the following transactions occurred in the following order: (a) ShoulderUp Merger Sub merged with and into SUAC, with SUAC continuing as the surviving entity, and, in connection therewith, each ordinary share of SUAC issued and outstanding immediately prior to the Closing Date were cancelled in exchange for the right of the holder thereof to receive, with respect to each ordinary share that is not redeemed or converted at Closing, one share of common stock of the Company (“Common Stock”); (b) SEI Merger Sub merged with and into SEE ID, with SEE ID continuing as the surviving entity, and, in connection therewith, (i) SEE ID Common Stock issued and outstanding immediately prior to the Closing Date were cancelled in exchange for the right of the holders thereof to receive shares of Common Stock as set forth in the Business Combination Agreement and (ii) any convertible securities of SEE ID were converted; and (c) as a result of the Mergers, SUAC and SEE ID each became wholly owned subsidiaries of the Company, and the Company became a publicly traded company, all upon the terms and subject to the conditions set forth in the Business Combination Agreement and in accordance with the provisions of applicable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interests,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 As such, the holders of each whole warrant to purchase SUTA Class A Common Stock received one warrant to purchase the Company’s Common Stock at an exercise price of $11.50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CID Holdco filed a registration statement on Form S-4 (File No. 333-282600) with the U.S. Securities and Exchange Commission (SEC), as amended (the “Registration Statement”). The Registration Statement was declared effective by the SEC on June 18, 2025. Subsequently, the Company filed a registration statement on Form S-1 (File No. 333-290052), as amended, which was declared effective by the SEC on September 18,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Financial Accounting Standards Board (“FASB”) Accounting Standards Codification (“ASC”) Topic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which requires that management evaluate whether there are relevant conditions and events that in aggregate raise substantial doubt about the entity’s ability to continue as a going concern and to meet its obligations as they become due within one year after the date that the condensed consolidated financial statements are issued. Under the guidance, the Company must first evaluate whether there are conditions and events that raise substantial doubt about the entity’s ability to continue as a going concern (step 1). If the Company concludes substantial doubt is raised, management also is required to consider whether its plans alleviate that doubt (step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limited operating history, has incurred significant operating losses since its inception, and the revenue and income potential of the Company’s business and market are unproven. The preparation of these condensed consolidated financial statements does not include any adjustments that may result from the outcome of this uncertainty. The Company’s condensed consolidated financial statements are prepared using the generally accepted accounting principles applicable to a going concern, which contemplates the realization of assets and liquidation of liabilities in the normal course of business. As of September 30, 2025, the Company had $1,418,834 in cash, a working capital deficit of $5,404,007 and accumulated deficit of $59,093,579. To date, the Company has funded its operations primarily with the net proceeds from the issuance of convertible promissory notes, the issuance and sale of equity securities, and subsequent to June 18, 2025 proceeds from the Business Combination. The Company expects to incur substantial operating losses for the next several years and has obtained additional near-term financing to continue its research and development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Company entered into a share subscription line of credit agreement under which the Company can access up to $50,000,000 in aggregate proceeds (see Note 9) to fund its R&amp;D activities and its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interim unaudited condensed consolidated financial statements are issued. The accompanying interim unaudited consolidated financial statements do not include any adjustments relating to the recoverability and classification of recorded asset amounts or the amounts and classification of liabilities that might result from the outcome of these uncertainties.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interim condensed consolidated unaudited financial statements include the accounts of CID Holdco, and its wholly-owned subsidiaries, Dot Ai and Dot Works, which are collectively referred to as the “Company” in these condensed consolidated financial statements. All intercompany balances and transactions have been eliminated upon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statements have been prepared in conformity with accounting principles generally accepted in the United States of America (“U.S. GAAP”), as determined by FASB through the ASC, and should be read in conjunction with, the Company’s audited consolidated financial statements and related footnotes for the year ended December 31, 2024. The unaudited condensed consolidated financial statements reflect all adjustments, which include only normal recurring adjustments necessary for the fair presentation of the Company’s financial position, and its results of operations and cash flows for the reported periods, in accordance with US GAAP. The unaudited condensed consolidated financial statements do not include all of the information and footnotes required by US GAAP for complete financial statements, as allowed by the relevant U.S. Securities and Exchange Commission rules and regulations; however, the Company believes its disclosures are adequate to ensure the information presented is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is accounted for as a reverse recapitalization, with ShoulderUp being treated as the acquired company and the Legacy Company treated as the accounting acquirer for financial reporting purposes. This accounting treatment is equivalent to the Legacy Company issuing stock for the net assets of ShoulderUp, accompanied by a recapitalization whereby no goodwill or other intangible assets are recorded. Operations prior to the Business Combination are presented as those of the Legacy Company and the accumulated deficit of the Legacy Company has been carried forward after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periods prior to the Business Combination have been retrospectively adjusted to reflect the reverse recapitalization. In connection with the reverse recapitalization treatment of the Business Combination, all issued and outstanding securities of ShoulderUp upon Closing were treated as issuances of the Company upon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Accounting Standards Update (“ASU”) No. 2023-07, </w:t>
      </w:r>
      <w:r>
        <w:rPr>
          <w:rFonts w:ascii="Times New Roman;Times;Serif" w:hAnsi="Times New Roman;Times;Serif"/>
          <w:b w:val="false"/>
          <w:i/>
          <w:caps w:val="false"/>
          <w:smallCaps w:val="false"/>
          <w:sz w:val="20"/>
        </w:rPr>
        <w:t>Segment Reporting (Topic 280): Improvements to Reportable Segment Disclosures</w:t>
      </w:r>
      <w:r>
        <w:rPr>
          <w:rFonts w:ascii="Times New Roman;Times;Serif" w:hAnsi="Times New Roman;Times;Serif"/>
          <w:b w:val="false"/>
          <w:i w:val="false"/>
          <w:caps w:val="false"/>
          <w:smallCaps w:val="false"/>
          <w:sz w:val="20"/>
        </w:rPr>
        <w:t xml:space="preserve">, requiring public entities to disclose information about their reportable segments’ significant expenses and other segment items on an interim and annual basis. Public entities with a single reportable segment are required to apply the disclosure requirements in ASU No. 2023-07, as well as all existing segment disclosures and reconciliation requirements in ASC 280 on an interim and annual basis. The Company adopted ASU No. 2023-07 during the year ended December 31, 2024. See Note 16,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in these notes to the condensed consolidated financial statements for further detail.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No. 2023-09,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which prescribes standardized categories and disaggregation of information in the reconciliation of provision for income taxes, requires disclosure of disaggregated income taxes paid, and modifies other income tax-related disclosure requirements. The updated standard is effective for us beginning with our fiscal year 2025 annual reporting period. The Company has evaluated the impact of this standard and, because it continues to operate in a loss position and does not pay income taxes, the adoption of this guidance is not expected to have a material impact on its condensed consolidated financial statements or related disclosures.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No. 2024-03, </w:t>
      </w:r>
      <w:r>
        <w:rPr>
          <w:rFonts w:ascii="Times New Roman;Times;Serif" w:hAnsi="Times New Roman;Times;Serif"/>
          <w:b w:val="false"/>
          <w:i/>
          <w:caps w:val="false"/>
          <w:smallCaps w:val="false"/>
          <w:sz w:val="20"/>
        </w:rPr>
        <w:t>Disaggregation of Income Statement Expenses</w:t>
      </w:r>
      <w:r>
        <w:rPr>
          <w:rFonts w:ascii="Times New Roman;Times;Serif" w:hAnsi="Times New Roman;Times;Serif"/>
          <w:b w:val="false"/>
          <w:i w:val="false"/>
          <w:caps w:val="false"/>
          <w:smallCaps w:val="false"/>
          <w:sz w:val="20"/>
        </w:rPr>
        <w:t>, which requires disclosures of certain additional expense information on an annual and interim basis, including, among other items, the amounts of purchases of inventory, employee compensation, depreciation and intangible asset amortization included within each income statement expense caption, as applicable. The updated standard is effective for our annual periods beginning in fiscal year 2026 and interim periods beginning in the first quarter of fiscal year 2027. The Company is currently evaluating the impact of this guidance but does not anticipate a material impact on its condensed consolidated financial statements or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changes, the Company’s revenues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some of the inventory that the Company purchases include components produced in foreign countries, the Company is subject to certain risks associated with tariffs on imports that the government of the United States of America imposes, which could adversely impact the Company’s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The Company bases its estimates on historical experience, known or expected trends, and various other assumptions that are believed to be reasonable given the quality of information available as of the date of these financial statements. The results of these assumptions provide the basis for making estimates about the carrying amounts of assets and liabilities that are not readily apparent from other sources. Actual results could differ from these estimates. The Company believes judgment is involved in determining capitalized software development costs, the fair value of the SAFE agreements, useful lives of capitalized software development costs, share-based compensation, obsolete inventory, the put option under the standby equity purchase agreement and the valuation allowance on deferred income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Cash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its cash deposits with major financial institutions, that at times, are greater than the FDIC limit.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as of the measurement date. Applicable accounting guidance provides an established hierarchy for inputs used in measuring fair value that maximizes the use of observable inputs and minimizes the use of unobservable inputs by requiring that the most observable inputs be used when available. Observable inputs are inputs that market participants would use in valuing the asset or liability and are developed based on market data obtained from sources independent of us. Unobservable inputs are inputs that reflect our assumptions about the factors that market participants would use in valuing the asset or liability. There are three levels of input that may be used to measure fair value:</w:t>
      </w:r>
    </w:p>
    <w:p>
      <w:pPr>
        <w:pStyle w:val="TextBody"/>
        <w:bidi w:val="0"/>
        <w:spacing w:before="0" w:after="0"/>
        <w:ind w:left="0" w:right="0" w:firstLine="720"/>
        <w:jc w:val="both"/>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75"/>
        <w:gridCol w:w="635"/>
        <w:gridCol w:w="80"/>
        <w:gridCol w:w="7280"/>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1</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Quoted prices in active markets for identical assets or liabilities that the entity can access.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7"/>
        <w:gridCol w:w="80"/>
        <w:gridCol w:w="9513"/>
      </w:tblGrid>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2</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and liabilities.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9"/>
        <w:gridCol w:w="80"/>
        <w:gridCol w:w="9441"/>
      </w:tblGrid>
      <w:tr>
        <w:trPr/>
        <w:tc>
          <w:tcPr>
            <w:tcW w:w="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3</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Unobservable inputs that are supported by little or no market activity and that are significant to the fair value of the assets and liabilities.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measured at fair value are classified based on the lowest level of input that is significant to the fair value measurement. The Company reviews the fair value hierarchy classification on an as needed basis. Changes in the observability of valuation inputs may result in a reclassification of levels for certain securities within the fair value hierarchy. The Company recognizes transfers into and out of levels within the fair value hierarchy in the appropriate period in which the actual event or change in circumstances caused the transfer to occur.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primarily consist of advance payments for goods and services to be received in future periods, including insurance premiums, software licenses, maintenance contracts, and prepaid inventories. Prepaid expenses are recorded at cost and are expensed ratably over the period the benefits are realized. Prepaid inventories are advance payments made to suppliers for inventory that the company has not yet received. The Company periodically reviews the carrying value of prepaid expenses and other current assets to determine if any amounts are no longer recoverable, and records an expense in the period such determination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derived from customers located primarily in North America. The Company generally does not require collateral to support customer receivables.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As of September 30, 2025 and December 31, 2024, there was no accounts receivable allowance for credit losses. There was no credit losses for the three and nine months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raw materials, work in progress and finished goods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net realizable value. Management also periodically performs a valuation on allowance for excess and obsolete inventory. No valuation allowance was necessary as of September 30,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Expenditures for maintenance and repairs are expensed currently, while renewals and betterments that materially extend the life of an asset are capitalized. The cost of assets sold, retired, or otherwise disposed of, and the related allowance for depreciation are eliminated from the accounts, and any resulting gain or loss is recognized. Depreciation of property and equipment over $5,000 is provided using the straight-line method over the estimated useful lives of the assets, which are 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Software Development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Topic 350-40, </w:t>
      </w:r>
      <w:r>
        <w:rPr>
          <w:rFonts w:ascii="Times New Roman;Times;Serif" w:hAnsi="Times New Roman;Times;Serif"/>
          <w:b w:val="false"/>
          <w:i/>
          <w:caps w:val="false"/>
          <w:smallCaps w:val="false"/>
          <w:sz w:val="20"/>
        </w:rPr>
        <w:t>Intangibles-Goodwill and Other-Internal-Use Software</w:t>
      </w:r>
      <w:r>
        <w:rPr>
          <w:rFonts w:ascii="Times New Roman;Times;Serif" w:hAnsi="Times New Roman;Times;Serif"/>
          <w:b w:val="false"/>
          <w:i w:val="false"/>
          <w:caps w:val="false"/>
          <w:smallCaps w:val="false"/>
          <w:sz w:val="20"/>
        </w:rPr>
        <w:t>, the Company capitalizes software development costs incurred on new applications or enhancements to applications during the application development phase of software for internal use to provide services to customers. These capitalized costs 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As of September 30, 2025 and 2024, and for the three and nine months then ended, no projects have been substantially completed and ready for their intended use, and no amortization was recorded in the accompanying condensed consolidated statements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As of September 30, 2025 and December 31, 2024, and for the three and nine months ended September 30, 2025 and 2024, no such indicators of impairment were identified, and accordingly, no impairment losses were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permitted by ASC 842, the Company accounts for leases under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core principle of this standard is that a lessee should recognize the assets and liabilities that arise from leases, by recognizing in the condensed consolidated balance sheets a liability to make lease payments (the lease liability) and a right-of-use asset representing its right to use the underlying asset for the lease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right-of-use (“ROU”)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leases are capitalized at the present value of the minimum lease payments not yet paid. The Company uses either the rate implicit in the lease, if readily determinable, or the Company’s incremental borrowing rate in order to calculate the net present value of the lease liability. The Company’s incremental borrowing rate for a lease is the rate of interest it would have to pay on a collateralized basis to borrow an amount equal to the lease payments under similar terms and in a similar economic environment. The Company has two operating leases for the facilities located in Bethesda, Maryland and Barceloneta, Puerto Rico.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 The Company has two short-term leases located in Manati, Puerto Rico and Shirley, Massachusetts.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payments are included in the future lease payments when those variable payments depend on an index or a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primarily recognizes revenue from the sale and delivery of products. As it is still in the early stages of developing its software-as-a-service (SaaS) product, most revenue is derived from product sales, including bridges, gateways, and labels.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consists of payments received in advance of satisfaction of a performance obligation and is recognized as the performance obligations are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exclusivity agreement on November 8, 2024, and a partner agreement on December 18, 2024, with a major reseller. The exclusivity agreement grants the reseller the exclusive right to sell the Company’s products for one year, with automatic renewal for up to four additional one-year periods if specified sales targets are achieved. The partner agreement provides a 5% purchasing incentive based on the reseller’s quarterly growth in total solution purchases and requires the Company to contribute at least 1% of revenue toward marketing activities, paid as a rebate. Management concluded that the exclusivity agreement, partner agreement, and future product purchase orders should be combined and accounted for as a single contract under ASC 606.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exclusivity agreement, the Company received a $2,000,000 payment from the reseller. Since exclusivity does not represent a distinct performance obligation under ASC 606, the payment was recorded as deferred revenue. Revenue will be recognized over the contract term in proportion to the products and services delivered, based on estimated total sales over the five-year period. These estimates will be reviewed quarterly and adjusted based on the reseller’s actual performance. As a result of the third quarter 2025 review, the Company reversed approximately $196,000 in revenue. If the reseller fails to meet sales targets and the agreement is terminated, any remaining deferred revenue will be recognized at that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606, both the incentive and rebate represent variable consideration, as they depend on actual sales volume. Management will estimate expected sales and related rebates to determine the transaction price and recognize revenue accordingly. The purchasing incentive and marketing rebate are not separate performance obligations, and variable consideration related to these incentives will be included in revenue only when it is probable that no significant reversal will occur once uncertainties are resolved. The Company will accrue the incentive amount at the end of each quarter when sales revenue is finalized.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Share-Based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applies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when recording share-based compensation. The fair value of each stock option award is estimated on the date of grant using the Black-Scholes option valuation model. The assumptions used in the Black-Scholes valuation model are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Grant Price</w:t>
      </w:r>
      <w:r>
        <w:rPr>
          <w:rFonts w:ascii="Times New Roman;Times;Serif" w:hAnsi="Times New Roman;Times;Serif"/>
          <w:b w:val="false"/>
          <w:i w:val="false"/>
          <w:caps w:val="false"/>
          <w:smallCaps w:val="false"/>
          <w:sz w:val="20"/>
        </w:rPr>
        <w:t xml:space="preserve"> - The grant price of the issuances is determined based on the estimated fair value of the shares at the date of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Risk-Free Interest Rate</w:t>
      </w:r>
      <w:r>
        <w:rPr>
          <w:rFonts w:ascii="Times New Roman;Times;Serif" w:hAnsi="Times New Roman;Times;Serif"/>
          <w:b w:val="false"/>
          <w:i w:val="false"/>
          <w:caps w:val="false"/>
          <w:smallCaps w:val="false"/>
          <w:sz w:val="20"/>
        </w:rPr>
        <w:t xml:space="preserve"> - The risk-free interest rate for periods within the contractual life of the option is based on the U.S. Treasury yield in effect at the time of grant.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Expected Lives </w:t>
      </w:r>
      <w:r>
        <w:rPr>
          <w:rFonts w:ascii="Times New Roman;Times;Serif" w:hAnsi="Times New Roman;Times;Serif"/>
          <w:b w:val="false"/>
          <w:i w:val="false"/>
          <w:caps w:val="false"/>
          <w:smallCaps w:val="false"/>
          <w:sz w:val="20"/>
        </w:rPr>
        <w:t>- Due to the Company’s insufficient history of option activity, management utilizes the simplified approach to estimate the options’ expected term, which represents the period of time that options granted are expected to be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Volatility</w:t>
      </w:r>
      <w:r>
        <w:rPr>
          <w:rFonts w:ascii="Times New Roman;Times;Serif" w:hAnsi="Times New Roman;Times;Serif"/>
          <w:b w:val="false"/>
          <w:i w:val="false"/>
          <w:caps w:val="false"/>
          <w:smallCaps w:val="false"/>
          <w:sz w:val="20"/>
        </w:rPr>
        <w:t xml:space="preserve"> - Determined based on management’s estimate or historical volatilities of comparable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Dividend Yield</w:t>
      </w:r>
      <w:r>
        <w:rPr>
          <w:rFonts w:ascii="Times New Roman;Times;Serif" w:hAnsi="Times New Roman;Times;Serif"/>
          <w:b w:val="false"/>
          <w:i w:val="false"/>
          <w:caps w:val="false"/>
          <w:smallCaps w:val="false"/>
          <w:sz w:val="20"/>
        </w:rPr>
        <w:t xml:space="preserve"> - Based on current yield at the grant date or the average dividend yield over the historical period. The Company has never declared or paid dividends and has no plans to do so in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share-based compensation (see Note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income taxes in accordance with ASC 740, </w:t>
      </w:r>
      <w:r>
        <w:rPr>
          <w:rFonts w:ascii="Times New Roman;Times;Serif" w:hAnsi="Times New Roman;Times;Serif"/>
          <w:b w:val="false"/>
          <w:i/>
          <w:caps w:val="false"/>
          <w:smallCaps w:val="false"/>
          <w:sz w:val="20"/>
        </w:rPr>
        <w:t>Income Taxes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The Company records valuation allowances against deferred tax assets as deemed necessary.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If applicable, the Company records interest and penalties as a component of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Basic and Diluted Net Loss Per Common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common share is computed by dividing net loss for the period by the weighted-average number of common shares outstanding during the period. Diluted net loss per share is computed by dividing the net loss by the weighted-average number of common shares outstanding and potentially dilutive securities outstanding for the period using the treasury stock or if-converted method if their inclusion is dilutive. Diluted net loss per common share is the same as basic net loss per common share because the inclusion of potentially dilutive shares would be anti-dilutive to the calculation of loss and comprehensive loss per common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only one class of shares issued and outstanding. Accordingly, basic and diluted net loss per share is not allocated among multiple classes. Basic and diluted net loss per share for all periods prior to the Closing have been retrospectively adjusted by the exchange ratio to reflect the effect of the reverse recapitalization.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the Company inherited 15,675,000 public and private warrants from ShoulderUp, each exercisable at $11.50 per share. These warrants were considered antidilutive and excluded from the diluted net loss per share calculation for the three and nine months ended September 30, 2025. During the three and nine months ended September 30, 2025 and 2024, 20,017 of these warrants were forfeited, resulting in a net total of 15,654,983 warrants outstanding as of September 30,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and Integration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acquisition and integration costs of $243,230 and $1,154,857 for the three and nine months ended September 30, 2025, respectively, primarily related to professional fees, legal and accounting services, severance, and other costs associated with recent business combinations. These expenses are not included in general and administrative expenses in the condensed consolidated statements of operations. The Company expects to continue to incur certain integration costs in the near term as it finalizes system, process, and personnel integration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transaction costs incurred in connection with de-SPAC transactions in accordance with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Costs that are directly attributable to the issuance of equity instruments, such as legal, accounting, and advisory fees related to the merger and recapitalization, are recorded as a reduction to additional paid-in capital. Other costs that are not directly related to the equity issuance, including costs associated with business combination activities, are expensed as incurred. The Company evaluates each cost to determine the appropriate accounting treatment based on its nature and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Restatements and Reclassifications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amounts have been reclassified to conform to the current period presentation. In connection with these reclassifications, amounts previously reported as general and administrative expenses have been reallocated to acquisition and integration expenses. Amounts previously reported as advances to suppliers have been reclassified to prepaid expenses and other current assets. In addition, certain amounts previously reported as other assets have been reclassified to property and equipment, net. Furthermore, certain amounts previously reported as cost of goods sold have been restated to general and administrative expenses, research and development expenses and sales and marketing expenses based on the nature of the underlying costs. These restatements and reclassifications had no impact on total loss from operations, net loss, or shareholders’ equity (deficit) for any period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3 – Business Combination and Reverse Recapitalization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the Company entered into a Business Combination Agreement with ShoulderUp, ShoulderUp Merger Sub, Inc., and SEI Merger Sub, Inc. and the Legacy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Company consummated its Business Combination pursuant to the terms of the Business Combination Agreement. The Business Combination was structured as follows: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the Closing, each ordinary share of ShoulderUp that was not redeemed or converted was exchanged for one share of Common Stock. Each issued and outstanding unit of ShoulderUp (“Unit”) was automatically separated into (i) one ordinary share and (ii) one-half of one warrant. Each whole warrant is exercisable to purchase one ordinary share at an exercise price of $11.50 per share.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total of 506,589 shares of Common Stock were issued to the public shareholders of ShoulderUp. An additional 6,698,333 shares were issued to ShoulderUp’s officers and directors, ShoulderUp Technology Sponsor LLC (the “Sponsor”), and each transferee of founder shares.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1,345,001 shares of Common Stock were issued to certain original public shareholders who had previously agreed not to redeem their shares.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482,500 shares of Common Stock were issued to the holders of the ShoulderUp bridge loan to partially settle the outstanding loan balance at Closing. Lastly, 150,000 shares were issued to legal services provider DLA Piper LLP to partially settle outstanding service fees, pursuant to the Expense Release and Payment Agreement executed on June 3, 2025.</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SEE ID’s 108,975,000 Common Stock issued and outstanding immediately prior to the Closing was canceled and converted into 12,210,718 shares of the Company’s Common Stock after giving effect to the exchange ratio of 0.11205.</w:t>
            </w:r>
          </w:p>
        </w:tc>
      </w:tr>
    </w:tbl>
    <w:p>
      <w:pPr>
        <w:pStyle w:val="TextBody"/>
        <w:bidi w:val="0"/>
        <w:spacing w:before="0" w:after="0"/>
        <w:ind w:left="720" w:right="0" w:hanging="360"/>
        <w:jc w:val="both"/>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75"/>
        <w:gridCol w:w="170"/>
        <w:gridCol w:w="66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2,909,057 shares of Common Stock were issued to the SEE ID SAFE note holders.</w:t>
            </w:r>
          </w:p>
        </w:tc>
      </w:tr>
    </w:tbl>
    <w:p>
      <w:pPr>
        <w:pStyle w:val="TextBody"/>
        <w:bidi w:val="0"/>
        <w:spacing w:before="0" w:after="0"/>
        <w:ind w:left="720" w:right="0" w:hanging="36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11,205 shares of Common Stock were issued in exchange for financial advisory services at Closing.</w:t>
            </w:r>
          </w:p>
        </w:tc>
      </w:tr>
    </w:tbl>
    <w:p>
      <w:pPr>
        <w:pStyle w:val="TextBody"/>
        <w:bidi w:val="0"/>
        <w:spacing w:before="0" w:after="0"/>
        <w:ind w:left="720" w:right="0" w:hanging="36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3,323,536 shares of Common Stock were issued to three major PIPE investors.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assumed 15,654,983 public and private warrants of ShoulderUp, net of 20,017 forfeitures, as of September 30,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certain public shareholders of ShoulderUp exercised their rights to redeem certain ordinary shares for funds previously held in the trust account, resulting in the redemption of 2,000 ordinary shares for an aggregate payment of approximately $22,019. After redemptions, there was a total of 506,589 ordinary shares, which were converted into Common Stock in connection with the Business Combination, and approximately $5.58 million remained in the trust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Ownership Upon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issued in connection with the Business Combination and subsequent equity conversion was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37"/>
        <w:gridCol w:w="60"/>
        <w:gridCol w:w="77"/>
        <w:gridCol w:w="1420"/>
        <w:gridCol w:w="111"/>
      </w:tblGrid>
      <w:tr>
        <w:trPr/>
        <w:tc>
          <w:tcPr>
            <w:tcW w:w="85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111" w:type="dxa"/>
            <w:tcBorders/>
            <w:vAlign w:val="center"/>
          </w:tcPr>
          <w:p>
            <w:pPr>
              <w:pStyle w:val="TableContents"/>
              <w:bidi w:val="0"/>
              <w:spacing w:before="0" w:after="283"/>
              <w:jc w:val="left"/>
              <w:rPr/>
            </w:pPr>
            <w:r>
              <w:rPr/>
              <w:t> </w:t>
            </w:r>
          </w:p>
        </w:tc>
      </w:tr>
      <w:tr>
        <w:trPr/>
        <w:tc>
          <w:tcPr>
            <w:tcW w:w="8537" w:type="dxa"/>
            <w:tcBorders/>
            <w:shd w:fill="CCEEFF" w:val="clear"/>
            <w:vAlign w:val="center"/>
          </w:tcPr>
          <w:p>
            <w:pPr>
              <w:pStyle w:val="TableContents"/>
              <w:bidi w:val="0"/>
              <w:spacing w:before="0" w:after="283"/>
              <w:jc w:val="left"/>
              <w:rPr/>
            </w:pPr>
            <w:r>
              <w:rPr/>
              <w:t>Ordinary shares, outstanding prior to the Business Combination</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508,589</w:t>
            </w:r>
          </w:p>
        </w:tc>
        <w:tc>
          <w:tcPr>
            <w:tcW w:w="111" w:type="dxa"/>
            <w:tcBorders/>
            <w:shd w:fill="CCEEFF" w:val="clear"/>
            <w:vAlign w:val="center"/>
          </w:tcPr>
          <w:p>
            <w:pPr>
              <w:pStyle w:val="TableContents"/>
              <w:bidi w:val="0"/>
              <w:spacing w:before="0" w:after="283"/>
              <w:jc w:val="left"/>
              <w:rPr/>
            </w:pPr>
            <w:r>
              <w:rPr/>
              <w:t> </w:t>
            </w:r>
          </w:p>
        </w:tc>
      </w:tr>
      <w:tr>
        <w:trPr/>
        <w:tc>
          <w:tcPr>
            <w:tcW w:w="8537" w:type="dxa"/>
            <w:tcBorders/>
            <w:shd w:fill="FFFFFF" w:val="clear"/>
            <w:vAlign w:val="center"/>
          </w:tcPr>
          <w:p>
            <w:pPr>
              <w:pStyle w:val="TableContents"/>
              <w:bidi w:val="0"/>
              <w:spacing w:before="0" w:after="283"/>
              <w:jc w:val="left"/>
              <w:rPr/>
            </w:pPr>
            <w:r>
              <w:rPr/>
              <w:t>Less: Redemption of ordinary shares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(2,000</w:t>
            </w:r>
          </w:p>
        </w:tc>
        <w:tc>
          <w:tcPr>
            <w:tcW w:w="111" w:type="dxa"/>
            <w:tcBorders/>
            <w:shd w:fill="FFFFFF" w:val="clear"/>
            <w:vAlign w:val="center"/>
          </w:tcPr>
          <w:p>
            <w:pPr>
              <w:pStyle w:val="TableContents"/>
              <w:bidi w:val="0"/>
              <w:spacing w:before="0" w:after="283"/>
              <w:jc w:val="left"/>
              <w:rPr/>
            </w:pPr>
            <w:r>
              <w:rPr/>
              <w:t>)</w:t>
            </w:r>
          </w:p>
        </w:tc>
      </w:tr>
      <w:tr>
        <w:trPr/>
        <w:tc>
          <w:tcPr>
            <w:tcW w:w="8537" w:type="dxa"/>
            <w:tcBorders/>
            <w:shd w:fill="CCEEFF" w:val="clear"/>
            <w:vAlign w:val="center"/>
          </w:tcPr>
          <w:p>
            <w:pPr>
              <w:pStyle w:val="TableContents"/>
              <w:bidi w:val="0"/>
              <w:spacing w:before="0" w:after="283"/>
              <w:jc w:val="left"/>
              <w:rPr/>
            </w:pPr>
            <w:r>
              <w:rPr/>
              <w:t>Ordinary shares held by ShoulderUp’s officers and directors, the Sponsor and each transferee of founder shares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6,698,333</w:t>
            </w:r>
          </w:p>
        </w:tc>
        <w:tc>
          <w:tcPr>
            <w:tcW w:w="111" w:type="dxa"/>
            <w:tcBorders/>
            <w:shd w:fill="CCEEFF" w:val="clear"/>
            <w:vAlign w:val="center"/>
          </w:tcPr>
          <w:p>
            <w:pPr>
              <w:pStyle w:val="TableContents"/>
              <w:bidi w:val="0"/>
              <w:spacing w:before="0" w:after="283"/>
              <w:jc w:val="left"/>
              <w:rPr/>
            </w:pPr>
            <w:r>
              <w:rPr/>
              <w:t> </w:t>
            </w:r>
          </w:p>
        </w:tc>
      </w:tr>
      <w:tr>
        <w:trPr/>
        <w:tc>
          <w:tcPr>
            <w:tcW w:w="8537" w:type="dxa"/>
            <w:tcBorders/>
            <w:shd w:fill="FFFFFF" w:val="clear"/>
            <w:vAlign w:val="center"/>
          </w:tcPr>
          <w:p>
            <w:pPr>
              <w:pStyle w:val="TableContents"/>
              <w:bidi w:val="0"/>
              <w:spacing w:before="0" w:after="283"/>
              <w:jc w:val="left"/>
              <w:rPr/>
            </w:pPr>
            <w:r>
              <w:rPr/>
              <w:t>Ordinary shares held by non-redemption share holders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1,345,001</w:t>
            </w:r>
          </w:p>
        </w:tc>
        <w:tc>
          <w:tcPr>
            <w:tcW w:w="111" w:type="dxa"/>
            <w:tcBorders/>
            <w:shd w:fill="FFFFFF" w:val="clear"/>
            <w:vAlign w:val="center"/>
          </w:tcPr>
          <w:p>
            <w:pPr>
              <w:pStyle w:val="TableContents"/>
              <w:bidi w:val="0"/>
              <w:spacing w:before="0" w:after="283"/>
              <w:jc w:val="left"/>
              <w:rPr/>
            </w:pPr>
            <w:r>
              <w:rPr/>
              <w:t> </w:t>
            </w:r>
          </w:p>
        </w:tc>
      </w:tr>
      <w:tr>
        <w:trPr/>
        <w:tc>
          <w:tcPr>
            <w:tcW w:w="8537" w:type="dxa"/>
            <w:tcBorders/>
            <w:shd w:fill="CCEEFF" w:val="clear"/>
            <w:vAlign w:val="center"/>
          </w:tcPr>
          <w:p>
            <w:pPr>
              <w:pStyle w:val="TableContents"/>
              <w:bidi w:val="0"/>
              <w:spacing w:before="0" w:after="283"/>
              <w:jc w:val="left"/>
              <w:rPr/>
            </w:pPr>
            <w:r>
              <w:rPr/>
              <w:t>Ordinary shares held by ShoulderUp bridge loan holder</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482,500</w:t>
            </w:r>
          </w:p>
        </w:tc>
        <w:tc>
          <w:tcPr>
            <w:tcW w:w="111" w:type="dxa"/>
            <w:tcBorders/>
            <w:shd w:fill="CCEEFF" w:val="clear"/>
            <w:vAlign w:val="center"/>
          </w:tcPr>
          <w:p>
            <w:pPr>
              <w:pStyle w:val="TableContents"/>
              <w:bidi w:val="0"/>
              <w:spacing w:before="0" w:after="283"/>
              <w:jc w:val="left"/>
              <w:rPr/>
            </w:pPr>
            <w:r>
              <w:rPr/>
              <w:t> </w:t>
            </w:r>
          </w:p>
        </w:tc>
      </w:tr>
      <w:tr>
        <w:trPr/>
        <w:tc>
          <w:tcPr>
            <w:tcW w:w="8537" w:type="dxa"/>
            <w:tcBorders/>
            <w:shd w:fill="FFFFFF" w:val="clear"/>
            <w:vAlign w:val="center"/>
          </w:tcPr>
          <w:p>
            <w:pPr>
              <w:pStyle w:val="TableContents"/>
              <w:bidi w:val="0"/>
              <w:spacing w:before="0" w:after="283"/>
              <w:jc w:val="left"/>
              <w:rPr/>
            </w:pPr>
            <w:r>
              <w:rPr/>
              <w:t>Ordinary shares held by DLA Piper, LLP</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150,000</w:t>
            </w:r>
          </w:p>
        </w:tc>
        <w:tc>
          <w:tcPr>
            <w:tcW w:w="111" w:type="dxa"/>
            <w:tcBorders/>
            <w:shd w:fill="FFFFFF" w:val="clear"/>
            <w:vAlign w:val="center"/>
          </w:tcPr>
          <w:p>
            <w:pPr>
              <w:pStyle w:val="TableContents"/>
              <w:bidi w:val="0"/>
              <w:spacing w:before="0" w:after="283"/>
              <w:jc w:val="left"/>
              <w:rPr/>
            </w:pPr>
            <w:r>
              <w:rPr/>
              <w:t> </w:t>
            </w:r>
          </w:p>
        </w:tc>
      </w:tr>
      <w:tr>
        <w:trPr/>
        <w:tc>
          <w:tcPr>
            <w:tcW w:w="8537" w:type="dxa"/>
            <w:tcBorders/>
            <w:shd w:fill="CCEEFF" w:val="clear"/>
            <w:vAlign w:val="center"/>
          </w:tcPr>
          <w:p>
            <w:pPr>
              <w:pStyle w:val="TableContents"/>
              <w:bidi w:val="0"/>
              <w:spacing w:before="0" w:after="283"/>
              <w:jc w:val="left"/>
              <w:rPr/>
            </w:pPr>
            <w:r>
              <w:rPr/>
              <w:t>Common Stock issued to holders of SEE ID Inc.</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12,210,718</w:t>
            </w:r>
          </w:p>
        </w:tc>
        <w:tc>
          <w:tcPr>
            <w:tcW w:w="111" w:type="dxa"/>
            <w:tcBorders/>
            <w:shd w:fill="CCEEFF" w:val="clear"/>
            <w:vAlign w:val="center"/>
          </w:tcPr>
          <w:p>
            <w:pPr>
              <w:pStyle w:val="TableContents"/>
              <w:bidi w:val="0"/>
              <w:spacing w:before="0" w:after="283"/>
              <w:jc w:val="left"/>
              <w:rPr/>
            </w:pPr>
            <w:r>
              <w:rPr/>
              <w:t> </w:t>
            </w:r>
          </w:p>
        </w:tc>
      </w:tr>
      <w:tr>
        <w:trPr/>
        <w:tc>
          <w:tcPr>
            <w:tcW w:w="8537" w:type="dxa"/>
            <w:tcBorders/>
            <w:shd w:fill="FFFFFF" w:val="clear"/>
            <w:vAlign w:val="center"/>
          </w:tcPr>
          <w:p>
            <w:pPr>
              <w:pStyle w:val="TableContents"/>
              <w:bidi w:val="0"/>
              <w:spacing w:before="0" w:after="283"/>
              <w:jc w:val="left"/>
              <w:rPr/>
            </w:pPr>
            <w:r>
              <w:rPr/>
              <w:t>Common Stock issued to SEE ID SAFE note holders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2,909,057</w:t>
            </w:r>
          </w:p>
        </w:tc>
        <w:tc>
          <w:tcPr>
            <w:tcW w:w="111" w:type="dxa"/>
            <w:tcBorders/>
            <w:shd w:fill="FFFFFF" w:val="clear"/>
            <w:vAlign w:val="center"/>
          </w:tcPr>
          <w:p>
            <w:pPr>
              <w:pStyle w:val="TableContents"/>
              <w:bidi w:val="0"/>
              <w:spacing w:before="0" w:after="283"/>
              <w:jc w:val="left"/>
              <w:rPr/>
            </w:pPr>
            <w:r>
              <w:rPr/>
              <w:t> </w:t>
            </w:r>
          </w:p>
        </w:tc>
      </w:tr>
      <w:tr>
        <w:trPr/>
        <w:tc>
          <w:tcPr>
            <w:tcW w:w="8537" w:type="dxa"/>
            <w:tcBorders/>
            <w:shd w:fill="CCEEFF" w:val="clear"/>
            <w:vAlign w:val="center"/>
          </w:tcPr>
          <w:p>
            <w:pPr>
              <w:pStyle w:val="TableContents"/>
              <w:bidi w:val="0"/>
              <w:spacing w:before="0" w:after="283"/>
              <w:jc w:val="left"/>
              <w:rPr/>
            </w:pPr>
            <w:r>
              <w:rPr/>
              <w:t>Common Stock issued to StarUpNV</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11,205</w:t>
            </w:r>
          </w:p>
        </w:tc>
        <w:tc>
          <w:tcPr>
            <w:tcW w:w="111" w:type="dxa"/>
            <w:tcBorders/>
            <w:shd w:fill="CCEEFF" w:val="clear"/>
            <w:vAlign w:val="center"/>
          </w:tcPr>
          <w:p>
            <w:pPr>
              <w:pStyle w:val="TableContents"/>
              <w:bidi w:val="0"/>
              <w:spacing w:before="0" w:after="283"/>
              <w:jc w:val="left"/>
              <w:rPr/>
            </w:pPr>
            <w:r>
              <w:rPr/>
              <w:t> </w:t>
            </w:r>
          </w:p>
        </w:tc>
      </w:tr>
      <w:tr>
        <w:trPr/>
        <w:tc>
          <w:tcPr>
            <w:tcW w:w="8537" w:type="dxa"/>
            <w:tcBorders/>
            <w:shd w:fill="FFFFFF" w:val="clear"/>
            <w:vAlign w:val="center"/>
          </w:tcPr>
          <w:p>
            <w:pPr>
              <w:pStyle w:val="TableContents"/>
              <w:bidi w:val="0"/>
              <w:spacing w:before="0" w:after="283"/>
              <w:jc w:val="left"/>
              <w:rPr/>
            </w:pPr>
            <w:r>
              <w:rPr/>
              <w:t>Common Stock issued to PIPE investors</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0" w:type="dxa"/>
            <w:tcBorders>
              <w:bottom w:val="single" w:sz="12" w:space="0" w:color="000000"/>
            </w:tcBorders>
            <w:shd w:fill="FFFFFF" w:val="clear"/>
            <w:tcMar>
              <w:bottom w:w="28" w:type="dxa"/>
            </w:tcMar>
            <w:vAlign w:val="center"/>
          </w:tcPr>
          <w:p>
            <w:pPr>
              <w:pStyle w:val="TableContents"/>
              <w:bidi w:val="0"/>
              <w:spacing w:before="0" w:after="283"/>
              <w:jc w:val="right"/>
              <w:rPr/>
            </w:pPr>
            <w:r>
              <w:rPr/>
              <w:t>3,323,536</w:t>
            </w:r>
          </w:p>
        </w:tc>
        <w:tc>
          <w:tcPr>
            <w:tcW w:w="111" w:type="dxa"/>
            <w:tcBorders/>
            <w:shd w:fill="FFFFFF" w:val="clear"/>
            <w:vAlign w:val="center"/>
          </w:tcPr>
          <w:p>
            <w:pPr>
              <w:pStyle w:val="TableContents"/>
              <w:bidi w:val="0"/>
              <w:spacing w:before="0" w:after="283"/>
              <w:jc w:val="left"/>
              <w:rPr/>
            </w:pPr>
            <w:r>
              <w:rPr/>
              <w:t> </w:t>
            </w:r>
          </w:p>
        </w:tc>
      </w:tr>
      <w:tr>
        <w:trPr/>
        <w:tc>
          <w:tcPr>
            <w:tcW w:w="8537" w:type="dxa"/>
            <w:tcBorders/>
            <w:shd w:fill="CCEEFF" w:val="clear"/>
            <w:vAlign w:val="center"/>
          </w:tcPr>
          <w:p>
            <w:pPr>
              <w:pStyle w:val="TableContents"/>
              <w:bidi w:val="0"/>
              <w:spacing w:before="0" w:after="283"/>
              <w:jc w:val="left"/>
              <w:rPr>
                <w:b/>
              </w:rPr>
            </w:pPr>
            <w:r>
              <w:rPr>
                <w:b/>
              </w:rPr>
              <w:t>Common Stock Upon the Business Combination</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27,636,939</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Legacy Company incurred $2,726,183 in transaction costs in connection with the Business Combination, which was determined not to be a capital-raising transaction for the Legacy Company. The $2,726,183 consists of the following:</w:t>
      </w:r>
    </w:p>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170"/>
        <w:gridCol w:w="96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$1,003,500 in assumed expenses from ShoulderUp for financial advisory services provided by Cohen Capital Markets;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$156,870 for financial advisory services provided by a financial advisor;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$295,000 in registration fees paid to Nasdaq Corporate Solutions, LLC;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$271,079 paid to Continental Stock Transfer &amp; Trust Co.;</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$126,812 paid to Edgar Agents, LLC;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$872,922 in bonus expenses related to the successful closing of the Business Combination.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reconcile elements of the Business Combination to the Company’s condensed consolidated financial statements, and should be read in conjunction with the footnotes referenced above:</w:t>
      </w:r>
    </w:p>
    <w:p>
      <w:pPr>
        <w:pStyle w:val="TextBody"/>
        <w:bidi w:val="0"/>
        <w:spacing w:before="0" w:after="0"/>
        <w:ind w:left="0" w:right="0" w:hanging="0"/>
        <w:jc w:val="both"/>
        <w:rPr>
          <w:caps w:val="false"/>
          <w:smallCaps w:val="false"/>
        </w:rPr>
      </w:pPr>
      <w:r>
        <w:rPr>
          <w:caps w:val="false"/>
          <w:smallCaps w:val="false"/>
        </w:rPr>
        <w:t> </w:t>
      </w:r>
    </w:p>
    <w:tbl>
      <w:tblPr>
        <w:tblW w:w="8820" w:type="dxa"/>
        <w:jc w:val="left"/>
        <w:tblInd w:w="0" w:type="dxa"/>
        <w:tblLayout w:type="fixed"/>
        <w:tblCellMar>
          <w:top w:w="0" w:type="dxa"/>
          <w:left w:w="0" w:type="dxa"/>
          <w:bottom w:w="0" w:type="dxa"/>
          <w:right w:w="0" w:type="dxa"/>
        </w:tblCellMar>
      </w:tblPr>
      <w:tblGrid>
        <w:gridCol w:w="6995"/>
        <w:gridCol w:w="60"/>
        <w:gridCol w:w="186"/>
        <w:gridCol w:w="1469"/>
        <w:gridCol w:w="110"/>
      </w:tblGrid>
      <w:tr>
        <w:trPr/>
        <w:tc>
          <w:tcPr>
            <w:tcW w:w="6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Recapitalization</w:t>
            </w:r>
          </w:p>
        </w:tc>
        <w:tc>
          <w:tcPr>
            <w:tcW w:w="110" w:type="dxa"/>
            <w:tcBorders/>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i/>
              </w:rPr>
            </w:pPr>
            <w:r>
              <w:rPr>
                <w:i/>
              </w:rPr>
              <w:t>Closing proceeds</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pPr>
            <w:r>
              <w:rPr/>
              <w:t>Proceeds from Trust account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469" w:type="dxa"/>
            <w:tcBorders/>
            <w:shd w:fill="CCEEFF" w:val="clear"/>
            <w:vAlign w:val="center"/>
          </w:tcPr>
          <w:p>
            <w:pPr>
              <w:pStyle w:val="TableContents"/>
              <w:bidi w:val="0"/>
              <w:spacing w:before="0" w:after="283"/>
              <w:jc w:val="right"/>
              <w:rPr/>
            </w:pPr>
            <w:r>
              <w:rPr/>
              <w:t>5,577,304</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left"/>
              <w:rPr/>
            </w:pPr>
            <w:r>
              <w:rPr/>
              <w:t>Proceeds from PIPE investors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10,837,643</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pPr>
            <w:r>
              <w:rPr/>
              <w:t>Proceeds from legacy ShoulderUp bank accounts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74,499</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left"/>
              <w:rPr>
                <w:i/>
              </w:rPr>
            </w:pPr>
            <w:r>
              <w:rPr>
                <w:i/>
              </w:rPr>
              <w:t>Closing disbursements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pPr>
            <w:r>
              <w:rPr/>
              <w:t>Less: Payment to purchase founder shares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9" w:type="dxa"/>
            <w:tcBorders>
              <w:bottom w:val="single" w:sz="12" w:space="0" w:color="000000"/>
            </w:tcBorders>
            <w:shd w:fill="CCEEFF" w:val="clear"/>
            <w:tcMar>
              <w:bottom w:w="28" w:type="dxa"/>
            </w:tcMar>
            <w:vAlign w:val="center"/>
          </w:tcPr>
          <w:p>
            <w:pPr>
              <w:pStyle w:val="TableContents"/>
              <w:bidi w:val="0"/>
              <w:spacing w:before="0" w:after="283"/>
              <w:jc w:val="right"/>
              <w:rPr/>
            </w:pPr>
            <w:r>
              <w:rPr/>
              <w:t>(5,000,000</w:t>
            </w:r>
          </w:p>
        </w:tc>
        <w:tc>
          <w:tcPr>
            <w:tcW w:w="110" w:type="dxa"/>
            <w:tcBorders/>
            <w:shd w:fill="CCEEFF" w:val="clear"/>
            <w:vAlign w:val="center"/>
          </w:tcPr>
          <w:p>
            <w:pPr>
              <w:pStyle w:val="TableContents"/>
              <w:bidi w:val="0"/>
              <w:spacing w:before="0" w:after="283"/>
              <w:jc w:val="left"/>
              <w:rPr/>
            </w:pPr>
            <w:r>
              <w:rPr/>
              <w:t>)</w:t>
            </w:r>
          </w:p>
        </w:tc>
      </w:tr>
      <w:tr>
        <w:trPr/>
        <w:tc>
          <w:tcPr>
            <w:tcW w:w="6995" w:type="dxa"/>
            <w:tcBorders/>
            <w:shd w:fill="FFFFFF" w:val="clear"/>
            <w:vAlign w:val="center"/>
          </w:tcPr>
          <w:p>
            <w:pPr>
              <w:pStyle w:val="TableContents"/>
              <w:bidi w:val="0"/>
              <w:spacing w:before="0" w:after="283"/>
              <w:jc w:val="left"/>
              <w:rPr>
                <w:b/>
              </w:rPr>
            </w:pPr>
            <w:r>
              <w:rPr>
                <w:b/>
              </w:rPr>
              <w:t>Net cash proceeds from the Business Combination</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469" w:type="dxa"/>
            <w:tcBorders>
              <w:bottom w:val="single" w:sz="12" w:space="0" w:color="000000"/>
            </w:tcBorders>
            <w:shd w:fill="FFFFFF" w:val="clear"/>
            <w:tcMar>
              <w:bottom w:w="28" w:type="dxa"/>
            </w:tcMar>
            <w:vAlign w:val="center"/>
          </w:tcPr>
          <w:p>
            <w:pPr>
              <w:pStyle w:val="TableContents"/>
              <w:bidi w:val="0"/>
              <w:spacing w:before="0" w:after="283"/>
              <w:jc w:val="right"/>
              <w:rPr/>
            </w:pPr>
            <w:r>
              <w:rPr/>
              <w:t>11,489,446</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i/>
              </w:rPr>
            </w:pPr>
            <w:r>
              <w:rPr>
                <w:i/>
              </w:rPr>
              <w:t>Noncash activities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left"/>
              <w:rPr/>
            </w:pPr>
            <w:r>
              <w:rPr/>
              <w:t>Conversion of SAFE notes to equity</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40,726,793</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pPr>
            <w:r>
              <w:rPr/>
              <w:t>Conversion of short-term debt to equity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8,597,750</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left"/>
              <w:rPr/>
            </w:pPr>
            <w:r>
              <w:rPr/>
              <w:t>Transaction costs paid in shares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156,870</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pPr>
            <w:r>
              <w:rPr/>
              <w:t>Less: Accrued taxes assumed from ShoulderUp</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(3,913,668</w:t>
            </w:r>
          </w:p>
        </w:tc>
        <w:tc>
          <w:tcPr>
            <w:tcW w:w="110" w:type="dxa"/>
            <w:tcBorders/>
            <w:shd w:fill="CCEEFF" w:val="clear"/>
            <w:vAlign w:val="center"/>
          </w:tcPr>
          <w:p>
            <w:pPr>
              <w:pStyle w:val="TableContents"/>
              <w:bidi w:val="0"/>
              <w:spacing w:before="0" w:after="283"/>
              <w:jc w:val="left"/>
              <w:rPr/>
            </w:pPr>
            <w:r>
              <w:rPr/>
              <w:t>)</w:t>
            </w:r>
          </w:p>
        </w:tc>
      </w:tr>
      <w:tr>
        <w:trPr/>
        <w:tc>
          <w:tcPr>
            <w:tcW w:w="6995" w:type="dxa"/>
            <w:tcBorders/>
            <w:shd w:fill="FFFFFF" w:val="clear"/>
            <w:vAlign w:val="center"/>
          </w:tcPr>
          <w:p>
            <w:pPr>
              <w:pStyle w:val="TableContents"/>
              <w:bidi w:val="0"/>
              <w:spacing w:before="0" w:after="283"/>
              <w:jc w:val="left"/>
              <w:rPr/>
            </w:pPr>
            <w:r>
              <w:rPr/>
              <w:t>Less: Short-term debt assumed from ShoulderUp</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9" w:type="dxa"/>
            <w:tcBorders>
              <w:bottom w:val="single" w:sz="12" w:space="0" w:color="000000"/>
            </w:tcBorders>
            <w:shd w:fill="FFFFFF" w:val="clear"/>
            <w:tcMar>
              <w:bottom w:w="28" w:type="dxa"/>
            </w:tcMar>
            <w:vAlign w:val="center"/>
          </w:tcPr>
          <w:p>
            <w:pPr>
              <w:pStyle w:val="TableContents"/>
              <w:bidi w:val="0"/>
              <w:spacing w:before="0" w:after="283"/>
              <w:jc w:val="right"/>
              <w:rPr/>
            </w:pPr>
            <w:r>
              <w:rPr/>
              <w:t>(900,000</w:t>
            </w:r>
          </w:p>
        </w:tc>
        <w:tc>
          <w:tcPr>
            <w:tcW w:w="110" w:type="dxa"/>
            <w:tcBorders/>
            <w:shd w:fill="FFFFFF" w:val="clear"/>
            <w:vAlign w:val="center"/>
          </w:tcPr>
          <w:p>
            <w:pPr>
              <w:pStyle w:val="TableContents"/>
              <w:bidi w:val="0"/>
              <w:spacing w:before="0" w:after="283"/>
              <w:jc w:val="left"/>
              <w:rPr/>
            </w:pPr>
            <w:r>
              <w:rPr/>
              <w:t>)</w:t>
            </w:r>
          </w:p>
        </w:tc>
      </w:tr>
      <w:tr>
        <w:trPr/>
        <w:tc>
          <w:tcPr>
            <w:tcW w:w="6995" w:type="dxa"/>
            <w:tcBorders/>
            <w:shd w:fill="CCEEFF" w:val="clear"/>
            <w:vAlign w:val="center"/>
          </w:tcPr>
          <w:p>
            <w:pPr>
              <w:pStyle w:val="TableContents"/>
              <w:bidi w:val="0"/>
              <w:spacing w:before="0" w:after="283"/>
              <w:jc w:val="left"/>
              <w:rPr>
                <w:b/>
              </w:rPr>
            </w:pPr>
            <w:r>
              <w:rPr>
                <w:b/>
              </w:rPr>
              <w:t>Net equity impact of the Business Combination</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69" w:type="dxa"/>
            <w:tcBorders>
              <w:bottom w:val="double" w:sz="10" w:space="0" w:color="000000"/>
            </w:tcBorders>
            <w:shd w:fill="CCEEFF" w:val="clear"/>
            <w:tcMar>
              <w:bottom w:w="28" w:type="dxa"/>
            </w:tcMar>
            <w:vAlign w:val="center"/>
          </w:tcPr>
          <w:p>
            <w:pPr>
              <w:pStyle w:val="TableContents"/>
              <w:bidi w:val="0"/>
              <w:spacing w:before="0" w:after="283"/>
              <w:jc w:val="right"/>
              <w:rPr/>
            </w:pPr>
            <w:r>
              <w:rPr/>
              <w:t>56,157,192</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left"/>
              <w:rPr/>
            </w:pPr>
            <w:r>
              <w:rPr/>
              <w:t>Par value of Common Stock issued</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9" w:type="dxa"/>
            <w:tcBorders>
              <w:bottom w:val="single" w:sz="12" w:space="0" w:color="000000"/>
            </w:tcBorders>
            <w:shd w:fill="FFFFFF" w:val="clear"/>
            <w:tcMar>
              <w:bottom w:w="28" w:type="dxa"/>
            </w:tcMar>
            <w:vAlign w:val="center"/>
          </w:tcPr>
          <w:p>
            <w:pPr>
              <w:pStyle w:val="TableContents"/>
              <w:bidi w:val="0"/>
              <w:spacing w:before="0" w:after="283"/>
              <w:jc w:val="right"/>
              <w:rPr/>
            </w:pPr>
            <w:r>
              <w:rPr/>
              <w:t>(1,543</w:t>
            </w:r>
          </w:p>
        </w:tc>
        <w:tc>
          <w:tcPr>
            <w:tcW w:w="110" w:type="dxa"/>
            <w:tcBorders/>
            <w:shd w:fill="FFFFFF" w:val="clear"/>
            <w:vAlign w:val="center"/>
          </w:tcPr>
          <w:p>
            <w:pPr>
              <w:pStyle w:val="TableContents"/>
              <w:bidi w:val="0"/>
              <w:spacing w:before="0" w:after="283"/>
              <w:jc w:val="left"/>
              <w:rPr/>
            </w:pPr>
            <w:r>
              <w:rPr/>
              <w:t>)</w:t>
            </w:r>
          </w:p>
        </w:tc>
      </w:tr>
      <w:tr>
        <w:trPr/>
        <w:tc>
          <w:tcPr>
            <w:tcW w:w="6995" w:type="dxa"/>
            <w:tcBorders/>
            <w:shd w:fill="CCEEFF" w:val="clear"/>
            <w:vAlign w:val="center"/>
          </w:tcPr>
          <w:p>
            <w:pPr>
              <w:pStyle w:val="TableContents"/>
              <w:bidi w:val="0"/>
              <w:spacing w:before="0" w:after="283"/>
              <w:jc w:val="left"/>
              <w:rPr>
                <w:b/>
              </w:rPr>
            </w:pPr>
            <w:r>
              <w:rPr>
                <w:b/>
              </w:rPr>
              <w:t>Total Impact of Business Combination on Additional Paid-in Capital</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69" w:type="dxa"/>
            <w:tcBorders>
              <w:bottom w:val="double" w:sz="10" w:space="0" w:color="000000"/>
            </w:tcBorders>
            <w:shd w:fill="CCEEFF" w:val="clear"/>
            <w:tcMar>
              <w:bottom w:w="28" w:type="dxa"/>
            </w:tcMar>
            <w:vAlign w:val="center"/>
          </w:tcPr>
          <w:p>
            <w:pPr>
              <w:pStyle w:val="TableContents"/>
              <w:bidi w:val="0"/>
              <w:spacing w:before="0" w:after="283"/>
              <w:jc w:val="right"/>
              <w:rPr/>
            </w:pPr>
            <w:r>
              <w:rPr/>
              <w:t>56,155,649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Bridge Loan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2025, the Legacy Company entered into unsecured bridge loan agreements with two major lenders, totaling $2,850,000 in principal. These loans bear interest at an annual rate of 20%, calculated on a 365-day basis, and include a minimum interest provision requiring payment of at least 8% or 10% of the principal amount if repaid prior to their six-month maturity dates. As of the date of Closing, the Company recorded an accrued interest liability of $280,000, which was settled as of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one of the lenders elected to convert a portion of its outstanding principal and accrued interest into 614,125 shares of Common Stock, based on a conversion price of $4.00 per share. The other lender opted to receive full repayment in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transaction:</w:t>
      </w:r>
    </w:p>
    <w:p>
      <w:pPr>
        <w:pStyle w:val="TextBody"/>
        <w:bidi w:val="0"/>
        <w:spacing w:before="0" w:after="0"/>
        <w:ind w:left="0" w:right="0" w:firstLine="720"/>
        <w:jc w:val="both"/>
        <w:rPr>
          <w:caps w:val="false"/>
          <w:smallCaps w:val="false"/>
        </w:rPr>
      </w:pPr>
      <w:r>
        <w:rPr>
          <w:caps w:val="false"/>
          <w:smallCaps w:val="false"/>
        </w:rPr>
        <w:t> </w:t>
      </w:r>
    </w:p>
    <w:tbl>
      <w:tblPr>
        <w:tblW w:w="8954" w:type="dxa"/>
        <w:jc w:val="left"/>
        <w:tblInd w:w="0" w:type="dxa"/>
        <w:tblLayout w:type="fixed"/>
        <w:tblCellMar>
          <w:top w:w="0" w:type="dxa"/>
          <w:left w:w="0" w:type="dxa"/>
          <w:bottom w:w="28" w:type="dxa"/>
          <w:right w:w="0" w:type="dxa"/>
        </w:tblCellMar>
      </w:tblPr>
      <w:tblGrid>
        <w:gridCol w:w="1445"/>
        <w:gridCol w:w="60"/>
        <w:gridCol w:w="1445"/>
        <w:gridCol w:w="60"/>
        <w:gridCol w:w="140"/>
        <w:gridCol w:w="980"/>
        <w:gridCol w:w="60"/>
        <w:gridCol w:w="60"/>
        <w:gridCol w:w="157"/>
        <w:gridCol w:w="897"/>
        <w:gridCol w:w="60"/>
        <w:gridCol w:w="60"/>
        <w:gridCol w:w="160"/>
        <w:gridCol w:w="1000"/>
        <w:gridCol w:w="95"/>
        <w:gridCol w:w="60"/>
        <w:gridCol w:w="145"/>
        <w:gridCol w:w="1015"/>
        <w:gridCol w:w="60"/>
        <w:gridCol w:w="60"/>
        <w:gridCol w:w="60"/>
        <w:gridCol w:w="800"/>
        <w:gridCol w:w="75"/>
      </w:tblGrid>
      <w:tr>
        <w:trPr/>
        <w:tc>
          <w:tcPr>
            <w:tcW w:w="1445" w:type="dxa"/>
            <w:tcBorders>
              <w:bottom w:val="single" w:sz="12" w:space="0" w:color="000000"/>
            </w:tcBorders>
            <w:vAlign w:val="center"/>
          </w:tcPr>
          <w:p>
            <w:pPr>
              <w:pStyle w:val="TableContents"/>
              <w:bidi w:val="0"/>
              <w:spacing w:before="0" w:after="283"/>
              <w:jc w:val="left"/>
              <w:rPr>
                <w:b/>
              </w:rPr>
            </w:pPr>
            <w:r>
              <w:rPr>
                <w:b/>
              </w:rPr>
              <w:t>Bridge Loans</w:t>
            </w:r>
          </w:p>
        </w:tc>
        <w:tc>
          <w:tcPr>
            <w:tcW w:w="60" w:type="dxa"/>
            <w:tcBorders/>
            <w:tcMar>
              <w:bottom w:w="0" w:type="dxa"/>
            </w:tcMar>
            <w:vAlign w:val="center"/>
          </w:tcPr>
          <w:p>
            <w:pPr>
              <w:pStyle w:val="TableContents"/>
              <w:bidi w:val="0"/>
              <w:spacing w:before="0" w:after="283"/>
              <w:jc w:val="left"/>
              <w:rPr/>
            </w:pPr>
            <w:r>
              <w:rPr/>
              <w:t> </w:t>
            </w:r>
          </w:p>
        </w:tc>
        <w:tc>
          <w:tcPr>
            <w:tcW w:w="1445" w:type="dxa"/>
            <w:tcBorders>
              <w:bottom w:val="single" w:sz="12" w:space="0" w:color="000000"/>
            </w:tcBorders>
            <w:vAlign w:val="center"/>
          </w:tcPr>
          <w:p>
            <w:pPr>
              <w:pStyle w:val="TableContents"/>
              <w:bidi w:val="0"/>
              <w:spacing w:before="0" w:after="283"/>
              <w:jc w:val="center"/>
              <w:rPr>
                <w:b/>
              </w:rPr>
            </w:pPr>
            <w:r>
              <w:rPr>
                <w:b/>
              </w:rPr>
              <w:t>Effective Date</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bottom w:val="single" w:sz="12" w:space="0" w:color="000000"/>
            </w:tcBorders>
            <w:vAlign w:val="center"/>
          </w:tcPr>
          <w:p>
            <w:pPr>
              <w:pStyle w:val="TableContents"/>
              <w:bidi w:val="0"/>
              <w:spacing w:before="0" w:after="283"/>
              <w:jc w:val="center"/>
              <w:rPr>
                <w:b/>
              </w:rPr>
            </w:pPr>
            <w:r>
              <w:rPr>
                <w:b/>
              </w:rPr>
              <w:t>Interest at</w:t>
              <w:br/>
              <w:t>closing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Payback in</w:t>
              <w:br/>
              <w:t>Cash</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Payback in</w:t>
              <w:br/>
              <w:t>shares at</w:t>
              <w:br/>
              <w:t>$4/share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Shares</w:t>
            </w:r>
          </w:p>
        </w:tc>
        <w:tc>
          <w:tcPr>
            <w:tcW w:w="75" w:type="dxa"/>
            <w:tcBorders/>
            <w:tcMar>
              <w:bottom w:w="0" w:type="dxa"/>
            </w:tcMar>
            <w:vAlign w:val="center"/>
          </w:tcPr>
          <w:p>
            <w:pPr>
              <w:pStyle w:val="TableContents"/>
              <w:bidi w:val="0"/>
              <w:spacing w:before="0" w:after="283"/>
              <w:jc w:val="left"/>
              <w:rPr/>
            </w:pPr>
            <w:r>
              <w:rPr/>
              <w:t> </w:t>
            </w:r>
          </w:p>
        </w:tc>
      </w:tr>
      <w:tr>
        <w:trPr/>
        <w:tc>
          <w:tcPr>
            <w:tcW w:w="1445" w:type="dxa"/>
            <w:tcBorders/>
            <w:shd w:fill="CCEEFF" w:val="clear"/>
            <w:tcMar>
              <w:bottom w:w="0" w:type="dxa"/>
            </w:tcMar>
            <w:vAlign w:val="center"/>
          </w:tcPr>
          <w:p>
            <w:pPr>
              <w:pStyle w:val="TableContents"/>
              <w:bidi w:val="0"/>
              <w:spacing w:before="0" w:after="283"/>
              <w:jc w:val="left"/>
              <w:rPr/>
            </w:pPr>
            <w:r>
              <w:rPr/>
              <w:t>Bridge loan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center"/>
              <w:rPr/>
            </w:pPr>
            <w:r>
              <w:rPr/>
              <w:t>1/29/2025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1,500,000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150,000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right"/>
              <w:rPr/>
            </w:pPr>
            <w:r>
              <w:rPr/>
              <w:t>$</w:t>
            </w:r>
          </w:p>
        </w:tc>
        <w:tc>
          <w:tcPr>
            <w:tcW w:w="1000" w:type="dxa"/>
            <w:tcBorders/>
            <w:shd w:fill="CCEEFF" w:val="clear"/>
            <w:tcMar>
              <w:bottom w:w="0" w:type="dxa"/>
            </w:tcMar>
            <w:vAlign w:val="center"/>
          </w:tcPr>
          <w:p>
            <w:pPr>
              <w:pStyle w:val="TableContents"/>
              <w:bidi w:val="0"/>
              <w:spacing w:before="0" w:after="283"/>
              <w:jc w:val="right"/>
              <w:rPr/>
            </w:pPr>
            <w:r>
              <w:rPr/>
              <w:t>(193,500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1,456,500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800" w:type="dxa"/>
            <w:tcBorders/>
            <w:shd w:fill="CCEEFF" w:val="clear"/>
            <w:tcMar>
              <w:bottom w:w="0" w:type="dxa"/>
            </w:tcMar>
            <w:vAlign w:val="center"/>
          </w:tcPr>
          <w:p>
            <w:pPr>
              <w:pStyle w:val="TableContents"/>
              <w:bidi w:val="0"/>
              <w:spacing w:before="0" w:after="283"/>
              <w:jc w:val="right"/>
              <w:rPr/>
            </w:pPr>
            <w:r>
              <w:rPr/>
              <w:t>364,125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45" w:type="dxa"/>
            <w:tcBorders/>
            <w:shd w:fill="FFFFFF" w:val="clear"/>
            <w:tcMar>
              <w:bottom w:w="0" w:type="dxa"/>
            </w:tcMar>
            <w:vAlign w:val="center"/>
          </w:tcPr>
          <w:p>
            <w:pPr>
              <w:pStyle w:val="TableContents"/>
              <w:bidi w:val="0"/>
              <w:spacing w:before="0" w:after="283"/>
              <w:jc w:val="left"/>
              <w:rPr/>
            </w:pPr>
            <w:r>
              <w:rPr/>
              <w:t>Bridge loan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center"/>
              <w:rPr/>
            </w:pPr>
            <w:r>
              <w:rPr/>
              <w:t>4/9/2025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97" w:type="dxa"/>
            <w:tcBorders/>
            <w:shd w:fill="FFFFFF" w:val="clear"/>
            <w:tcMar>
              <w:bottom w:w="0" w:type="dxa"/>
            </w:tcMar>
            <w:vAlign w:val="center"/>
          </w:tcPr>
          <w:p>
            <w:pPr>
              <w:pStyle w:val="TableContents"/>
              <w:bidi w:val="0"/>
              <w:spacing w:before="0" w:after="283"/>
              <w:jc w:val="right"/>
              <w:rPr/>
            </w:pPr>
            <w:r>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right"/>
              <w:rPr/>
            </w:pPr>
            <w:r>
              <w:rPr/>
              <w:t>(50,000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15" w:type="dxa"/>
            <w:tcBorders/>
            <w:shd w:fill="FFFFFF" w:val="clear"/>
            <w:tcMar>
              <w:bottom w:w="0" w:type="dxa"/>
            </w:tcM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125,000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45" w:type="dxa"/>
            <w:tcBorders/>
            <w:shd w:fill="CCEEFF" w:val="clear"/>
            <w:tcMar>
              <w:bottom w:w="0" w:type="dxa"/>
            </w:tcMar>
            <w:vAlign w:val="center"/>
          </w:tcPr>
          <w:p>
            <w:pPr>
              <w:pStyle w:val="TableContents"/>
              <w:bidi w:val="0"/>
              <w:spacing w:before="0" w:after="283"/>
              <w:jc w:val="left"/>
              <w:rPr/>
            </w:pPr>
            <w:r>
              <w:rPr/>
              <w:t>Bridge loan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center"/>
              <w:rPr/>
            </w:pPr>
            <w:r>
              <w:rPr/>
              <w:t>5/7/2025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(50,000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15"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125,000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45" w:type="dxa"/>
            <w:tcBorders/>
            <w:shd w:fill="FFFFFF" w:val="clear"/>
            <w:tcMar>
              <w:bottom w:w="0" w:type="dxa"/>
            </w:tcMar>
            <w:vAlign w:val="center"/>
          </w:tcPr>
          <w:p>
            <w:pPr>
              <w:pStyle w:val="TableContents"/>
              <w:bidi w:val="0"/>
              <w:spacing w:before="0" w:after="283"/>
              <w:jc w:val="left"/>
              <w:rPr/>
            </w:pPr>
            <w:r>
              <w:rPr/>
              <w:t>Bridge loan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center"/>
              <w:rPr/>
            </w:pPr>
            <w:r>
              <w:rPr/>
              <w:t>3/29/2025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97" w:type="dxa"/>
            <w:tcBorders/>
            <w:shd w:fill="FFFFFF" w:val="clear"/>
            <w:tcMar>
              <w:bottom w:w="0" w:type="dxa"/>
            </w:tcMar>
            <w:vAlign w:val="center"/>
          </w:tcPr>
          <w:p>
            <w:pPr>
              <w:pStyle w:val="TableContents"/>
              <w:bidi w:val="0"/>
              <w:spacing w:before="0" w:after="283"/>
              <w:jc w:val="right"/>
              <w:rPr/>
            </w:pPr>
            <w:r>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right"/>
              <w:rPr/>
            </w:pPr>
            <w:r>
              <w:rPr/>
              <w:t>(110,000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1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45" w:type="dxa"/>
            <w:tcBorders/>
            <w:shd w:fill="CCEEFF" w:val="clear"/>
            <w:tcMar>
              <w:bottom w:w="0" w:type="dxa"/>
            </w:tcMar>
            <w:vAlign w:val="center"/>
          </w:tcPr>
          <w:p>
            <w:pPr>
              <w:pStyle w:val="TableContents"/>
              <w:bidi w:val="0"/>
              <w:spacing w:before="0" w:after="283"/>
              <w:jc w:val="left"/>
              <w:rPr/>
            </w:pPr>
            <w:r>
              <w:rPr/>
              <w:t>Bridge loan 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center"/>
              <w:rPr/>
            </w:pPr>
            <w:r>
              <w:rPr/>
              <w:t>6/5/2025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single" w:sz="12" w:space="0" w:color="000000"/>
            </w:tcBorders>
            <w:shd w:fill="CCEEFF" w:val="clear"/>
            <w:vAlign w:val="center"/>
          </w:tcPr>
          <w:p>
            <w:pPr>
              <w:pStyle w:val="TableContents"/>
              <w:bidi w:val="0"/>
              <w:spacing w:before="0" w:after="283"/>
              <w:jc w:val="left"/>
              <w:rPr/>
            </w:pPr>
            <w:r>
              <w:rPr/>
              <w:t> </w:t>
            </w:r>
          </w:p>
        </w:tc>
        <w:tc>
          <w:tcPr>
            <w:tcW w:w="897" w:type="dxa"/>
            <w:tcBorders>
              <w:bottom w:val="single" w:sz="12" w:space="0" w:color="000000"/>
            </w:tcBorders>
            <w:shd w:fill="CCEEFF" w:val="clear"/>
            <w:vAlign w:val="center"/>
          </w:tcPr>
          <w:p>
            <w:pPr>
              <w:pStyle w:val="TableContents"/>
              <w:bidi w:val="0"/>
              <w:spacing w:before="0" w:after="283"/>
              <w:jc w:val="right"/>
              <w:rPr/>
            </w:pPr>
            <w:r>
              <w:rPr/>
              <w:t>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bottom w:val="single" w:sz="12" w:space="0" w:color="000000"/>
            </w:tcBorders>
            <w:shd w:fill="CCEEFF" w:val="clear"/>
            <w:vAlign w:val="center"/>
          </w:tcPr>
          <w:p>
            <w:pPr>
              <w:pStyle w:val="TableContents"/>
              <w:bidi w:val="0"/>
              <w:spacing w:before="0" w:after="283"/>
              <w:jc w:val="left"/>
              <w:rPr/>
            </w:pPr>
            <w:r>
              <w:rPr/>
              <w:t> </w:t>
            </w:r>
          </w:p>
        </w:tc>
        <w:tc>
          <w:tcPr>
            <w:tcW w:w="1000" w:type="dxa"/>
            <w:tcBorders>
              <w:bottom w:val="single" w:sz="12" w:space="0" w:color="000000"/>
            </w:tcBorders>
            <w:shd w:fill="CCEEFF" w:val="clear"/>
            <w:vAlign w:val="center"/>
          </w:tcPr>
          <w:p>
            <w:pPr>
              <w:pStyle w:val="TableContents"/>
              <w:bidi w:val="0"/>
              <w:spacing w:before="0" w:after="283"/>
              <w:jc w:val="right"/>
              <w:rPr/>
            </w:pPr>
            <w:r>
              <w:rPr/>
              <w:t>(270,000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shd w:fill="CCEEFF" w:val="clear"/>
            <w:vAlign w:val="center"/>
          </w:tcPr>
          <w:p>
            <w:pPr>
              <w:pStyle w:val="TableContents"/>
              <w:bidi w:val="0"/>
              <w:spacing w:before="0" w:after="283"/>
              <w:jc w:val="left"/>
              <w:rPr/>
            </w:pPr>
            <w:r>
              <w:rPr/>
              <w:t> </w:t>
            </w:r>
          </w:p>
        </w:tc>
        <w:tc>
          <w:tcPr>
            <w:tcW w:w="1015"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45"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980" w:type="dxa"/>
            <w:tcBorders>
              <w:bottom w:val="double" w:sz="10" w:space="0" w:color="000000"/>
            </w:tcBorders>
            <w:shd w:fill="FFFFFF" w:val="clear"/>
            <w:vAlign w:val="center"/>
          </w:tcPr>
          <w:p>
            <w:pPr>
              <w:pStyle w:val="TableContents"/>
              <w:bidi w:val="0"/>
              <w:spacing w:before="0" w:after="283"/>
              <w:jc w:val="right"/>
              <w:rPr>
                <w:b/>
              </w:rPr>
            </w:pPr>
            <w:r>
              <w:rPr>
                <w:b/>
              </w:rPr>
              <w:t>2,850,000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897" w:type="dxa"/>
            <w:tcBorders>
              <w:bottom w:val="double" w:sz="10" w:space="0" w:color="000000"/>
            </w:tcBorders>
            <w:shd w:fill="FFFFFF" w:val="clear"/>
            <w:vAlign w:val="center"/>
          </w:tcPr>
          <w:p>
            <w:pPr>
              <w:pStyle w:val="TableContents"/>
              <w:bidi w:val="0"/>
              <w:spacing w:before="0" w:after="283"/>
              <w:jc w:val="right"/>
              <w:rPr>
                <w:b/>
              </w:rPr>
            </w:pPr>
            <w:r>
              <w:rPr>
                <w:b/>
              </w:rPr>
              <w:t>280,000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1000" w:type="dxa"/>
            <w:tcBorders>
              <w:bottom w:val="double" w:sz="10" w:space="0" w:color="000000"/>
            </w:tcBorders>
            <w:shd w:fill="FFFFFF" w:val="clear"/>
            <w:vAlign w:val="center"/>
          </w:tcPr>
          <w:p>
            <w:pPr>
              <w:pStyle w:val="TableContents"/>
              <w:bidi w:val="0"/>
              <w:spacing w:before="0" w:after="283"/>
              <w:jc w:val="right"/>
              <w:rPr>
                <w:b/>
              </w:rPr>
            </w:pPr>
            <w:r>
              <w:rPr>
                <w:b/>
              </w:rPr>
              <w:t>(673,500</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1015" w:type="dxa"/>
            <w:tcBorders>
              <w:bottom w:val="double" w:sz="10" w:space="0" w:color="000000"/>
            </w:tcBorders>
            <w:shd w:fill="FFFFFF" w:val="clear"/>
            <w:vAlign w:val="center"/>
          </w:tcPr>
          <w:p>
            <w:pPr>
              <w:pStyle w:val="TableContents"/>
              <w:bidi w:val="0"/>
              <w:spacing w:before="0" w:after="283"/>
              <w:jc w:val="right"/>
              <w:rPr>
                <w:b/>
              </w:rPr>
            </w:pPr>
            <w:r>
              <w:rPr>
                <w:b/>
              </w:rPr>
              <w:t>2,456,500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800" w:type="dxa"/>
            <w:tcBorders>
              <w:bottom w:val="double" w:sz="10" w:space="0" w:color="000000"/>
            </w:tcBorders>
            <w:shd w:fill="FFFFFF" w:val="clear"/>
            <w:vAlign w:val="center"/>
          </w:tcPr>
          <w:p>
            <w:pPr>
              <w:pStyle w:val="TableContents"/>
              <w:bidi w:val="0"/>
              <w:spacing w:before="0" w:after="283"/>
              <w:jc w:val="right"/>
              <w:rPr>
                <w:b/>
              </w:rPr>
            </w:pPr>
            <w:r>
              <w:rPr>
                <w:b/>
              </w:rPr>
              <w:t>614,125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81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Bridge loans from this investor had an aggregate principal amount of $2,500,000. At the Closing of the Business Combination, the investor received a cash payment of $293,500, consisting of $250,000 in minimum 10% interest and $43,500 in principal repayment. In addition, the investor received 614,125 shares of Common Stock in exchange for $2,456,500 of combined principal and accrued interest, based on a per share price of $4.00.</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bridge loan conversion, the Company derecognized a liability of $2,456,500 upon issuing 614,125 shares of Common Stock and recognized a total loss on debt extinguishment of $6,141,250, based on the fair value of the Common Stock at the Closing of $14.00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Company entered into a private investment in public equity (“PIPE”) financing agreement with certain accredited investors. Pursuant to the PIPE subscription agreements, these investors committed to purchase an aggregate of 2,709,411 shares of Common Stock at a price of $4.00 per share, for total gross proceeds of $10,837,643. The PIPE investment provided additional capital to support the Company’s post-closing operations and was consummated concurrently with the Closing of the Business Combination. Following table illustrates the breakdown of all PIPE investments.</w:t>
      </w:r>
    </w:p>
    <w:p>
      <w:pPr>
        <w:pStyle w:val="TextBody"/>
        <w:bidi w:val="0"/>
        <w:spacing w:before="0" w:after="0"/>
        <w:ind w:left="0" w:right="0" w:firstLine="720"/>
        <w:jc w:val="both"/>
        <w:rPr>
          <w:caps w:val="false"/>
          <w:smallCaps w:val="false"/>
        </w:rPr>
      </w:pPr>
      <w:r>
        <w:rPr>
          <w:caps w:val="false"/>
          <w:smallCaps w:val="false"/>
        </w:rPr>
        <w:t> </w:t>
      </w:r>
    </w:p>
    <w:tbl>
      <w:tblPr>
        <w:tblW w:w="5230" w:type="dxa"/>
        <w:jc w:val="left"/>
        <w:tblInd w:w="0" w:type="dxa"/>
        <w:tblLayout w:type="fixed"/>
        <w:tblCellMar>
          <w:top w:w="0" w:type="dxa"/>
          <w:left w:w="0" w:type="dxa"/>
          <w:bottom w:w="28" w:type="dxa"/>
          <w:right w:w="0" w:type="dxa"/>
        </w:tblCellMar>
      </w:tblPr>
      <w:tblGrid>
        <w:gridCol w:w="1190"/>
        <w:gridCol w:w="60"/>
        <w:gridCol w:w="1445"/>
        <w:gridCol w:w="60"/>
        <w:gridCol w:w="140"/>
        <w:gridCol w:w="1100"/>
        <w:gridCol w:w="60"/>
        <w:gridCol w:w="60"/>
        <w:gridCol w:w="60"/>
        <w:gridCol w:w="980"/>
        <w:gridCol w:w="75"/>
      </w:tblGrid>
      <w:tr>
        <w:trPr/>
        <w:tc>
          <w:tcPr>
            <w:tcW w:w="1190" w:type="dxa"/>
            <w:tcBorders>
              <w:bottom w:val="single" w:sz="12" w:space="0" w:color="000000"/>
            </w:tcBorders>
            <w:vAlign w:val="center"/>
          </w:tcPr>
          <w:p>
            <w:pPr>
              <w:pStyle w:val="TableContents"/>
              <w:bidi w:val="0"/>
              <w:spacing w:before="0" w:after="283"/>
              <w:jc w:val="left"/>
              <w:rPr>
                <w:b/>
              </w:rPr>
            </w:pPr>
            <w:r>
              <w:rPr>
                <w:b/>
              </w:rPr>
              <w:t>PIPE</w:t>
            </w:r>
          </w:p>
        </w:tc>
        <w:tc>
          <w:tcPr>
            <w:tcW w:w="60" w:type="dxa"/>
            <w:tcBorders/>
            <w:tcMar>
              <w:bottom w:w="0" w:type="dxa"/>
            </w:tcMar>
            <w:vAlign w:val="center"/>
          </w:tcPr>
          <w:p>
            <w:pPr>
              <w:pStyle w:val="TableContents"/>
              <w:bidi w:val="0"/>
              <w:spacing w:before="0" w:after="283"/>
              <w:jc w:val="left"/>
              <w:rPr/>
            </w:pPr>
            <w:r>
              <w:rPr/>
              <w:t> </w:t>
            </w:r>
          </w:p>
        </w:tc>
        <w:tc>
          <w:tcPr>
            <w:tcW w:w="1445" w:type="dxa"/>
            <w:tcBorders>
              <w:bottom w:val="single" w:sz="12" w:space="0" w:color="000000"/>
            </w:tcBorders>
            <w:vAlign w:val="center"/>
          </w:tcPr>
          <w:p>
            <w:pPr>
              <w:pStyle w:val="TableContents"/>
              <w:bidi w:val="0"/>
              <w:spacing w:before="0" w:after="283"/>
              <w:jc w:val="center"/>
              <w:rPr>
                <w:b/>
              </w:rPr>
            </w:pPr>
            <w:r>
              <w:rPr>
                <w:b/>
              </w:rPr>
              <w:t>Effective Date</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Shares</w:t>
            </w:r>
          </w:p>
        </w:tc>
        <w:tc>
          <w:tcPr>
            <w:tcW w:w="75" w:type="dxa"/>
            <w:tcBorders/>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PIPE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center"/>
              <w:rPr/>
            </w:pPr>
            <w:r>
              <w:rPr/>
              <w:t>6/16/2025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2,814,500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703,625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PIPE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center"/>
              <w:rPr/>
            </w:pPr>
            <w:r>
              <w:rPr/>
              <w:t>6/10/2025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PIPE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center"/>
              <w:rPr/>
            </w:pPr>
            <w:r>
              <w:rPr/>
              <w:t>6/17/2025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100" w:type="dxa"/>
            <w:tcBorders>
              <w:bottom w:val="single" w:sz="12" w:space="0" w:color="000000"/>
            </w:tcBorders>
            <w:shd w:fill="CCEEFF" w:val="clear"/>
            <w:vAlign w:val="center"/>
          </w:tcPr>
          <w:p>
            <w:pPr>
              <w:pStyle w:val="TableContents"/>
              <w:bidi w:val="0"/>
              <w:spacing w:before="0" w:after="283"/>
              <w:jc w:val="right"/>
              <w:rPr/>
            </w:pPr>
            <w:r>
              <w:rPr/>
              <w:t>7,023,143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1,755,786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b/>
              </w:rPr>
            </w:pPr>
            <w:r>
              <w:rPr>
                <w:b/>
              </w:rPr>
              <w:t>Total PIPE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vAlign w:val="center"/>
          </w:tcPr>
          <w:p>
            <w:pPr>
              <w:pStyle w:val="TableContents"/>
              <w:bidi w:val="0"/>
              <w:spacing w:before="0" w:after="283"/>
              <w:jc w:val="right"/>
              <w:rPr>
                <w:b/>
              </w:rPr>
            </w:pPr>
            <w:r>
              <w:rPr>
                <w:b/>
              </w:rPr>
              <w:t>10,837,643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980" w:type="dxa"/>
            <w:tcBorders>
              <w:bottom w:val="double" w:sz="10" w:space="0" w:color="000000"/>
            </w:tcBorders>
            <w:shd w:fill="FFFFFF" w:val="clear"/>
            <w:vAlign w:val="center"/>
          </w:tcPr>
          <w:p>
            <w:pPr>
              <w:pStyle w:val="TableContents"/>
              <w:bidi w:val="0"/>
              <w:spacing w:before="0" w:after="283"/>
              <w:jc w:val="right"/>
              <w:rPr>
                <w:b/>
              </w:rPr>
            </w:pPr>
            <w:r>
              <w:rPr>
                <w:b/>
              </w:rPr>
              <w:t>2,709,411</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4 - Restatement and Reclassification of Prior Period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 analysis of FASB ASC, ASC 250-</w:t>
      </w:r>
      <w:r>
        <w:rPr>
          <w:rFonts w:ascii="Times New Roman;Times;Serif" w:hAnsi="Times New Roman;Times;Serif"/>
          <w:b w:val="false"/>
          <w:i/>
          <w:caps w:val="false"/>
          <w:smallCaps w:val="false"/>
          <w:sz w:val="20"/>
        </w:rPr>
        <w:t>Accounting Changes and Error Corrections</w:t>
      </w:r>
      <w:r>
        <w:rPr>
          <w:rFonts w:ascii="Times New Roman;Times;Serif" w:hAnsi="Times New Roman;Times;Serif"/>
          <w:b w:val="false"/>
          <w:i w:val="false"/>
          <w:caps w:val="false"/>
          <w:smallCaps w:val="false"/>
          <w:sz w:val="20"/>
        </w:rPr>
        <w:t xml:space="preserve">, Staff Accounting Bulletin 99, </w:t>
      </w:r>
      <w:r>
        <w:rPr>
          <w:rFonts w:ascii="Times New Roman;Times;Serif" w:hAnsi="Times New Roman;Times;Serif"/>
          <w:b w:val="false"/>
          <w:i/>
          <w:caps w:val="false"/>
          <w:smallCaps w:val="false"/>
          <w:sz w:val="20"/>
        </w:rPr>
        <w:t>Materiality, and Staff Accounting Bulletin 108, Considering the Effects of Prior Year Misstatements when Quantifying Misstatements in Current Year Financial Statements</w:t>
      </w:r>
      <w:r>
        <w:rPr>
          <w:rFonts w:ascii="Times New Roman;Times;Serif" w:hAnsi="Times New Roman;Times;Serif"/>
          <w:b w:val="false"/>
          <w:i w:val="false"/>
          <w:caps w:val="false"/>
          <w:smallCaps w:val="false"/>
          <w:sz w:val="20"/>
        </w:rPr>
        <w:t>, the Company determined these errors were material to the previously issued interim financial statements and as such a restatement was necessary.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2024, the Company revised its expense presentation by reallocating certain amounts previously reported under cost of goods sold to general and administrative, research and development, and sales and marketing expenses to better reflect the nature of the underlying costs. In addition, certain expenses were reclassified among these operating expense categories. These revisions had no effect on total revenue, loss from operations, net loss, or shareholders’ equity (deficit) for any period presented. The impact of these reclassifications and restatements on the Company’s condensed consolidated statements of operations for the three and nine months ended September 30, 2024, is shown below:</w:t>
      </w:r>
    </w:p>
    <w:p>
      <w:pPr>
        <w:pStyle w:val="TextBody"/>
        <w:bidi w:val="0"/>
        <w:spacing w:before="0" w:after="0"/>
        <w:ind w:left="0" w:right="0" w:hanging="0"/>
        <w:jc w:val="both"/>
        <w:rPr>
          <w:caps w:val="false"/>
          <w:smallCaps w:val="false"/>
        </w:rPr>
      </w:pPr>
      <w:r>
        <w:rPr>
          <w:caps w:val="false"/>
          <w:smallCaps w:val="false"/>
        </w:rPr>
        <w:t> </w:t>
      </w:r>
    </w:p>
    <w:tbl>
      <w:tblPr>
        <w:tblW w:w="9613" w:type="dxa"/>
        <w:jc w:val="left"/>
        <w:tblInd w:w="0" w:type="dxa"/>
        <w:tblLayout w:type="fixed"/>
        <w:tblCellMar>
          <w:top w:w="0" w:type="dxa"/>
          <w:left w:w="0" w:type="dxa"/>
          <w:bottom w:w="0" w:type="dxa"/>
          <w:right w:w="0" w:type="dxa"/>
        </w:tblCellMar>
      </w:tblPr>
      <w:tblGrid>
        <w:gridCol w:w="3500"/>
        <w:gridCol w:w="60"/>
        <w:gridCol w:w="163"/>
        <w:gridCol w:w="1236"/>
        <w:gridCol w:w="95"/>
        <w:gridCol w:w="60"/>
        <w:gridCol w:w="217"/>
        <w:gridCol w:w="1363"/>
        <w:gridCol w:w="95"/>
        <w:gridCol w:w="60"/>
        <w:gridCol w:w="176"/>
        <w:gridCol w:w="1104"/>
        <w:gridCol w:w="95"/>
        <w:gridCol w:w="60"/>
        <w:gridCol w:w="142"/>
        <w:gridCol w:w="1077"/>
        <w:gridCol w:w="110"/>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4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September 30, 2024</w:t>
            </w:r>
          </w:p>
        </w:tc>
        <w:tc>
          <w:tcPr>
            <w:tcW w:w="11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previously</w:t>
              <w:br/>
              <w:t>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Reclassification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Restatement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adjusted</w:t>
            </w:r>
          </w:p>
        </w:tc>
        <w:tc>
          <w:tcPr>
            <w:tcW w:w="11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81,636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3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077" w:type="dxa"/>
            <w:tcBorders/>
            <w:shd w:fill="CCEEFF" w:val="clear"/>
            <w:vAlign w:val="center"/>
          </w:tcPr>
          <w:p>
            <w:pPr>
              <w:pStyle w:val="TableContents"/>
              <w:bidi w:val="0"/>
              <w:spacing w:before="0" w:after="283"/>
              <w:jc w:val="right"/>
              <w:rPr/>
            </w:pPr>
            <w:r>
              <w:rPr/>
              <w:t>81,636</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FFFFFF" w:val="clear"/>
            <w:tcMar>
              <w:bottom w:w="28" w:type="dxa"/>
            </w:tcMar>
            <w:vAlign w:val="center"/>
          </w:tcPr>
          <w:p>
            <w:pPr>
              <w:pStyle w:val="TableContents"/>
              <w:bidi w:val="0"/>
              <w:spacing w:before="0" w:after="283"/>
              <w:jc w:val="right"/>
              <w:rPr/>
            </w:pPr>
            <w:r>
              <w:rPr/>
              <w:t>145,201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pPr>
            <w:r>
              <w:rPr/>
              <w:t>(137,204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pPr>
            <w:r>
              <w:rPr/>
              <w:t>7,997</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6" w:type="dxa"/>
            <w:tcBorders>
              <w:bottom w:val="double" w:sz="10" w:space="0" w:color="000000"/>
            </w:tcBorders>
            <w:shd w:fill="CCEEFF" w:val="clear"/>
            <w:tcMar>
              <w:bottom w:w="28" w:type="dxa"/>
            </w:tcMar>
            <w:vAlign w:val="center"/>
          </w:tcPr>
          <w:p>
            <w:pPr>
              <w:pStyle w:val="TableContents"/>
              <w:bidi w:val="0"/>
              <w:spacing w:before="0" w:after="283"/>
              <w:jc w:val="right"/>
              <w:rPr/>
            </w:pPr>
            <w:r>
              <w:rPr/>
              <w:t>(63,565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6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4" w:type="dxa"/>
            <w:tcBorders>
              <w:bottom w:val="double" w:sz="10" w:space="0" w:color="000000"/>
            </w:tcBorders>
            <w:shd w:fill="CCEEFF" w:val="clear"/>
            <w:tcMar>
              <w:bottom w:w="28" w:type="dxa"/>
            </w:tcMar>
            <w:vAlign w:val="center"/>
          </w:tcPr>
          <w:p>
            <w:pPr>
              <w:pStyle w:val="TableContents"/>
              <w:bidi w:val="0"/>
              <w:spacing w:before="0" w:after="283"/>
              <w:jc w:val="right"/>
              <w:rPr/>
            </w:pPr>
            <w:r>
              <w:rPr/>
              <w:t>137,204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77" w:type="dxa"/>
            <w:tcBorders>
              <w:bottom w:val="double" w:sz="10" w:space="0" w:color="000000"/>
            </w:tcBorders>
            <w:shd w:fill="CCEEFF" w:val="clear"/>
            <w:tcMar>
              <w:bottom w:w="28" w:type="dxa"/>
            </w:tcMar>
            <w:vAlign w:val="center"/>
          </w:tcPr>
          <w:p>
            <w:pPr>
              <w:pStyle w:val="TableContents"/>
              <w:bidi w:val="0"/>
              <w:spacing w:before="0" w:after="283"/>
              <w:jc w:val="right"/>
              <w:rPr/>
            </w:pPr>
            <w:r>
              <w:rPr/>
              <w:t>73,639</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3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1,039,092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before="0" w:after="283"/>
              <w:jc w:val="right"/>
              <w:rPr/>
            </w:pPr>
            <w:r>
              <w:rPr/>
              <w:t>(532,305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506,886</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157,741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3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28,937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186,678</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633,570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before="0" w:after="283"/>
              <w:jc w:val="right"/>
              <w:rPr/>
            </w:pPr>
            <w:r>
              <w:rPr/>
              <w:t>(103,154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108,168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638,584</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Acquisition and integration</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363" w:type="dxa"/>
            <w:tcBorders/>
            <w:shd w:fill="FFFFFF" w:val="clear"/>
            <w:vAlign w:val="center"/>
          </w:tcPr>
          <w:p>
            <w:pPr>
              <w:pStyle w:val="TableContents"/>
              <w:bidi w:val="0"/>
              <w:spacing w:before="0" w:after="283"/>
              <w:jc w:val="right"/>
              <w:rPr/>
            </w:pPr>
            <w:r>
              <w:rPr/>
              <w:t>635,459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635,459</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FFFFFF" w:val="clear"/>
            <w:tcMar>
              <w:bottom w:w="28" w:type="dxa"/>
            </w:tcMar>
            <w:vAlign w:val="center"/>
          </w:tcPr>
          <w:p>
            <w:pPr>
              <w:pStyle w:val="TableContents"/>
              <w:bidi w:val="0"/>
              <w:spacing w:before="0" w:after="283"/>
              <w:jc w:val="right"/>
              <w:rPr/>
            </w:pPr>
            <w:r>
              <w:rPr/>
              <w:t>1,830,403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pPr>
            <w:r>
              <w:rPr/>
              <w:t>137,204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pPr>
            <w:r>
              <w:rPr/>
              <w:t>1,967,607</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36" w:type="dxa"/>
            <w:tcBorders>
              <w:bottom w:val="single" w:sz="12" w:space="0" w:color="000000"/>
            </w:tcBorders>
            <w:shd w:fill="CCEEFF" w:val="clear"/>
            <w:tcMar>
              <w:bottom w:w="28" w:type="dxa"/>
            </w:tcMar>
            <w:vAlign w:val="center"/>
          </w:tcPr>
          <w:p>
            <w:pPr>
              <w:pStyle w:val="TableContents"/>
              <w:bidi w:val="0"/>
              <w:spacing w:before="0" w:after="283"/>
              <w:jc w:val="right"/>
              <w:rPr/>
            </w:pPr>
            <w:r>
              <w:rPr/>
              <w:t>(1,893,968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6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77" w:type="dxa"/>
            <w:tcBorders>
              <w:bottom w:val="single" w:sz="12" w:space="0" w:color="000000"/>
            </w:tcBorders>
            <w:shd w:fill="CCEEFF" w:val="clear"/>
            <w:tcMar>
              <w:bottom w:w="28" w:type="dxa"/>
            </w:tcMar>
            <w:vAlign w:val="center"/>
          </w:tcPr>
          <w:p>
            <w:pPr>
              <w:pStyle w:val="TableContents"/>
              <w:bidi w:val="0"/>
              <w:spacing w:before="0" w:after="283"/>
              <w:jc w:val="right"/>
              <w:rPr/>
            </w:pPr>
            <w:r>
              <w:rPr/>
              <w:t>(1,893,968</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9613" w:type="dxa"/>
        <w:jc w:val="left"/>
        <w:tblInd w:w="0" w:type="dxa"/>
        <w:tblLayout w:type="fixed"/>
        <w:tblCellMar>
          <w:top w:w="0" w:type="dxa"/>
          <w:left w:w="0" w:type="dxa"/>
          <w:bottom w:w="0" w:type="dxa"/>
          <w:right w:w="0" w:type="dxa"/>
        </w:tblCellMar>
      </w:tblPr>
      <w:tblGrid>
        <w:gridCol w:w="3500"/>
        <w:gridCol w:w="60"/>
        <w:gridCol w:w="164"/>
        <w:gridCol w:w="1235"/>
        <w:gridCol w:w="95"/>
        <w:gridCol w:w="60"/>
        <w:gridCol w:w="185"/>
        <w:gridCol w:w="1395"/>
        <w:gridCol w:w="95"/>
        <w:gridCol w:w="60"/>
        <w:gridCol w:w="176"/>
        <w:gridCol w:w="1104"/>
        <w:gridCol w:w="95"/>
        <w:gridCol w:w="60"/>
        <w:gridCol w:w="142"/>
        <w:gridCol w:w="1077"/>
        <w:gridCol w:w="110"/>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4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nine months ended September 30, 2024</w:t>
            </w:r>
          </w:p>
        </w:tc>
        <w:tc>
          <w:tcPr>
            <w:tcW w:w="11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previously</w:t>
              <w:br/>
              <w:t>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Reclassification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Restatement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adjusted</w:t>
            </w:r>
          </w:p>
        </w:tc>
        <w:tc>
          <w:tcPr>
            <w:tcW w:w="11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183,631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3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077" w:type="dxa"/>
            <w:tcBorders/>
            <w:shd w:fill="CCEEFF" w:val="clear"/>
            <w:vAlign w:val="center"/>
          </w:tcPr>
          <w:p>
            <w:pPr>
              <w:pStyle w:val="TableContents"/>
              <w:bidi w:val="0"/>
              <w:spacing w:before="0" w:after="283"/>
              <w:jc w:val="right"/>
              <w:rPr/>
            </w:pPr>
            <w:r>
              <w:rPr/>
              <w:t>183,631</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FFFFFF" w:val="clear"/>
            <w:tcMar>
              <w:bottom w:w="28" w:type="dxa"/>
            </w:tcMar>
            <w:vAlign w:val="center"/>
          </w:tcPr>
          <w:p>
            <w:pPr>
              <w:pStyle w:val="TableContents"/>
              <w:bidi w:val="0"/>
              <w:spacing w:before="0" w:after="283"/>
              <w:jc w:val="right"/>
              <w:rPr/>
            </w:pPr>
            <w:r>
              <w:rPr/>
              <w:t>155,210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pPr>
            <w:r>
              <w:rPr/>
              <w:t>(137,204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pPr>
            <w:r>
              <w:rPr/>
              <w:t>18,006</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5" w:type="dxa"/>
            <w:tcBorders>
              <w:bottom w:val="double" w:sz="10" w:space="0" w:color="000000"/>
            </w:tcBorders>
            <w:shd w:fill="CCEEFF" w:val="clear"/>
            <w:tcMar>
              <w:bottom w:w="28" w:type="dxa"/>
            </w:tcMar>
            <w:vAlign w:val="center"/>
          </w:tcPr>
          <w:p>
            <w:pPr>
              <w:pStyle w:val="TableContents"/>
              <w:bidi w:val="0"/>
              <w:spacing w:before="0" w:after="283"/>
              <w:jc w:val="right"/>
              <w:rPr/>
            </w:pPr>
            <w:r>
              <w:rPr/>
              <w:t>28,421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9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4" w:type="dxa"/>
            <w:tcBorders>
              <w:bottom w:val="double" w:sz="10" w:space="0" w:color="000000"/>
            </w:tcBorders>
            <w:shd w:fill="CCEEFF" w:val="clear"/>
            <w:tcMar>
              <w:bottom w:w="28" w:type="dxa"/>
            </w:tcMar>
            <w:vAlign w:val="center"/>
          </w:tcPr>
          <w:p>
            <w:pPr>
              <w:pStyle w:val="TableContents"/>
              <w:bidi w:val="0"/>
              <w:spacing w:before="0" w:after="283"/>
              <w:jc w:val="right"/>
              <w:rPr/>
            </w:pPr>
            <w:r>
              <w:rPr/>
              <w:t>137,204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77" w:type="dxa"/>
            <w:tcBorders>
              <w:bottom w:val="double" w:sz="10" w:space="0" w:color="000000"/>
            </w:tcBorders>
            <w:shd w:fill="CCEEFF" w:val="clear"/>
            <w:tcMar>
              <w:bottom w:w="28" w:type="dxa"/>
            </w:tcMar>
            <w:vAlign w:val="center"/>
          </w:tcPr>
          <w:p>
            <w:pPr>
              <w:pStyle w:val="TableContents"/>
              <w:bidi w:val="0"/>
              <w:spacing w:before="0" w:after="283"/>
              <w:jc w:val="right"/>
              <w:rPr/>
            </w:pPr>
            <w:r>
              <w:rPr/>
              <w:t>165,625</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3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2,462,469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(1,398,008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1,064,461</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431,054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3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28,937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459,991</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1,758,156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(103,154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108,168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1,763,170</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Acquisition and integration</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395" w:type="dxa"/>
            <w:tcBorders/>
            <w:shd w:fill="FFFFFF" w:val="clear"/>
            <w:vAlign w:val="center"/>
          </w:tcPr>
          <w:p>
            <w:pPr>
              <w:pStyle w:val="TableContents"/>
              <w:bidi w:val="0"/>
              <w:spacing w:before="0" w:after="283"/>
              <w:jc w:val="right"/>
              <w:rPr/>
            </w:pPr>
            <w:r>
              <w:rPr/>
              <w:t>1,501,261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1,501,261</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FFFFFF" w:val="clear"/>
            <w:tcMar>
              <w:bottom w:w="28" w:type="dxa"/>
            </w:tcMar>
            <w:vAlign w:val="center"/>
          </w:tcPr>
          <w:p>
            <w:pPr>
              <w:pStyle w:val="TableContents"/>
              <w:bidi w:val="0"/>
              <w:spacing w:before="0" w:after="283"/>
              <w:jc w:val="right"/>
              <w:rPr/>
            </w:pPr>
            <w:r>
              <w:rPr/>
              <w:t>4,651,679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pPr>
            <w:r>
              <w:rPr/>
              <w:t>137,204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pPr>
            <w:r>
              <w:rPr/>
              <w:t>4,788,883</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35" w:type="dxa"/>
            <w:tcBorders>
              <w:bottom w:val="single" w:sz="12" w:space="0" w:color="000000"/>
            </w:tcBorders>
            <w:shd w:fill="CCEEFF" w:val="clear"/>
            <w:tcMar>
              <w:bottom w:w="28" w:type="dxa"/>
            </w:tcMar>
            <w:vAlign w:val="center"/>
          </w:tcPr>
          <w:p>
            <w:pPr>
              <w:pStyle w:val="TableContents"/>
              <w:bidi w:val="0"/>
              <w:spacing w:before="0" w:after="283"/>
              <w:jc w:val="right"/>
              <w:rPr/>
            </w:pPr>
            <w:r>
              <w:rPr/>
              <w:t>(4,623,258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77" w:type="dxa"/>
            <w:tcBorders>
              <w:bottom w:val="single" w:sz="12" w:space="0" w:color="000000"/>
            </w:tcBorders>
            <w:shd w:fill="CCEEFF" w:val="clear"/>
            <w:tcMar>
              <w:bottom w:w="28" w:type="dxa"/>
            </w:tcMar>
            <w:vAlign w:val="center"/>
          </w:tcPr>
          <w:p>
            <w:pPr>
              <w:pStyle w:val="TableContents"/>
              <w:bidi w:val="0"/>
              <w:spacing w:before="0" w:after="283"/>
              <w:jc w:val="right"/>
              <w:rPr/>
            </w:pPr>
            <w:r>
              <w:rPr/>
              <w:t>(4,623,258</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 of Period Adjustment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September 30, 2025, the Company identified an error in its previously issued financial statements that was corrected through an out of period adjustment in the condensed financial statements as of and for the three and nine months ended September 30, 2025.  The error related to non-redemption compensation incurred during the three months ended June 30, 2025 that was not recorded in that quarter.  As a result, the Company recorded an out of period adjustment in the amount of approximately $561,000 in the quarter ended September 30, 2025. The Company assessed this out of period adjustment both quantitatively and qualitatively and concluded the error was immaterial.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5 - 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 Arising From Cash Deposits in Excess of Insured Limits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cash balance with a U.S. financial institution, in which the balance exceeds the FDIC insured limit of $250,000. As of September 30, 2025 and December 31, 2024, the Company’s cash balance held at the financial institution exceeded the FDIC limit. The Company has not experienced losses on this account and management believes the Company is not exposed to significant risks on such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customer is defined as one that accounts for at least 10% of the Company’s revenue. For the three months ended September 30, 2025, sales to three customers accounted for 100% of total revenues, of which one customer contributed approximately 86% and the other customer contributed approximately 12%. For the nine months ended September 30, 2025, sales to three customers accounted for 100% of total revenues, of which one customer contributed approximately 90%. For the three months ended September 30, 2024, sales to three customers accounted for 100% of total revenues, of which one customer contributed approximately 86%. For the nine months ended September 30, 2024, sales to four customers accounted for 100% of total revenues, of which one customer contributed approximately 53% and another contributed approximately 38%.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Company’s accounts receivable balance was concentrated among two customers. One customer accounted for approximately 90% of total accounts receivable, and another customer represented approximately 10%. As of September 30, 2024, the Company’s accounts receivable balance was concentrated among three customers. One customer accounted for approximately 75% of total accounts receivable, and another customer represented approximately 24%. The Company monitors the creditworthiness of its customers on an ongoing basis and believes that its credit risk is limited due to the financial strength and payment history of these customers. Management does not expect any material losses from these receivable concentrations and has not recorded an allowance for doubtful accounts, as all receivables are considered highly collectible.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6 – Property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as of September 30, 2025 and December 31, 2024, consisted of the following:</w:t>
      </w:r>
    </w:p>
    <w:p>
      <w:pPr>
        <w:pStyle w:val="TextBody"/>
        <w:bidi w:val="0"/>
        <w:spacing w:before="0" w:after="0"/>
        <w:ind w:left="0" w:right="0" w:firstLine="720"/>
        <w:jc w:val="both"/>
        <w:rPr>
          <w:caps w:val="false"/>
          <w:smallCaps w:val="false"/>
        </w:rPr>
      </w:pPr>
      <w:r>
        <w:rPr>
          <w:caps w:val="false"/>
          <w:smallCaps w:val="false"/>
        </w:rPr>
        <w:t> </w:t>
      </w:r>
    </w:p>
    <w:tbl>
      <w:tblPr>
        <w:tblW w:w="9038" w:type="dxa"/>
        <w:jc w:val="left"/>
        <w:tblInd w:w="0" w:type="dxa"/>
        <w:tblLayout w:type="fixed"/>
        <w:tblCellMar>
          <w:top w:w="0" w:type="dxa"/>
          <w:left w:w="0" w:type="dxa"/>
          <w:bottom w:w="0" w:type="dxa"/>
          <w:right w:w="0" w:type="dxa"/>
        </w:tblCellMar>
      </w:tblPr>
      <w:tblGrid>
        <w:gridCol w:w="4700"/>
        <w:gridCol w:w="60"/>
        <w:gridCol w:w="1100"/>
        <w:gridCol w:w="60"/>
        <w:gridCol w:w="101"/>
        <w:gridCol w:w="1373"/>
        <w:gridCol w:w="95"/>
        <w:gridCol w:w="60"/>
        <w:gridCol w:w="114"/>
        <w:gridCol w:w="1300"/>
        <w:gridCol w:w="75"/>
      </w:tblGrid>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Estimated </w:t>
              <w:br/>
              <w:t>useful life</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75"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pPr>
            <w:r>
              <w:rPr/>
              <w:t>Equipment</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5 years</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495,010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11,286</w:t>
            </w:r>
          </w:p>
        </w:tc>
        <w:tc>
          <w:tcPr>
            <w:tcW w:w="75"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12" w:space="0" w:color="000000"/>
            </w:tcBorders>
            <w:shd w:fill="FFFFFF" w:val="clear"/>
            <w:tcMar>
              <w:bottom w:w="28" w:type="dxa"/>
            </w:tcMar>
            <w:vAlign w:val="center"/>
          </w:tcPr>
          <w:p>
            <w:pPr>
              <w:pStyle w:val="TableContents"/>
              <w:bidi w:val="0"/>
              <w:spacing w:before="0" w:after="283"/>
              <w:jc w:val="right"/>
              <w:rPr/>
            </w:pPr>
            <w:r>
              <w:rPr/>
              <w:t>(16,839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10" w:space="0" w:color="000000"/>
            </w:tcBorders>
            <w:shd w:fill="CCEEFF" w:val="clear"/>
            <w:tcMar>
              <w:bottom w:w="28" w:type="dxa"/>
            </w:tcMar>
            <w:vAlign w:val="center"/>
          </w:tcPr>
          <w:p>
            <w:pPr>
              <w:pStyle w:val="TableContents"/>
              <w:bidi w:val="0"/>
              <w:spacing w:before="0" w:after="283"/>
              <w:jc w:val="right"/>
              <w:rPr/>
            </w:pPr>
            <w:r>
              <w:rPr/>
              <w:t>478,171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double" w:sz="10" w:space="0" w:color="000000"/>
            </w:tcBorders>
            <w:shd w:fill="CCEEFF" w:val="clear"/>
            <w:tcMar>
              <w:bottom w:w="28" w:type="dxa"/>
            </w:tcMar>
            <w:vAlign w:val="center"/>
          </w:tcPr>
          <w:p>
            <w:pPr>
              <w:pStyle w:val="TableContents"/>
              <w:bidi w:val="0"/>
              <w:spacing w:before="0" w:after="283"/>
              <w:jc w:val="right"/>
              <w:rPr/>
            </w:pPr>
            <w:r>
              <w:rPr/>
              <w:t>11,286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2075"/>
        <w:gridCol w:w="60"/>
        <w:gridCol w:w="280"/>
        <w:gridCol w:w="1364"/>
        <w:gridCol w:w="120"/>
        <w:gridCol w:w="120"/>
        <w:gridCol w:w="280"/>
        <w:gridCol w:w="672"/>
        <w:gridCol w:w="60"/>
        <w:gridCol w:w="60"/>
        <w:gridCol w:w="278"/>
        <w:gridCol w:w="1350"/>
        <w:gridCol w:w="119"/>
        <w:gridCol w:w="119"/>
        <w:gridCol w:w="278"/>
        <w:gridCol w:w="665"/>
        <w:gridCol w:w="75"/>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nine months ended </w:t>
              <w:br/>
              <w:t>September 30,</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1364" w:type="dxa"/>
            <w:tcBorders/>
            <w:shd w:fill="CCEEFF" w:val="clear"/>
            <w:vAlign w:val="center"/>
          </w:tcPr>
          <w:p>
            <w:pPr>
              <w:pStyle w:val="TableContents"/>
              <w:bidi w:val="0"/>
              <w:spacing w:before="0" w:after="283"/>
              <w:jc w:val="right"/>
              <w:rPr/>
            </w:pPr>
            <w:r>
              <w:rPr/>
              <w:t>11,738</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672"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350" w:type="dxa"/>
            <w:tcBorders/>
            <w:shd w:fill="CCEEFF" w:val="clear"/>
            <w:vAlign w:val="center"/>
          </w:tcPr>
          <w:p>
            <w:pPr>
              <w:pStyle w:val="TableContents"/>
              <w:bidi w:val="0"/>
              <w:spacing w:before="0" w:after="283"/>
              <w:jc w:val="right"/>
              <w:rPr/>
            </w:pPr>
            <w:r>
              <w:rPr/>
              <w:t>16,839</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7 - Capitalized Software Development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capitalizes eligible costs incurred in the development of internal-use software during the application development stage, in accordance with ASC 350-40, </w:t>
      </w:r>
      <w:r>
        <w:rPr>
          <w:rFonts w:ascii="Times New Roman;Times;Serif" w:hAnsi="Times New Roman;Times;Serif"/>
          <w:b w:val="false"/>
          <w:i/>
          <w:caps w:val="false"/>
          <w:smallCaps w:val="false"/>
          <w:sz w:val="20"/>
        </w:rPr>
        <w:t>Internal-Use Software</w:t>
      </w:r>
      <w:r>
        <w:rPr>
          <w:rFonts w:ascii="Times New Roman;Times;Serif" w:hAnsi="Times New Roman;Times;Serif"/>
          <w:b w:val="false"/>
          <w:i w:val="false"/>
          <w:caps w:val="false"/>
          <w:smallCaps w:val="false"/>
          <w:sz w:val="20"/>
        </w:rPr>
        <w:t>. Capitalized software development costs include direct labor, third-party services, and other direct costs associated with the development of new software or significant upgrades and enhancements to existing software. Costs incurred during the preliminary project stage and post-implementation/operational stage are expensed as incurred. Capitalized software development costs are amortized on a straight-line basis over the estimated useful life of the software, which is typically three to five years. The Company reviews the carrying value of capitalized software for impairment whenever events or changes in circumstances indicate the carrying amount may not be recoverable.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capitalized software development costs of $2,660,194 and $1,761,396 as of September 30, 2025 and December 31,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2025 and 2024, there was no amortization expense recorded on capitalized software development costs as the software was not substantially complete and ready for its intended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8 - SAFE Agreements and Fair Value Measurements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SEE ID had issued Simple Agreements for Future Equity (the “SAFE agreements”) to investors for proceeds totaling $8,480,217. Under the terms of these SAFE agreements, which had stated discount rates ranging from 67% to 80%, the following would happen upon the occurrence of these events (all capitalized terms are as defined in the SAFE agreements):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Equity Financing</w:t>
            </w:r>
            <w:r>
              <w:rPr>
                <w:rFonts w:ascii="Times New Roman;Times;Serif" w:hAnsi="Times New Roman;Times;Serif"/>
                <w:sz w:val="20"/>
              </w:rPr>
              <w:t xml:space="preserve"> - the SAFE agreements will automatically convert into the number of shares of Safe Preferred Stock equal to the Purchase Amount divided by the Discount Price with certain SAFE agreements subject to a post-money valuation cap of $30,000,000.</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Liquidity Event</w:t>
            </w:r>
            <w:r>
              <w:rPr>
                <w:rFonts w:ascii="Times New Roman;Times;Serif" w:hAnsi="Times New Roman;Times;Serif"/>
                <w:sz w:val="20"/>
              </w:rPr>
              <w:t xml:space="preserve"> - the SAFE agreements will automatically be entitled to receive a portion of Proceeds, due and payable to the Investor immediately prior to, or concurrent with, the consumption of such Liquidity Event, equal to the greater of (i) the Purchase Amount (the “Cash-Out Amount”) or (ii) the amount payable on the number of shares of Common Stock equal to the Purchase Amount divided by the Liquidity Price.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Dissolution Event</w:t>
            </w:r>
            <w:r>
              <w:rPr>
                <w:rFonts w:ascii="Times New Roman;Times;Serif" w:hAnsi="Times New Roman;Times;Serif"/>
                <w:sz w:val="20"/>
              </w:rPr>
              <w:t xml:space="preserve"> - the Investor will automatically be entitled to receive a portion of Proceeds equal to the Cash-Out Amount, due and payable to the Investor immediately prior to the consummation of the Dissolution Event.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815-40, </w:t>
      </w:r>
      <w:r>
        <w:rPr>
          <w:rFonts w:ascii="Times New Roman;Times;Serif" w:hAnsi="Times New Roman;Times;Serif"/>
          <w:b w:val="false"/>
          <w:i/>
          <w:caps w:val="false"/>
          <w:smallCaps w:val="false"/>
          <w:sz w:val="20"/>
        </w:rPr>
        <w:t>Contracts in Entity’s Own Equity</w:t>
      </w:r>
      <w:r>
        <w:rPr>
          <w:rFonts w:ascii="Times New Roman;Times;Serif" w:hAnsi="Times New Roman;Times;Serif"/>
          <w:b w:val="false"/>
          <w:i w:val="false"/>
          <w:caps w:val="false"/>
          <w:smallCaps w:val="false"/>
          <w:sz w:val="20"/>
        </w:rPr>
        <w:t>, the Company determined that the SAFE agreements represented freestanding financial instruments and, accordingly, classified them as derivative liabilities in the accompanying condensed consolidated balance sheets. The SAFE agreements were carried at estimated fair value, which was determined by the Company via a probability-weighted expected return method.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which closed on June 18, 2025, as described in Note 3, qualified as an “Equity Financing” under the terms of the Company’s SAFE agreements. As a result, all outstanding SAFE notes were converted into 2,909,057 shares of Common Stock. The Company recognized a fair value change in the SAFE notes of $17,368,415, based on the fair value of the Common Stock at Closing of $14.00 per share. Accordingly, no SAFE notes remained outstanding as of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2025 and 2024, the SAFE note activity was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23"/>
        <w:gridCol w:w="60"/>
        <w:gridCol w:w="297"/>
        <w:gridCol w:w="203"/>
        <w:gridCol w:w="100"/>
        <w:gridCol w:w="100"/>
        <w:gridCol w:w="235"/>
        <w:gridCol w:w="1848"/>
        <w:gridCol w:w="60"/>
        <w:gridCol w:w="60"/>
        <w:gridCol w:w="141"/>
        <w:gridCol w:w="1189"/>
        <w:gridCol w:w="95"/>
        <w:gridCol w:w="60"/>
        <w:gridCol w:w="141"/>
        <w:gridCol w:w="1113"/>
        <w:gridCol w:w="80"/>
      </w:tblGrid>
      <w:tr>
        <w:trPr/>
        <w:tc>
          <w:tcPr>
            <w:tcW w:w="44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nine months ended</w:t>
              <w:br/>
              <w:t>September 30,</w:t>
            </w:r>
          </w:p>
        </w:tc>
        <w:tc>
          <w:tcPr>
            <w:tcW w:w="80" w:type="dxa"/>
            <w:tcBorders/>
            <w:vAlign w:val="center"/>
          </w:tcPr>
          <w:p>
            <w:pPr>
              <w:pStyle w:val="TableContents"/>
              <w:bidi w:val="0"/>
              <w:spacing w:before="0" w:after="283"/>
              <w:jc w:val="left"/>
              <w:rPr/>
            </w:pPr>
            <w:r>
              <w:rPr/>
              <w:t> </w:t>
            </w:r>
          </w:p>
        </w:tc>
      </w:tr>
      <w:tr>
        <w:trPr/>
        <w:tc>
          <w:tcPr>
            <w:tcW w:w="44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20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0" w:type="dxa"/>
            <w:tcBorders/>
            <w:vAlign w:val="center"/>
          </w:tcPr>
          <w:p>
            <w:pPr>
              <w:pStyle w:val="TableContents"/>
              <w:bidi w:val="0"/>
              <w:spacing w:before="0" w:after="283"/>
              <w:jc w:val="left"/>
              <w:rPr/>
            </w:pPr>
            <w:r>
              <w:rPr/>
              <w:t> </w:t>
            </w:r>
          </w:p>
        </w:tc>
      </w:tr>
      <w:tr>
        <w:trPr/>
        <w:tc>
          <w:tcPr>
            <w:tcW w:w="4423" w:type="dxa"/>
            <w:tcBorders/>
            <w:shd w:fill="CCEEFF" w:val="clear"/>
            <w:vAlign w:val="center"/>
          </w:tcPr>
          <w:p>
            <w:pPr>
              <w:pStyle w:val="TableContents"/>
              <w:bidi w:val="0"/>
              <w:spacing w:before="0" w:after="283"/>
              <w:jc w:val="left"/>
              <w:rPr/>
            </w:pPr>
            <w:r>
              <w:rPr/>
              <w:t>SAFE agreements at fair value, beginning of period</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203"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1848" w:type="dxa"/>
            <w:tcBorders/>
            <w:shd w:fill="CCEEFF" w:val="clear"/>
            <w:vAlign w:val="center"/>
          </w:tcPr>
          <w:p>
            <w:pPr>
              <w:pStyle w:val="TableContents"/>
              <w:bidi w:val="0"/>
              <w:spacing w:before="0" w:after="283"/>
              <w:jc w:val="right"/>
              <w:rPr/>
            </w:pPr>
            <w:r>
              <w:rPr/>
              <w:t>21,200,160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89" w:type="dxa"/>
            <w:tcBorders/>
            <w:shd w:fill="CCEEFF" w:val="clear"/>
            <w:vAlign w:val="center"/>
          </w:tcPr>
          <w:p>
            <w:pPr>
              <w:pStyle w:val="TableContents"/>
              <w:bidi w:val="0"/>
              <w:spacing w:before="0" w:after="283"/>
              <w:jc w:val="right"/>
              <w:rPr/>
            </w:pPr>
            <w:r>
              <w:rPr/>
              <w:t>23,334,626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3" w:type="dxa"/>
            <w:tcBorders/>
            <w:shd w:fill="CCEEFF" w:val="clear"/>
            <w:vAlign w:val="center"/>
          </w:tcPr>
          <w:p>
            <w:pPr>
              <w:pStyle w:val="TableContents"/>
              <w:bidi w:val="0"/>
              <w:spacing w:before="0" w:after="283"/>
              <w:jc w:val="right"/>
              <w:rPr/>
            </w:pPr>
            <w:r>
              <w:rPr/>
              <w:t>4,602,950</w:t>
            </w:r>
          </w:p>
        </w:tc>
        <w:tc>
          <w:tcPr>
            <w:tcW w:w="80" w:type="dxa"/>
            <w:tcBorders/>
            <w:shd w:fill="CCEEFF" w:val="clear"/>
            <w:vAlign w:val="center"/>
          </w:tcPr>
          <w:p>
            <w:pPr>
              <w:pStyle w:val="TableContents"/>
              <w:bidi w:val="0"/>
              <w:spacing w:before="0" w:after="283"/>
              <w:jc w:val="left"/>
              <w:rPr/>
            </w:pPr>
            <w:r>
              <w:rPr/>
              <w:t> </w:t>
            </w:r>
          </w:p>
        </w:tc>
      </w:tr>
      <w:tr>
        <w:trPr/>
        <w:tc>
          <w:tcPr>
            <w:tcW w:w="4423" w:type="dxa"/>
            <w:tcBorders/>
            <w:shd w:fill="FFFFFF" w:val="clear"/>
            <w:vAlign w:val="center"/>
          </w:tcPr>
          <w:p>
            <w:pPr>
              <w:pStyle w:val="TableContents"/>
              <w:bidi w:val="0"/>
              <w:spacing w:before="0" w:after="283"/>
              <w:jc w:val="left"/>
              <w:rPr/>
            </w:pPr>
            <w:r>
              <w:rPr/>
              <w:t>SAFE agreements issued for cash</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700,000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23,752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3,834,500</w:t>
            </w:r>
          </w:p>
        </w:tc>
        <w:tc>
          <w:tcPr>
            <w:tcW w:w="80" w:type="dxa"/>
            <w:tcBorders/>
            <w:shd w:fill="FFFFFF" w:val="clear"/>
            <w:vAlign w:val="center"/>
          </w:tcPr>
          <w:p>
            <w:pPr>
              <w:pStyle w:val="TableContents"/>
              <w:bidi w:val="0"/>
              <w:spacing w:before="0" w:after="283"/>
              <w:jc w:val="left"/>
              <w:rPr/>
            </w:pPr>
            <w:r>
              <w:rPr/>
              <w:t> </w:t>
            </w:r>
          </w:p>
        </w:tc>
      </w:tr>
      <w:tr>
        <w:trPr/>
        <w:tc>
          <w:tcPr>
            <w:tcW w:w="4423"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764,446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17,368,415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14,227,156</w:t>
            </w:r>
          </w:p>
        </w:tc>
        <w:tc>
          <w:tcPr>
            <w:tcW w:w="80" w:type="dxa"/>
            <w:tcBorders/>
            <w:shd w:fill="CCEEFF" w:val="clear"/>
            <w:vAlign w:val="center"/>
          </w:tcPr>
          <w:p>
            <w:pPr>
              <w:pStyle w:val="TableContents"/>
              <w:bidi w:val="0"/>
              <w:spacing w:before="0" w:after="283"/>
              <w:jc w:val="left"/>
              <w:rPr/>
            </w:pPr>
            <w:r>
              <w:rPr/>
              <w:t> </w:t>
            </w:r>
          </w:p>
        </w:tc>
      </w:tr>
      <w:tr>
        <w:trPr/>
        <w:tc>
          <w:tcPr>
            <w:tcW w:w="4423" w:type="dxa"/>
            <w:tcBorders/>
            <w:shd w:fill="FFFFFF" w:val="clear"/>
            <w:vAlign w:val="center"/>
          </w:tcPr>
          <w:p>
            <w:pPr>
              <w:pStyle w:val="TableContents"/>
              <w:bidi w:val="0"/>
              <w:spacing w:before="0" w:after="283"/>
              <w:jc w:val="left"/>
              <w:rPr/>
            </w:pPr>
            <w:r>
              <w:rPr/>
              <w:t>SAFE notes converted into shares</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FFFFFF" w:val="clear"/>
            <w:tcMar>
              <w:bottom w:w="28" w:type="dxa"/>
            </w:tcMar>
            <w:vAlign w:val="center"/>
          </w:tcPr>
          <w:p>
            <w:pPr>
              <w:pStyle w:val="TableContents"/>
              <w:bidi w:val="0"/>
              <w:spacing w:before="0" w:after="283"/>
              <w:jc w:val="right"/>
              <w:rPr/>
            </w:pPr>
            <w:r>
              <w:rPr/>
              <w:t>(40,726,793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423" w:type="dxa"/>
            <w:tcBorders/>
            <w:shd w:fill="CCEEFF" w:val="clear"/>
            <w:vAlign w:val="center"/>
          </w:tcPr>
          <w:p>
            <w:pPr>
              <w:pStyle w:val="TableContents"/>
              <w:bidi w:val="0"/>
              <w:spacing w:before="0" w:after="283"/>
              <w:jc w:val="left"/>
              <w:rPr/>
            </w:pPr>
            <w:r>
              <w:rPr/>
              <w:t>SAFE agreements at fair value, end of period</w:t>
            </w:r>
          </w:p>
        </w:tc>
        <w:tc>
          <w:tcPr>
            <w:tcW w:w="60" w:type="dxa"/>
            <w:tcBorders/>
            <w:shd w:fill="CCEEFF" w:val="clear"/>
            <w:vAlign w:val="center"/>
          </w:tcPr>
          <w:p>
            <w:pPr>
              <w:pStyle w:val="TableContents"/>
              <w:bidi w:val="0"/>
              <w:spacing w:before="0" w:after="283"/>
              <w:jc w:val="left"/>
              <w:rPr/>
            </w:pPr>
            <w:r>
              <w:rPr/>
              <w:t> </w:t>
            </w:r>
          </w:p>
        </w:tc>
        <w:tc>
          <w:tcPr>
            <w:tcW w:w="2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848" w:type="dxa"/>
            <w:tcBorders>
              <w:bottom w:val="double" w:sz="10" w:space="0" w:color="000000"/>
            </w:tcBorders>
            <w:shd w:fill="CCEEFF" w:val="clear"/>
            <w:tcMar>
              <w:bottom w:w="28" w:type="dxa"/>
            </w:tcMar>
            <w:vAlign w:val="center"/>
          </w:tcPr>
          <w:p>
            <w:pPr>
              <w:pStyle w:val="TableContents"/>
              <w:bidi w:val="0"/>
              <w:spacing w:before="0" w:after="283"/>
              <w:jc w:val="right"/>
              <w:rPr/>
            </w:pPr>
            <w:r>
              <w:rPr/>
              <w:t>22,664,606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3" w:type="dxa"/>
            <w:tcBorders>
              <w:bottom w:val="double" w:sz="10" w:space="0" w:color="000000"/>
            </w:tcBorders>
            <w:shd w:fill="CCEEFF" w:val="clear"/>
            <w:tcMar>
              <w:bottom w:w="28" w:type="dxa"/>
            </w:tcMar>
            <w:vAlign w:val="center"/>
          </w:tcPr>
          <w:p>
            <w:pPr>
              <w:pStyle w:val="TableContents"/>
              <w:bidi w:val="0"/>
              <w:spacing w:before="0" w:after="283"/>
              <w:jc w:val="right"/>
              <w:rPr/>
            </w:pPr>
            <w:r>
              <w:rPr/>
              <w:t>22,664,606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Instruments: Derivative instruments that are not traded on an exchange are valued using conventional calculations/models that are primarily based on unobservable inputs such as private company unit price and volatilities, and therefore, such derivative instruments are included in Level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completion of the Business Combination, all outstanding derivatives were converted into shares of the Company’s Common Stock. The following table presents information about the Company’s assets and liabilities that are measured at fair value on a recurring basis as of September 30, 2025 and December 31, 2024, and indicates the fair value hierarchy of the valuation inputs the Company utilized to determine such fair value:</w:t>
      </w:r>
    </w:p>
    <w:p>
      <w:pPr>
        <w:pStyle w:val="TextBody"/>
        <w:bidi w:val="0"/>
        <w:spacing w:before="0" w:after="0"/>
        <w:ind w:left="0" w:right="0" w:firstLine="720"/>
        <w:jc w:val="both"/>
        <w:rPr>
          <w:caps w:val="false"/>
          <w:smallCaps w:val="false"/>
        </w:rPr>
      </w:pPr>
      <w:r>
        <w:rPr>
          <w:caps w:val="false"/>
          <w:smallCaps w:val="false"/>
        </w:rPr>
        <w:t> </w:t>
      </w:r>
    </w:p>
    <w:tbl>
      <w:tblPr>
        <w:tblW w:w="5705" w:type="dxa"/>
        <w:jc w:val="left"/>
        <w:tblInd w:w="0" w:type="dxa"/>
        <w:tblLayout w:type="fixed"/>
        <w:tblCellMar>
          <w:top w:w="0" w:type="dxa"/>
          <w:left w:w="0" w:type="dxa"/>
          <w:bottom w:w="28" w:type="dxa"/>
          <w:right w:w="0" w:type="dxa"/>
        </w:tblCellMar>
      </w:tblPr>
      <w:tblGrid>
        <w:gridCol w:w="1925"/>
        <w:gridCol w:w="60"/>
        <w:gridCol w:w="575"/>
        <w:gridCol w:w="60"/>
        <w:gridCol w:w="434"/>
        <w:gridCol w:w="1041"/>
        <w:gridCol w:w="60"/>
        <w:gridCol w:w="60"/>
        <w:gridCol w:w="159"/>
        <w:gridCol w:w="1256"/>
        <w:gridCol w:w="75"/>
      </w:tblGrid>
      <w:tr>
        <w:trPr/>
        <w:tc>
          <w:tcPr>
            <w:tcW w:w="1925" w:type="dxa"/>
            <w:tcBorders>
              <w:bottom w:val="single" w:sz="12" w:space="0" w:color="000000"/>
            </w:tcBorders>
            <w:vAlign w:val="center"/>
          </w:tcPr>
          <w:p>
            <w:pPr>
              <w:pStyle w:val="TableContents"/>
              <w:bidi w:val="0"/>
              <w:spacing w:before="0" w:after="283"/>
              <w:jc w:val="left"/>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tcBorders>
              <w:bottom w:val="single" w:sz="12" w:space="0" w:color="000000"/>
            </w:tcBorders>
            <w:vAlign w:val="center"/>
          </w:tcPr>
          <w:p>
            <w:pPr>
              <w:pStyle w:val="TableContents"/>
              <w:bidi w:val="0"/>
              <w:spacing w:before="0" w:after="283"/>
              <w:jc w:val="center"/>
              <w:rPr>
                <w:b/>
              </w:rPr>
            </w:pPr>
            <w:r>
              <w:rPr>
                <w:b/>
              </w:rPr>
              <w:t>Level</w:t>
            </w:r>
          </w:p>
        </w:tc>
        <w:tc>
          <w:tcPr>
            <w:tcW w:w="60" w:type="dxa"/>
            <w:tcBorders/>
            <w:tcMar>
              <w:bottom w:w="0" w:type="dxa"/>
            </w:tcMar>
            <w:vAlign w:val="center"/>
          </w:tcPr>
          <w:p>
            <w:pPr>
              <w:pStyle w:val="TableContents"/>
              <w:bidi w:val="0"/>
              <w:spacing w:before="0" w:after="283"/>
              <w:jc w:val="left"/>
              <w:rPr/>
            </w:pPr>
            <w:r>
              <w:rPr/>
              <w:t> </w:t>
            </w:r>
          </w:p>
        </w:tc>
        <w:tc>
          <w:tcPr>
            <w:tcW w:w="1475" w:type="dxa"/>
            <w:gridSpan w:val="2"/>
            <w:tcBorders>
              <w:bottom w:val="single" w:sz="12" w:space="0" w:color="000000"/>
            </w:tcBorders>
            <w:vAlign w:val="center"/>
          </w:tcPr>
          <w:p>
            <w:pPr>
              <w:pStyle w:val="TableContents"/>
              <w:bidi w:val="0"/>
              <w:spacing w:before="0" w:after="283"/>
              <w:jc w:val="center"/>
              <w:rPr>
                <w:b/>
              </w:rPr>
            </w:pPr>
            <w:r>
              <w:rPr>
                <w:b/>
              </w:rPr>
              <w:t>September 30,</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2024</w:t>
            </w:r>
          </w:p>
        </w:tc>
        <w:tc>
          <w:tcPr>
            <w:tcW w:w="75" w:type="dxa"/>
            <w:tcBorders/>
            <w:tcMar>
              <w:bottom w:w="0" w:type="dxa"/>
            </w:tcMar>
            <w:vAlign w:val="center"/>
          </w:tcPr>
          <w:p>
            <w:pPr>
              <w:pStyle w:val="TableContents"/>
              <w:bidi w:val="0"/>
              <w:spacing w:before="0" w:after="283"/>
              <w:jc w:val="left"/>
              <w:rPr/>
            </w:pPr>
            <w:r>
              <w:rPr/>
              <w:t> </w:t>
            </w:r>
          </w:p>
        </w:tc>
      </w:tr>
      <w:tr>
        <w:trPr/>
        <w:tc>
          <w:tcPr>
            <w:tcW w:w="1925" w:type="dxa"/>
            <w:tcBorders/>
            <w:shd w:fill="CCEEFF" w:val="clear"/>
            <w:tcMar>
              <w:bottom w:w="0" w:type="dxa"/>
            </w:tcMar>
            <w:vAlign w:val="center"/>
          </w:tcPr>
          <w:p>
            <w:pPr>
              <w:pStyle w:val="TableContents"/>
              <w:bidi w:val="0"/>
              <w:spacing w:before="0" w:after="283"/>
              <w:jc w:val="left"/>
              <w:rPr/>
            </w:pPr>
            <w:r>
              <w:rPr/>
              <w:t>Derivative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4" w:type="dxa"/>
            <w:tcBorders/>
            <w:shd w:fill="CCEEFF" w:val="clear"/>
            <w:tcMar>
              <w:bottom w:w="0" w:type="dxa"/>
            </w:tcMar>
            <w:vAlign w:val="center"/>
          </w:tcPr>
          <w:p>
            <w:pPr>
              <w:pStyle w:val="TableContents"/>
              <w:bidi w:val="0"/>
              <w:spacing w:before="0" w:after="283"/>
              <w:jc w:val="left"/>
              <w:rPr/>
            </w:pPr>
            <w:r>
              <w:rPr/>
              <w:t>$</w:t>
            </w:r>
          </w:p>
        </w:tc>
        <w:tc>
          <w:tcPr>
            <w:tcW w:w="1041"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1256" w:type="dxa"/>
            <w:tcBorders/>
            <w:shd w:fill="CCEEFF" w:val="clear"/>
            <w:tcMar>
              <w:bottom w:w="0" w:type="dxa"/>
            </w:tcMar>
            <w:vAlign w:val="center"/>
          </w:tcPr>
          <w:p>
            <w:pPr>
              <w:pStyle w:val="TableContents"/>
              <w:bidi w:val="0"/>
              <w:spacing w:before="0" w:after="283"/>
              <w:jc w:val="right"/>
              <w:rPr/>
            </w:pPr>
            <w:r>
              <w:rPr/>
              <w:t>23,334,626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9 - Equity Line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the Company’s Common Shares during the commitment period ending June 18, 2028, at a discount of the volume-weighted average price (VWAP) over a defined pricing period. Under the SEPA, the Company may sell shares to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the option to satisfy the $350,000 commitment fee under the SEPA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Before the Company elects to sell shares by issuing a purchase notice, the SEPA represents a purchased put option on the Company’s equity. Once the Company delivers a purchase notice under the SEPA, the related number of shares to be issued constitutes a forward contract to issue Common Stock. As the feature is embedded in an equity host, meets the definition of a derivative, and does not qualify for the equity scope exception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it must be bifurcated and accounted for separately as a derivative asset or liability, depending on changes in the underlying stock price relative to the pegged discounted VWAP. The derivative is measured at fair value, with changes in fair value recognized in net loss. The fair value of the purchased put option was determined to be de minimis as of September 30, 2025, and therefore was not recorded on the Company’s balance sheet as of that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purchase notices were issued during the three and nine months ended September 30, 2025. On October 13, 2025, the Company issued a purchase notice to sell 30,000 shares of its Common Stock. The purchase price was settled at $2.6172 per share, resulting in total cash proceeds of $78,516.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10 – 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Recapitalization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3, Business Combination and Reverse Recapitalization, all historical equity data, including stock option data, in these unaudited condensed consolidated financial statements has been retrospectively adjusted by the Exchange Ratio to reflect the reverse recapitalization that occurred on June 18,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Company had authorized 300,000,000 shares of Common Stock, par value $0.0001 per share. As of September 30, 2025, 27,743,322 shares of Common Stock were issued and outstanding, and 272,256,678 shares of Common Stock were reserved for future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11 - Equity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2021, the Company adopted the 2021 Equity Inventive Plan (the “Incentive Plan”), which provides for grants of awards in the form of incentive stock options, non-qualified stock options, and restricted stock awards to selected employees, directors, and independent contractors of the Company and its affiliates, as defined in the Incentive Plan. The aggregate number of shares of the Company’s Common Stock that may be issued under the Incentive Plan shall not exceed 4,672,506. The purpose of the Incentive Plan is to encourage and enable selected participants to acquire or to increase their holdings of the Company’s Common Stock and other equity-based interests in the Company in order to promote a closer identification of their interests with those of the Company and its stockholders. The Incentive Plan is administered by the Company’s Board of Directors, which determines the people to whom awards will be granted, the type of awards to be granted, the number of awards to be granted and the specific terms of each grant, including the vesting thereof, subject to the provisions of the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nine months ended September 30, 2025 is as follows:</w:t>
      </w:r>
    </w:p>
    <w:p>
      <w:pPr>
        <w:pStyle w:val="TextBody"/>
        <w:bidi w:val="0"/>
        <w:spacing w:before="0" w:after="0"/>
        <w:ind w:left="0" w:right="0" w:firstLine="720"/>
        <w:jc w:val="both"/>
        <w:rPr>
          <w:caps w:val="false"/>
          <w:smallCaps w:val="false"/>
        </w:rPr>
      </w:pPr>
      <w:r>
        <w:rPr>
          <w:caps w:val="false"/>
          <w:smallCaps w:val="false"/>
        </w:rPr>
        <w:t> </w:t>
      </w:r>
    </w:p>
    <w:tbl>
      <w:tblPr>
        <w:tblW w:w="9219" w:type="dxa"/>
        <w:jc w:val="left"/>
        <w:tblInd w:w="0" w:type="dxa"/>
        <w:tblLayout w:type="fixed"/>
        <w:tblCellMar>
          <w:top w:w="0" w:type="dxa"/>
          <w:left w:w="0" w:type="dxa"/>
          <w:bottom w:w="0" w:type="dxa"/>
          <w:right w:w="0" w:type="dxa"/>
        </w:tblCellMar>
      </w:tblPr>
      <w:tblGrid>
        <w:gridCol w:w="4415"/>
        <w:gridCol w:w="60"/>
        <w:gridCol w:w="60"/>
        <w:gridCol w:w="980"/>
        <w:gridCol w:w="95"/>
        <w:gridCol w:w="60"/>
        <w:gridCol w:w="328"/>
        <w:gridCol w:w="1597"/>
        <w:gridCol w:w="60"/>
        <w:gridCol w:w="60"/>
        <w:gridCol w:w="171"/>
        <w:gridCol w:w="1258"/>
        <w:gridCol w:w="75"/>
      </w:tblGrid>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Weighted-Average</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Life (in years)</w:t>
            </w:r>
          </w:p>
        </w:tc>
        <w:tc>
          <w:tcPr>
            <w:tcW w:w="7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Options outstanding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2,032,521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1597" w:type="dxa"/>
            <w:tcBorders/>
            <w:shd w:fill="CCEEFF" w:val="clear"/>
            <w:vAlign w:val="center"/>
          </w:tcPr>
          <w:p>
            <w:pPr>
              <w:pStyle w:val="TableContents"/>
              <w:bidi w:val="0"/>
              <w:spacing w:before="0" w:after="283"/>
              <w:jc w:val="right"/>
              <w:rPr/>
            </w:pPr>
            <w:r>
              <w:rPr/>
              <w:t>0.1151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6.22</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5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Options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(170,715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97" w:type="dxa"/>
            <w:tcBorders>
              <w:bottom w:val="single" w:sz="12" w:space="0" w:color="000000"/>
            </w:tcBorders>
            <w:shd w:fill="FFFFFF" w:val="clear"/>
            <w:tcMar>
              <w:bottom w:w="28" w:type="dxa"/>
            </w:tcMar>
            <w:vAlign w:val="center"/>
          </w:tcPr>
          <w:p>
            <w:pPr>
              <w:pStyle w:val="TableContents"/>
              <w:bidi w:val="0"/>
              <w:spacing w:before="0" w:after="283"/>
              <w:jc w:val="right"/>
              <w:rPr/>
            </w:pPr>
            <w:r>
              <w:rPr/>
              <w:t>0.1759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n/a </w:t>
            </w:r>
          </w:p>
        </w:tc>
        <w:tc>
          <w:tcPr>
            <w:tcW w:w="7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Options outstanding as of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1,861,806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97" w:type="dxa"/>
            <w:tcBorders>
              <w:bottom w:val="single" w:sz="12" w:space="0" w:color="000000"/>
            </w:tcBorders>
            <w:shd w:fill="CCEEFF" w:val="clear"/>
            <w:tcMar>
              <w:bottom w:w="28" w:type="dxa"/>
            </w:tcMar>
            <w:vAlign w:val="center"/>
          </w:tcPr>
          <w:p>
            <w:pPr>
              <w:pStyle w:val="TableContents"/>
              <w:bidi w:val="0"/>
              <w:spacing w:before="0" w:after="283"/>
              <w:jc w:val="right"/>
              <w:rPr/>
            </w:pPr>
            <w:r>
              <w:rPr/>
              <w:t>0.1095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5.91</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Total vested as of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1,797,840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597" w:type="dxa"/>
            <w:tcBorders>
              <w:bottom w:val="double" w:sz="10" w:space="0" w:color="000000"/>
            </w:tcBorders>
            <w:shd w:fill="FFFFFF" w:val="clear"/>
            <w:tcMar>
              <w:bottom w:w="28" w:type="dxa"/>
            </w:tcMar>
            <w:vAlign w:val="center"/>
          </w:tcPr>
          <w:p>
            <w:pPr>
              <w:pStyle w:val="TableContents"/>
              <w:bidi w:val="0"/>
              <w:spacing w:before="0" w:after="283"/>
              <w:jc w:val="right"/>
              <w:rPr/>
            </w:pPr>
            <w:r>
              <w:rPr/>
              <w:t>0.1008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double" w:sz="10" w:space="0" w:color="000000"/>
            </w:tcBorders>
            <w:shd w:fill="FFFFFF" w:val="clear"/>
            <w:tcMar>
              <w:bottom w:w="28" w:type="dxa"/>
            </w:tcMar>
            <w:vAlign w:val="center"/>
          </w:tcPr>
          <w:p>
            <w:pPr>
              <w:pStyle w:val="TableContents"/>
              <w:bidi w:val="0"/>
              <w:spacing w:before="0" w:after="283"/>
              <w:jc w:val="right"/>
              <w:rPr/>
            </w:pPr>
            <w:r>
              <w:rPr/>
              <w:t>6.08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2025, the Company recognized share-based compensation expense relating to stock options totaling $9,120 and $28,862, respectively. For the three and nine months ended September 30, 2024, the Company recognized share-based compensation relating to stock options totaling $8,778 and $80,372, respectively. Share-based compensation expense relating to stock options is included in “General and administrative” in the accompanying condensed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there was a total of approximately $14,493 of unrecognized share-based compensation cost relating to outstanding stock options, which is expected to be recognized over a weighted-average period of 0.55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2025 and 2024, the Company did not grant any restricted stock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and December 31, 2024, there were no unvested restricted stock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2025, the Company did not recognize any share-based compensation relating to restricted stock awards. For the three and nine months ended September 30, 2024, the Company recognized share-based compensation relating to restricted stock awards totaling $5,755 and $106,629, respectively. Share-based compensation relating to restricted stock awards is included in “General and administrative” in the accompanying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there were no unrecognized share-based compensation costs relating to 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12 - Net Loss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accounting requires the presentation of both basic and diluted earnings per share on the face of the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and 2024, shares of Common Stock underlying stock options totaling 1,861,806 and 2,032,521, respectively, and no unvested restricted stock awards, were excluded from the calculation of diluted net loss per share because they were antidilutive. In addition, 15,654,983 warrants outstanding as of September 30, 2025 were out of the money and also excluded from the calculation of diluted net loss per share for being antidilutive.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13 -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the Company entered into a non-cancelable operating lease agreement for a facility in Bethesda, Maryland. This lease commenced on July 1, 2024, has a term of 63 months, and has an initial base rent of approximately $7,000 that increases annually by three percent. Under the terms of this lease, the Company is also responsible for their proportionate share of expenses associated with the facility and its premises.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entered into a noncancelable operating lease agreement with an unrelated third-party for a 16,000 square foot facility in Puerto Rico. This lease commenced on February 1, 2025 on a month-to-month basis and became a long-term lease with an initial term of 5 years on June 1, 2025. The initial base rent is $7.00 per square foot, or $9,333 per month, for the first two years, increasing to $7.50 per square foot for the third year and increases by 3% annually thereafter. Under the terms of this lease, the Company is also responsible for their own utilities and a proportionate share of the operating expenses of the premises, not to exceed $3.25 per square foot.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were as follows for the three and nine months ended September 30, 2025 and 2024:</w:t>
      </w:r>
    </w:p>
    <w:p>
      <w:pPr>
        <w:pStyle w:val="TextBody"/>
        <w:bidi w:val="0"/>
        <w:spacing w:before="0" w:after="0"/>
        <w:ind w:left="0" w:right="0" w:hanging="0"/>
        <w:jc w:val="center"/>
        <w:rPr>
          <w:caps w:val="false"/>
          <w:smallCaps w:val="false"/>
        </w:rPr>
      </w:pPr>
      <w:r>
        <w:rPr>
          <w:caps w:val="false"/>
          <w:smallCaps w:val="false"/>
        </w:rPr>
        <w:t> </w:t>
      </w:r>
    </w:p>
    <w:tbl>
      <w:tblPr>
        <w:tblW w:w="6909" w:type="dxa"/>
        <w:jc w:val="left"/>
        <w:tblInd w:w="0" w:type="dxa"/>
        <w:tblLayout w:type="fixed"/>
        <w:tblCellMar>
          <w:top w:w="0" w:type="dxa"/>
          <w:left w:w="0" w:type="dxa"/>
          <w:bottom w:w="0" w:type="dxa"/>
          <w:right w:w="0" w:type="dxa"/>
        </w:tblCellMar>
      </w:tblPr>
      <w:tblGrid>
        <w:gridCol w:w="2555"/>
        <w:gridCol w:w="60"/>
        <w:gridCol w:w="168"/>
        <w:gridCol w:w="819"/>
        <w:gridCol w:w="72"/>
        <w:gridCol w:w="72"/>
        <w:gridCol w:w="168"/>
        <w:gridCol w:w="819"/>
        <w:gridCol w:w="60"/>
        <w:gridCol w:w="60"/>
        <w:gridCol w:w="147"/>
        <w:gridCol w:w="844"/>
        <w:gridCol w:w="63"/>
        <w:gridCol w:w="63"/>
        <w:gridCol w:w="147"/>
        <w:gridCol w:w="717"/>
        <w:gridCol w:w="75"/>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w:t>
              <w:br/>
              <w:t>September 30,</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819" w:type="dxa"/>
            <w:tcBorders/>
            <w:shd w:fill="CCEEFF" w:val="clear"/>
            <w:vAlign w:val="center"/>
          </w:tcPr>
          <w:p>
            <w:pPr>
              <w:pStyle w:val="TableContents"/>
              <w:bidi w:val="0"/>
              <w:spacing w:before="0" w:after="283"/>
              <w:jc w:val="right"/>
              <w:rPr/>
            </w:pPr>
            <w:r>
              <w:rPr/>
              <w:t>51,298</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819" w:type="dxa"/>
            <w:tcBorders/>
            <w:shd w:fill="CCEEFF" w:val="clear"/>
            <w:vAlign w:val="center"/>
          </w:tcPr>
          <w:p>
            <w:pPr>
              <w:pStyle w:val="TableContents"/>
              <w:bidi w:val="0"/>
              <w:spacing w:before="0" w:after="283"/>
              <w:jc w:val="right"/>
              <w:rPr/>
            </w:pPr>
            <w:r>
              <w:rPr/>
              <w:t>21,553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844" w:type="dxa"/>
            <w:tcBorders/>
            <w:shd w:fill="CCEEFF" w:val="clear"/>
            <w:vAlign w:val="center"/>
          </w:tcPr>
          <w:p>
            <w:pPr>
              <w:pStyle w:val="TableContents"/>
              <w:bidi w:val="0"/>
              <w:spacing w:before="0" w:after="283"/>
              <w:jc w:val="right"/>
              <w:rPr/>
            </w:pPr>
            <w:r>
              <w:rPr/>
              <w:t>104,319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717" w:type="dxa"/>
            <w:tcBorders/>
            <w:shd w:fill="CCEEFF" w:val="clear"/>
            <w:vAlign w:val="center"/>
          </w:tcPr>
          <w:p>
            <w:pPr>
              <w:pStyle w:val="TableContents"/>
              <w:bidi w:val="0"/>
              <w:spacing w:before="0" w:after="283"/>
              <w:jc w:val="right"/>
              <w:rPr/>
            </w:pPr>
            <w:r>
              <w:rPr/>
              <w:t>21,553</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Other short-term lease cost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9" w:type="dxa"/>
            <w:tcBorders>
              <w:bottom w:val="single" w:sz="12" w:space="0" w:color="000000"/>
            </w:tcBorders>
            <w:shd w:fill="FFFFFF" w:val="clear"/>
            <w:tcMar>
              <w:bottom w:w="28" w:type="dxa"/>
            </w:tcMar>
            <w:vAlign w:val="center"/>
          </w:tcPr>
          <w:p>
            <w:pPr>
              <w:pStyle w:val="TableContents"/>
              <w:bidi w:val="0"/>
              <w:spacing w:before="0" w:after="283"/>
              <w:jc w:val="right"/>
              <w:rPr/>
            </w:pPr>
            <w:r>
              <w:rPr/>
              <w:t>22,170</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9" w:type="dxa"/>
            <w:tcBorders>
              <w:bottom w:val="single" w:sz="12" w:space="0" w:color="000000"/>
            </w:tcBorders>
            <w:shd w:fill="FFFFFF" w:val="clear"/>
            <w:tcMar>
              <w:bottom w:w="28" w:type="dxa"/>
            </w:tcMar>
            <w:vAlign w:val="center"/>
          </w:tcPr>
          <w:p>
            <w:pPr>
              <w:pStyle w:val="TableContents"/>
              <w:bidi w:val="0"/>
              <w:spacing w:before="0" w:after="283"/>
              <w:jc w:val="right"/>
              <w:rPr/>
            </w:pPr>
            <w:r>
              <w:rPr/>
              <w:t>6,228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shd w:fill="FFFFFF" w:val="clear"/>
            <w:tcMar>
              <w:bottom w:w="28" w:type="dxa"/>
            </w:tcMar>
            <w:vAlign w:val="center"/>
          </w:tcPr>
          <w:p>
            <w:pPr>
              <w:pStyle w:val="TableContents"/>
              <w:bidi w:val="0"/>
              <w:spacing w:before="0" w:after="283"/>
              <w:jc w:val="right"/>
              <w:rPr/>
            </w:pPr>
            <w:r>
              <w:rPr/>
              <w:t>93,516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7" w:type="dxa"/>
            <w:tcBorders>
              <w:bottom w:val="single" w:sz="12" w:space="0" w:color="000000"/>
            </w:tcBorders>
            <w:shd w:fill="FFFFFF" w:val="clear"/>
            <w:tcMar>
              <w:bottom w:w="28" w:type="dxa"/>
            </w:tcMar>
            <w:vAlign w:val="center"/>
          </w:tcPr>
          <w:p>
            <w:pPr>
              <w:pStyle w:val="TableContents"/>
              <w:bidi w:val="0"/>
              <w:spacing w:before="0" w:after="283"/>
              <w:jc w:val="right"/>
              <w:rPr/>
            </w:pPr>
            <w:r>
              <w:rPr/>
              <w:t>16,879</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19" w:type="dxa"/>
            <w:tcBorders>
              <w:bottom w:val="double" w:sz="10" w:space="0" w:color="000000"/>
            </w:tcBorders>
            <w:shd w:fill="CCEEFF" w:val="clear"/>
            <w:tcMar>
              <w:bottom w:w="28" w:type="dxa"/>
            </w:tcMar>
            <w:vAlign w:val="center"/>
          </w:tcPr>
          <w:p>
            <w:pPr>
              <w:pStyle w:val="TableContents"/>
              <w:bidi w:val="0"/>
              <w:spacing w:before="0" w:after="283"/>
              <w:jc w:val="right"/>
              <w:rPr/>
            </w:pPr>
            <w:r>
              <w:rPr/>
              <w:t>73,468</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19" w:type="dxa"/>
            <w:tcBorders>
              <w:bottom w:val="double" w:sz="10" w:space="0" w:color="000000"/>
            </w:tcBorders>
            <w:shd w:fill="CCEEFF" w:val="clear"/>
            <w:tcMar>
              <w:bottom w:w="28" w:type="dxa"/>
            </w:tcMar>
            <w:vAlign w:val="center"/>
          </w:tcPr>
          <w:p>
            <w:pPr>
              <w:pStyle w:val="TableContents"/>
              <w:bidi w:val="0"/>
              <w:spacing w:before="0" w:after="283"/>
              <w:jc w:val="right"/>
              <w:rPr/>
            </w:pPr>
            <w:r>
              <w:rPr/>
              <w:t>27,781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44" w:type="dxa"/>
            <w:tcBorders>
              <w:bottom w:val="double" w:sz="10" w:space="0" w:color="000000"/>
            </w:tcBorders>
            <w:shd w:fill="CCEEFF" w:val="clear"/>
            <w:tcMar>
              <w:bottom w:w="28" w:type="dxa"/>
            </w:tcMar>
            <w:vAlign w:val="center"/>
          </w:tcPr>
          <w:p>
            <w:pPr>
              <w:pStyle w:val="TableContents"/>
              <w:bidi w:val="0"/>
              <w:spacing w:before="0" w:after="283"/>
              <w:jc w:val="right"/>
              <w:rPr/>
            </w:pPr>
            <w:r>
              <w:rPr/>
              <w:t>197,835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7" w:type="dxa"/>
            <w:tcBorders>
              <w:bottom w:val="double" w:sz="10" w:space="0" w:color="000000"/>
            </w:tcBorders>
            <w:shd w:fill="CCEEFF" w:val="clear"/>
            <w:tcMar>
              <w:bottom w:w="28" w:type="dxa"/>
            </w:tcMar>
            <w:vAlign w:val="center"/>
          </w:tcPr>
          <w:p>
            <w:pPr>
              <w:pStyle w:val="TableContents"/>
              <w:bidi w:val="0"/>
              <w:spacing w:before="0" w:after="283"/>
              <w:jc w:val="right"/>
              <w:rPr/>
            </w:pPr>
            <w:r>
              <w:rPr/>
              <w:t>38,432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operating lease asset and liabilities recorded as of September 30, 2025 and December 31, 2024:</w:t>
      </w:r>
    </w:p>
    <w:p>
      <w:pPr>
        <w:pStyle w:val="TextBody"/>
        <w:bidi w:val="0"/>
        <w:spacing w:before="0" w:after="0"/>
        <w:ind w:left="0" w:right="0" w:hanging="0"/>
        <w:jc w:val="both"/>
        <w:rPr>
          <w:caps w:val="false"/>
          <w:smallCaps w:val="false"/>
        </w:rPr>
      </w:pPr>
      <w:r>
        <w:rPr>
          <w:caps w:val="false"/>
          <w:smallCaps w:val="false"/>
        </w:rPr>
        <w:t> </w:t>
      </w:r>
    </w:p>
    <w:tbl>
      <w:tblPr>
        <w:tblW w:w="9008" w:type="dxa"/>
        <w:jc w:val="left"/>
        <w:tblInd w:w="0" w:type="dxa"/>
        <w:tblLayout w:type="fixed"/>
        <w:tblCellMar>
          <w:top w:w="0" w:type="dxa"/>
          <w:left w:w="0" w:type="dxa"/>
          <w:bottom w:w="0" w:type="dxa"/>
          <w:right w:w="0" w:type="dxa"/>
        </w:tblCellMar>
      </w:tblPr>
      <w:tblGrid>
        <w:gridCol w:w="4475"/>
        <w:gridCol w:w="60"/>
        <w:gridCol w:w="299"/>
        <w:gridCol w:w="1715"/>
        <w:gridCol w:w="215"/>
        <w:gridCol w:w="60"/>
        <w:gridCol w:w="251"/>
        <w:gridCol w:w="1703"/>
        <w:gridCol w:w="230"/>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23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Operating lease right-of-use asset, gross</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w:t>
            </w:r>
          </w:p>
        </w:tc>
        <w:tc>
          <w:tcPr>
            <w:tcW w:w="1715" w:type="dxa"/>
            <w:tcBorders/>
            <w:shd w:fill="CCEEFF" w:val="clear"/>
            <w:vAlign w:val="center"/>
          </w:tcPr>
          <w:p>
            <w:pPr>
              <w:pStyle w:val="TableContents"/>
              <w:bidi w:val="0"/>
              <w:spacing w:before="0" w:after="283"/>
              <w:jc w:val="right"/>
              <w:rPr/>
            </w:pPr>
            <w:r>
              <w:rPr/>
              <w:t>824,314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703" w:type="dxa"/>
            <w:tcBorders/>
            <w:shd w:fill="CCEEFF" w:val="clear"/>
            <w:vAlign w:val="center"/>
          </w:tcPr>
          <w:p>
            <w:pPr>
              <w:pStyle w:val="TableContents"/>
              <w:bidi w:val="0"/>
              <w:spacing w:before="0" w:after="283"/>
              <w:jc w:val="right"/>
              <w:rPr/>
            </w:pPr>
            <w:r>
              <w:rPr/>
              <w:t>331,478</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Accumulated amortization</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15" w:type="dxa"/>
            <w:tcBorders>
              <w:bottom w:val="single" w:sz="12" w:space="0" w:color="000000"/>
            </w:tcBorders>
            <w:shd w:fill="FFFFFF" w:val="clear"/>
            <w:tcMar>
              <w:bottom w:w="28" w:type="dxa"/>
            </w:tcMar>
            <w:vAlign w:val="center"/>
          </w:tcPr>
          <w:p>
            <w:pPr>
              <w:pStyle w:val="TableContents"/>
              <w:bidi w:val="0"/>
              <w:spacing w:before="0" w:after="283"/>
              <w:jc w:val="right"/>
              <w:rPr/>
            </w:pPr>
            <w:r>
              <w:rPr/>
              <w:t>(88,443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03" w:type="dxa"/>
            <w:tcBorders>
              <w:bottom w:val="single" w:sz="12" w:space="0" w:color="000000"/>
            </w:tcBorders>
            <w:shd w:fill="FFFFFF" w:val="clear"/>
            <w:tcMar>
              <w:bottom w:w="28" w:type="dxa"/>
            </w:tcMar>
            <w:vAlign w:val="center"/>
          </w:tcPr>
          <w:p>
            <w:pPr>
              <w:pStyle w:val="TableContents"/>
              <w:bidi w:val="0"/>
              <w:spacing w:before="0" w:after="283"/>
              <w:jc w:val="right"/>
              <w:rPr/>
            </w:pPr>
            <w:r>
              <w:rPr/>
              <w:t>(23,586</w:t>
            </w:r>
          </w:p>
        </w:tc>
        <w:tc>
          <w:tcPr>
            <w:tcW w:w="230" w:type="dxa"/>
            <w:tcBorders/>
            <w:shd w:fill="FFFFFF" w:val="clear"/>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left"/>
              <w:rPr/>
            </w:pPr>
            <w:r>
              <w:rPr/>
              <w:t>Operating lease right-of-use asset, net</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735,871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703" w:type="dxa"/>
            <w:tcBorders/>
            <w:shd w:fill="CCEEFF" w:val="clear"/>
            <w:vAlign w:val="center"/>
          </w:tcPr>
          <w:p>
            <w:pPr>
              <w:pStyle w:val="TableContents"/>
              <w:bidi w:val="0"/>
              <w:spacing w:before="0" w:after="283"/>
              <w:jc w:val="right"/>
              <w:rPr/>
            </w:pPr>
            <w:r>
              <w:rPr/>
              <w:t>307,892</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70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Short-term operating lease liabilities</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135,976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703" w:type="dxa"/>
            <w:tcBorders/>
            <w:shd w:fill="CCEEFF" w:val="clear"/>
            <w:vAlign w:val="center"/>
          </w:tcPr>
          <w:p>
            <w:pPr>
              <w:pStyle w:val="TableContents"/>
              <w:bidi w:val="0"/>
              <w:spacing w:before="0" w:after="283"/>
              <w:jc w:val="right"/>
              <w:rPr/>
            </w:pPr>
            <w:r>
              <w:rPr/>
              <w:t>36,225</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Long-term operating lease liabilities</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15" w:type="dxa"/>
            <w:tcBorders>
              <w:bottom w:val="single" w:sz="12" w:space="0" w:color="000000"/>
            </w:tcBorders>
            <w:shd w:fill="FFFFFF" w:val="clear"/>
            <w:tcMar>
              <w:bottom w:w="28" w:type="dxa"/>
            </w:tcMar>
            <w:vAlign w:val="center"/>
          </w:tcPr>
          <w:p>
            <w:pPr>
              <w:pStyle w:val="TableContents"/>
              <w:bidi w:val="0"/>
              <w:spacing w:before="0" w:after="283"/>
              <w:jc w:val="right"/>
              <w:rPr/>
            </w:pPr>
            <w:r>
              <w:rPr/>
              <w:t>614,126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03" w:type="dxa"/>
            <w:tcBorders>
              <w:bottom w:val="single" w:sz="12" w:space="0" w:color="000000"/>
            </w:tcBorders>
            <w:shd w:fill="FFFFFF" w:val="clear"/>
            <w:tcMar>
              <w:bottom w:w="28" w:type="dxa"/>
            </w:tcMar>
            <w:vAlign w:val="center"/>
          </w:tcPr>
          <w:p>
            <w:pPr>
              <w:pStyle w:val="TableContents"/>
              <w:bidi w:val="0"/>
              <w:spacing w:before="0" w:after="283"/>
              <w:jc w:val="right"/>
              <w:rPr/>
            </w:pPr>
            <w:r>
              <w:rPr/>
              <w:t>265,413</w:t>
            </w:r>
          </w:p>
        </w:tc>
        <w:tc>
          <w:tcPr>
            <w:tcW w:w="23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29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715" w:type="dxa"/>
            <w:tcBorders>
              <w:bottom w:val="double" w:sz="10" w:space="0" w:color="000000"/>
            </w:tcBorders>
            <w:shd w:fill="CCEEFF" w:val="clear"/>
            <w:tcMar>
              <w:bottom w:w="28" w:type="dxa"/>
            </w:tcMar>
            <w:vAlign w:val="center"/>
          </w:tcPr>
          <w:p>
            <w:pPr>
              <w:pStyle w:val="TableContents"/>
              <w:bidi w:val="0"/>
              <w:spacing w:before="0" w:after="283"/>
              <w:jc w:val="right"/>
              <w:rPr/>
            </w:pPr>
            <w:r>
              <w:rPr/>
              <w:t>750,102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703" w:type="dxa"/>
            <w:tcBorders>
              <w:bottom w:val="double" w:sz="10" w:space="0" w:color="000000"/>
            </w:tcBorders>
            <w:shd w:fill="CCEEFF" w:val="clear"/>
            <w:tcMar>
              <w:bottom w:w="28" w:type="dxa"/>
            </w:tcMar>
            <w:vAlign w:val="center"/>
          </w:tcPr>
          <w:p>
            <w:pPr>
              <w:pStyle w:val="TableContents"/>
              <w:bidi w:val="0"/>
              <w:spacing w:before="0" w:after="283"/>
              <w:jc w:val="right"/>
              <w:rPr/>
            </w:pPr>
            <w:r>
              <w:rPr/>
              <w:t>301,638</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70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Weighted average operating lease term</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 xml:space="preserve">4.37 years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703"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 xml:space="preserve">4.75 years </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Weighted average operating lease discount rate</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pPr>
            <w:r>
              <w:rPr/>
              <w:t>9.50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703" w:type="dxa"/>
            <w:tcBorders/>
            <w:shd w:fill="FFFFFF" w:val="clear"/>
            <w:vAlign w:val="center"/>
          </w:tcPr>
          <w:p>
            <w:pPr>
              <w:pStyle w:val="TableContents"/>
              <w:bidi w:val="0"/>
              <w:spacing w:before="0" w:after="283"/>
              <w:jc w:val="right"/>
              <w:rPr/>
            </w:pPr>
            <w:r>
              <w:rPr/>
              <w:t>11.83</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future minimum lease commitments as of September 30, 2025:</w:t>
      </w:r>
    </w:p>
    <w:p>
      <w:pPr>
        <w:pStyle w:val="TextBody"/>
        <w:bidi w:val="0"/>
        <w:spacing w:before="0" w:after="0"/>
        <w:ind w:left="0" w:right="0" w:hanging="0"/>
        <w:jc w:val="both"/>
        <w:rPr>
          <w:caps w:val="false"/>
          <w:smallCaps w:val="false"/>
        </w:rPr>
      </w:pPr>
      <w:r>
        <w:rPr>
          <w:caps w:val="false"/>
          <w:smallCaps w:val="false"/>
        </w:rPr>
        <w:t> </w:t>
      </w:r>
    </w:p>
    <w:tbl>
      <w:tblPr>
        <w:tblW w:w="4935" w:type="dxa"/>
        <w:jc w:val="left"/>
        <w:tblInd w:w="0" w:type="dxa"/>
        <w:tblLayout w:type="fixed"/>
        <w:tblCellMar>
          <w:top w:w="0" w:type="dxa"/>
          <w:left w:w="0" w:type="dxa"/>
          <w:bottom w:w="28" w:type="dxa"/>
          <w:right w:w="0" w:type="dxa"/>
        </w:tblCellMar>
      </w:tblPr>
      <w:tblGrid>
        <w:gridCol w:w="2975"/>
        <w:gridCol w:w="60"/>
        <w:gridCol w:w="246"/>
        <w:gridCol w:w="1544"/>
        <w:gridCol w:w="110"/>
      </w:tblGrid>
      <w:tr>
        <w:trPr/>
        <w:tc>
          <w:tcPr>
            <w:tcW w:w="2975" w:type="dxa"/>
            <w:tcBorders>
              <w:bottom w:val="single" w:sz="12" w:space="0" w:color="000000"/>
            </w:tcBorders>
            <w:vAlign w:val="center"/>
          </w:tcPr>
          <w:p>
            <w:pPr>
              <w:pStyle w:val="TableContents"/>
              <w:bidi w:val="0"/>
              <w:spacing w:before="0" w:after="283"/>
              <w:jc w:val="left"/>
              <w:rPr>
                <w:b/>
              </w:rPr>
            </w:pPr>
            <w:r>
              <w:rPr>
                <w:b/>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1790" w:type="dxa"/>
            <w:gridSpan w:val="2"/>
            <w:tcBorders>
              <w:bottom w:val="single" w:sz="12" w:space="0" w:color="000000"/>
            </w:tcBorders>
            <w:vAlign w:val="center"/>
          </w:tcPr>
          <w:p>
            <w:pPr>
              <w:pStyle w:val="TableContents"/>
              <w:bidi w:val="0"/>
              <w:spacing w:before="0" w:after="283"/>
              <w:jc w:val="center"/>
              <w:rPr>
                <w:b/>
              </w:rPr>
            </w:pPr>
            <w:r>
              <w:rPr>
                <w:b/>
              </w:rPr>
              <w:t>Operating Leases</w:t>
            </w:r>
          </w:p>
        </w:tc>
        <w:tc>
          <w:tcPr>
            <w:tcW w:w="110" w:type="dxa"/>
            <w:tcBorders/>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pPr>
            <w:r>
              <w:rPr/>
              <w:t>2025 (remaining 3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w:t>
            </w:r>
          </w:p>
        </w:tc>
        <w:tc>
          <w:tcPr>
            <w:tcW w:w="1544" w:type="dxa"/>
            <w:tcBorders/>
            <w:shd w:fill="CCEEFF" w:val="clear"/>
            <w:tcMar>
              <w:bottom w:w="0" w:type="dxa"/>
            </w:tcMar>
            <w:vAlign w:val="center"/>
          </w:tcPr>
          <w:p>
            <w:pPr>
              <w:pStyle w:val="TableContents"/>
              <w:bidi w:val="0"/>
              <w:spacing w:before="0" w:after="283"/>
              <w:jc w:val="right"/>
              <w:rPr/>
            </w:pPr>
            <w:r>
              <w:rPr/>
              <w:t>49,789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1544" w:type="dxa"/>
            <w:tcBorders/>
            <w:shd w:fill="FFFFFF" w:val="clear"/>
            <w:tcMar>
              <w:bottom w:w="0" w:type="dxa"/>
            </w:tcMar>
            <w:vAlign w:val="center"/>
          </w:tcPr>
          <w:p>
            <w:pPr>
              <w:pStyle w:val="TableContents"/>
              <w:bidi w:val="0"/>
              <w:spacing w:before="0" w:after="283"/>
              <w:jc w:val="right"/>
              <w:rPr/>
            </w:pPr>
            <w:r>
              <w:rPr/>
              <w:t>200,462</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1544" w:type="dxa"/>
            <w:tcBorders/>
            <w:shd w:fill="CCEEFF" w:val="clear"/>
            <w:tcMar>
              <w:bottom w:w="0" w:type="dxa"/>
            </w:tcMar>
            <w:vAlign w:val="center"/>
          </w:tcPr>
          <w:p>
            <w:pPr>
              <w:pStyle w:val="TableContents"/>
              <w:bidi w:val="0"/>
              <w:spacing w:before="0" w:after="283"/>
              <w:jc w:val="right"/>
              <w:rPr/>
            </w:pPr>
            <w:r>
              <w:rPr/>
              <w:t>207,783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1544" w:type="dxa"/>
            <w:tcBorders/>
            <w:shd w:fill="FFFFFF" w:val="clear"/>
            <w:tcMar>
              <w:bottom w:w="0" w:type="dxa"/>
            </w:tcMar>
            <w:vAlign w:val="center"/>
          </w:tcPr>
          <w:p>
            <w:pPr>
              <w:pStyle w:val="TableContents"/>
              <w:bidi w:val="0"/>
              <w:spacing w:before="0" w:after="283"/>
              <w:jc w:val="right"/>
              <w:rPr/>
            </w:pPr>
            <w:r>
              <w:rPr/>
              <w:t>215,950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1544" w:type="dxa"/>
            <w:tcBorders/>
            <w:shd w:fill="CCEEFF" w:val="clear"/>
            <w:tcMar>
              <w:bottom w:w="0" w:type="dxa"/>
            </w:tcMar>
            <w:vAlign w:val="center"/>
          </w:tcPr>
          <w:p>
            <w:pPr>
              <w:pStyle w:val="TableContents"/>
              <w:bidi w:val="0"/>
              <w:spacing w:before="0" w:after="283"/>
              <w:jc w:val="right"/>
              <w:rPr/>
            </w:pPr>
            <w:r>
              <w:rPr/>
              <w:t>197,905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bottom w:val="single" w:sz="12" w:space="0" w:color="000000"/>
            </w:tcBorders>
            <w:shd w:fill="FFFFFF" w:val="clear"/>
            <w:vAlign w:val="center"/>
          </w:tcPr>
          <w:p>
            <w:pPr>
              <w:pStyle w:val="TableContents"/>
              <w:bidi w:val="0"/>
              <w:spacing w:before="0" w:after="283"/>
              <w:jc w:val="left"/>
              <w:rPr/>
            </w:pPr>
            <w:r>
              <w:rPr/>
              <w:t> </w:t>
            </w:r>
          </w:p>
        </w:tc>
        <w:tc>
          <w:tcPr>
            <w:tcW w:w="1544" w:type="dxa"/>
            <w:tcBorders>
              <w:bottom w:val="single" w:sz="12" w:space="0" w:color="000000"/>
            </w:tcBorders>
            <w:shd w:fill="FFFFFF" w:val="clear"/>
            <w:vAlign w:val="center"/>
          </w:tcPr>
          <w:p>
            <w:pPr>
              <w:pStyle w:val="TableContents"/>
              <w:bidi w:val="0"/>
              <w:spacing w:before="0" w:after="283"/>
              <w:jc w:val="right"/>
              <w:rPr/>
            </w:pPr>
            <w:r>
              <w:rPr/>
              <w:t>42,436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pPr>
            <w:r>
              <w:rPr/>
              <w:t>Total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1544" w:type="dxa"/>
            <w:tcBorders/>
            <w:shd w:fill="CCEEFF" w:val="clear"/>
            <w:tcMar>
              <w:bottom w:w="0" w:type="dxa"/>
            </w:tcMar>
            <w:vAlign w:val="center"/>
          </w:tcPr>
          <w:p>
            <w:pPr>
              <w:pStyle w:val="TableContents"/>
              <w:bidi w:val="0"/>
              <w:spacing w:before="0" w:after="283"/>
              <w:jc w:val="right"/>
              <w:rPr/>
            </w:pPr>
            <w:r>
              <w:rPr/>
              <w:t>914,325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pPr>
            <w:r>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bottom w:val="single" w:sz="12" w:space="0" w:color="000000"/>
            </w:tcBorders>
            <w:shd w:fill="FFFFFF" w:val="clear"/>
            <w:vAlign w:val="center"/>
          </w:tcPr>
          <w:p>
            <w:pPr>
              <w:pStyle w:val="TableContents"/>
              <w:bidi w:val="0"/>
              <w:spacing w:before="0" w:after="283"/>
              <w:jc w:val="left"/>
              <w:rPr/>
            </w:pPr>
            <w:r>
              <w:rPr/>
              <w:t> </w:t>
            </w:r>
          </w:p>
        </w:tc>
        <w:tc>
          <w:tcPr>
            <w:tcW w:w="1544" w:type="dxa"/>
            <w:tcBorders>
              <w:bottom w:val="single" w:sz="12" w:space="0" w:color="000000"/>
            </w:tcBorders>
            <w:shd w:fill="FFFFFF" w:val="clear"/>
            <w:vAlign w:val="center"/>
          </w:tcPr>
          <w:p>
            <w:pPr>
              <w:pStyle w:val="TableContents"/>
              <w:bidi w:val="0"/>
              <w:spacing w:before="0" w:after="283"/>
              <w:jc w:val="right"/>
              <w:rPr/>
            </w:pPr>
            <w:r>
              <w:rPr/>
              <w:t>(164,223</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2975" w:type="dxa"/>
            <w:tcBorders/>
            <w:shd w:fill="CCEEFF" w:val="clear"/>
            <w:tcMar>
              <w:bottom w:w="0" w:type="dxa"/>
            </w:tcMar>
            <w:vAlign w:val="center"/>
          </w:tcPr>
          <w:p>
            <w:pPr>
              <w:pStyle w:val="TableContents"/>
              <w:bidi w:val="0"/>
              <w:spacing w:before="0" w:after="283"/>
              <w:jc w:val="left"/>
              <w:rPr/>
            </w:pPr>
            <w:r>
              <w:rPr/>
              <w:t>Present value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bottom w:val="double" w:sz="10" w:space="0" w:color="000000"/>
            </w:tcBorders>
            <w:shd w:fill="CCEEFF" w:val="clear"/>
            <w:vAlign w:val="center"/>
          </w:tcPr>
          <w:p>
            <w:pPr>
              <w:pStyle w:val="TableContents"/>
              <w:bidi w:val="0"/>
              <w:spacing w:before="0" w:after="283"/>
              <w:jc w:val="left"/>
              <w:rPr/>
            </w:pPr>
            <w:r>
              <w:rPr/>
              <w:t>$</w:t>
            </w:r>
          </w:p>
        </w:tc>
        <w:tc>
          <w:tcPr>
            <w:tcW w:w="1544" w:type="dxa"/>
            <w:tcBorders>
              <w:bottom w:val="double" w:sz="10" w:space="0" w:color="000000"/>
            </w:tcBorders>
            <w:shd w:fill="CCEEFF" w:val="clear"/>
            <w:vAlign w:val="center"/>
          </w:tcPr>
          <w:p>
            <w:pPr>
              <w:pStyle w:val="TableContents"/>
              <w:bidi w:val="0"/>
              <w:spacing w:before="0" w:after="283"/>
              <w:jc w:val="right"/>
              <w:rPr/>
            </w:pPr>
            <w:r>
              <w:rPr/>
              <w:t>750,102</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14 - Related Party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the Company entered into a $1,500,000 purchase order with Pope Technologies LLC for certain products, hardware, installation, programming, subscription, and training services. As of December 31, 2024, $750,000 had been received and recorded as deferred revenue in the accompanying condensed consolidated balance sheets. During the three and nine months ended September 30, 2025, the Company delivered a portion of the products and recognized $24,750 of revenue from the deferred revenue balance. Pope Technologies LLC is owned by a director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$11,737 and $3,445 for the three months ended September 30, 2025 and 2024, respectively, and $20,328 and $11,978 for the nine months ended September 30, 2025 and 2024, respectively. As of September 30, 2025 and December 31, 2024, amounts outstanding under this agreement were $0 and $1,164, respectively, and are included in “Accounts receivable” on the accompanying condensed consolidated balance sheets.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$16,170 and $23,850 for the three and nine months ended September 30, 2025, respectively. In September 2025, the Company paid a one-time fee of $13,610 to terminate the lease. The lease was terminated as of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$0 and $2,334 for the three and nine months ended September 30, 2025, respectively. For the three and nine months ended September 30, 2024, the rent expense was $3,501 and $8,169,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February 1, 2025, the Company began subleasing an office space in Barceloneta, Puerto Rico from Cruce Davila Development, LLC. The term of this sublease was month-to-month, and the rent was $12,333 per month. This lease ended on May 31, 2025. On June 1, 2025, the Company renewed the lease for a five-year term, which was recognized as a right-of-use asset with corresponding short-term and long-term lease liabilities in the Company’s financial statements as of that date. The rent expense for the short-term lease expense was $0 and $49,332 for the three and nine months ended September 30, 2025, respectively.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15 – Accrued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as of September 30, 2025 and December 31, 2024, consisted of the following:</w:t>
      </w:r>
    </w:p>
    <w:p>
      <w:pPr>
        <w:pStyle w:val="TextBody"/>
        <w:bidi w:val="0"/>
        <w:spacing w:before="0" w:after="0"/>
        <w:ind w:left="0" w:right="0" w:firstLine="720"/>
        <w:jc w:val="both"/>
        <w:rPr>
          <w:caps w:val="false"/>
          <w:smallCaps w:val="false"/>
        </w:rPr>
      </w:pPr>
      <w:r>
        <w:rPr>
          <w:caps w:val="false"/>
          <w:smallCaps w:val="false"/>
        </w:rPr>
        <w:t> </w:t>
      </w:r>
    </w:p>
    <w:tbl>
      <w:tblPr>
        <w:tblW w:w="9178" w:type="dxa"/>
        <w:jc w:val="left"/>
        <w:tblInd w:w="0" w:type="dxa"/>
        <w:tblLayout w:type="fixed"/>
        <w:tblCellMar>
          <w:top w:w="0" w:type="dxa"/>
          <w:left w:w="0" w:type="dxa"/>
          <w:bottom w:w="0" w:type="dxa"/>
          <w:right w:w="0" w:type="dxa"/>
        </w:tblCellMar>
      </w:tblPr>
      <w:tblGrid>
        <w:gridCol w:w="4955"/>
        <w:gridCol w:w="60"/>
        <w:gridCol w:w="251"/>
        <w:gridCol w:w="1763"/>
        <w:gridCol w:w="60"/>
        <w:gridCol w:w="60"/>
        <w:gridCol w:w="333"/>
        <w:gridCol w:w="1621"/>
        <w:gridCol w:w="75"/>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Transaction costs accrued for Cohen Capital Market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763" w:type="dxa"/>
            <w:tcBorders/>
            <w:shd w:fill="CCEEFF" w:val="clear"/>
            <w:vAlign w:val="center"/>
          </w:tcPr>
          <w:p>
            <w:pPr>
              <w:pStyle w:val="TableContents"/>
              <w:bidi w:val="0"/>
              <w:spacing w:before="0" w:after="283"/>
              <w:jc w:val="right"/>
              <w:rPr/>
            </w:pPr>
            <w:r>
              <w:rPr/>
              <w:t>1,003,500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Board of directors’ fees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763" w:type="dxa"/>
            <w:tcBorders/>
            <w:shd w:fill="FFFFFF" w:val="clear"/>
            <w:vAlign w:val="center"/>
          </w:tcPr>
          <w:p>
            <w:pPr>
              <w:pStyle w:val="TableContents"/>
              <w:bidi w:val="0"/>
              <w:spacing w:before="0" w:after="283"/>
              <w:jc w:val="right"/>
              <w:rPr/>
            </w:pPr>
            <w:r>
              <w:rPr/>
              <w:t>70,000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Credit card expense accrual</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763" w:type="dxa"/>
            <w:tcBorders/>
            <w:shd w:fill="CCEEFF" w:val="clear"/>
            <w:vAlign w:val="center"/>
          </w:tcPr>
          <w:p>
            <w:pPr>
              <w:pStyle w:val="TableContents"/>
              <w:bidi w:val="0"/>
              <w:spacing w:before="0" w:after="283"/>
              <w:jc w:val="right"/>
              <w:rPr/>
            </w:pPr>
            <w:r>
              <w:rPr/>
              <w:t>37,676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24,219</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Other month-end liability accrual</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63" w:type="dxa"/>
            <w:tcBorders>
              <w:bottom w:val="single" w:sz="12" w:space="0" w:color="000000"/>
            </w:tcBorders>
            <w:shd w:fill="FFFFFF" w:val="clear"/>
            <w:tcMar>
              <w:bottom w:w="28" w:type="dxa"/>
            </w:tcMar>
            <w:vAlign w:val="center"/>
          </w:tcPr>
          <w:p>
            <w:pPr>
              <w:pStyle w:val="TableContents"/>
              <w:bidi w:val="0"/>
              <w:spacing w:before="0" w:after="283"/>
              <w:jc w:val="right"/>
              <w:rPr/>
            </w:pPr>
            <w:r>
              <w:rPr/>
              <w:t>8,632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2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Total accrued expenses</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763" w:type="dxa"/>
            <w:tcBorders>
              <w:bottom w:val="double" w:sz="10" w:space="0" w:color="000000"/>
            </w:tcBorders>
            <w:shd w:fill="CCEEFF" w:val="clear"/>
            <w:tcMar>
              <w:bottom w:w="28" w:type="dxa"/>
            </w:tcMar>
            <w:vAlign w:val="center"/>
          </w:tcPr>
          <w:p>
            <w:pPr>
              <w:pStyle w:val="TableContents"/>
              <w:bidi w:val="0"/>
              <w:spacing w:before="0" w:after="283"/>
              <w:jc w:val="right"/>
              <w:rPr/>
            </w:pPr>
            <w:r>
              <w:rPr/>
              <w:t>1,119,808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21" w:type="dxa"/>
            <w:tcBorders>
              <w:bottom w:val="double" w:sz="10" w:space="0" w:color="000000"/>
            </w:tcBorders>
            <w:shd w:fill="CCEEFF" w:val="clear"/>
            <w:tcMar>
              <w:bottom w:w="28" w:type="dxa"/>
            </w:tcMar>
            <w:vAlign w:val="center"/>
          </w:tcPr>
          <w:p>
            <w:pPr>
              <w:pStyle w:val="TableContents"/>
              <w:bidi w:val="0"/>
              <w:spacing w:before="0" w:after="283"/>
              <w:jc w:val="right"/>
              <w:rPr/>
            </w:pPr>
            <w:r>
              <w:rPr/>
              <w:t>24,219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16 – Commitment and 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2025, the Company terminated the employment of one of its founders, who also served as the Customer Experience Officer. The former employee did not execute the termination agreement prior to its expiration during the third quarter and has subsequently filed a lawsuit against the Company on September 8, 2025. In response, the Company filed a motion to dismiss several causes of action on October 23, 2025. The Company has requested that the court dismiss all claims in their entirety. The former employee holds 5,000,260 shares of the Company’s Common Stock. In connection with the expiration of the termination agreement during the third quarter, 170,715 stock options that were exercisable at $0.176 per share after applying the 8.1% stock option conversion ratio to the original exercise price of $0.0143 per share were forfeited. The outcome of this legal matter is not known or probable at this time, therefore, no amounts have been accrued for a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matters described above, in the ordinary course of business, the Company may become subject to litigation, claims, and regulatory matters. Although it is not feasible to predict the outcome of these matters, the Company believes, unless otherwise indicated below, given the information currently available, that the ultimate resolution of any particular matter, or matters that have the same legal or factual issues, will not have a material adverse effect on its financial condition, results of operations and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17 - Segment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 single reportable segment, which generates revenue primarily from delivering feasibility study reports that help customers understand how data-driven tracking can enhance their business operations. This segment also encompasses exclusivity arrangements with resellers, providing them protection from competitive sales. The focus on this segment reflects the Company’s strategy to leverage its data-driven insights and reseller partnerships to expand market reach and drive sustainable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decision-makers (the “CODM”), which are the Company’s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goods sold, can be easily computed from the information provided. This segment’s measures of profitability are shown in the condensed consolidated statements of operations. The measure of segment assets is reported on the condensed consolidated balance sheets as total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18 – 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2025 and 2024, the Company recorded no income tax expense or benefit due to pre-tax book losses. The Company’s effective tax rate for these periods was 0%, which differs from the statutory federal rate primarily due to the Company’s pre-tax losses that generate deferred tax assets (DTAs) related to net operating loss (NOL) carryforwards. Based on the weight of available evidence, including its cumulative history of operating losses, management has determined that it is more likely than not that these deferred tax assets will not be realized, and therefore continues to maintain a full valuation allowance as of September 30, 2025. As a result, the Company expects to maintain a full valuation allowance for the entire fiscal year, and its estimated annual effective tax rate for 2025 remains 0%. The Company’s deferred tax assets, net of the valuation allowance, were $0 as of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(“OBBBA”) was signed into law in the U.S., which contains a broad range of tax reform provisions affecting businesses. The Company is evaluating the full effects of the legislation on the Company, including the Company’s cash tax position, but the Company expects that the legislation will not have a material impact on the Company’s financial statements. As the legislation was signed into law after the second quarter, the financial impacts are not included within the condensed consolidated statement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Company assumed an excise tax liability of $3,905,240 and a franchise tax liability of $8,428, both of which were incurred prior to the Closing and were recorded as assumed obligations from the reverse recapitalization transaction. Accordingly, the Company recorded a total accrued tax liability of $3,913,668 related to the Business Combination. As of September 30, 2025, the Company also recorded a $1,977 sales tax receivable under other current assets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taxation in the U.S. and various state jurisdictions. The Company is not subject to taxation in foreign countries. The Company’s effective tax rate is calculated quarterly based upon current assumptions relating to the full year’s estimated operating results and various tax-related items. Each quarter, an estimate of the annual effective tax rate is updated should the Company revise its forecast of earnings based upon its operating results. If there is a change in the estimated effective annual tax rate, a cumulative adjustment is made. The Company’s effective tax rate was 0% for each of the three and nine months ended September 30, 2025 and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effective tax rate of 0% and the U.S. federal statutory rate of 21% for each of the three and nine months ended September 30, 2025 and 2024 was primarily due to changes in deferred tax balances, fully offset by valuation allowances.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19 -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2025, in connection with the SEPA executed with New Circle on June 18, 2025, the Company issued a purchase notice to sell 30,000 shares of its Common Stock. The purchase price was settled at $2.6172 per share, resulting in total cash proceeds of $78,516..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23, 2025, the Company filed a motion to dismiss several causes of action brought by the terminated founder employee, as disclosed in Note 15, </w:t>
      </w:r>
      <w:r>
        <w:rPr>
          <w:rFonts w:ascii="Times New Roman;Times;Serif" w:hAnsi="Times New Roman;Times;Serif"/>
          <w:b w:val="false"/>
          <w:i/>
          <w:caps w:val="false"/>
          <w:smallCaps w:val="false"/>
          <w:sz w:val="20"/>
        </w:rPr>
        <w:t>Commitments and Contingencies</w:t>
      </w:r>
      <w:r>
        <w:rPr>
          <w:rFonts w:ascii="Times New Roman;Times;Serif" w:hAnsi="Times New Roman;Times;Serif"/>
          <w:b w:val="false"/>
          <w:i w:val="false"/>
          <w:caps w:val="false"/>
          <w:smallCaps w:val="false"/>
          <w:sz w:val="20"/>
        </w:rPr>
        <w:t>, and requested that the court dismiss all claims filed against the Company in their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filed an action for declaratory relief against a former employee who was terminated under the terms of his employment. The filing seeks clarification regarding a dispute over alleged verbal claims related to salary increases and back pay for which no formal contractual agreements exist.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the Company entered into a non-binding term sheet with an investment firm for the issuance of an $8 million secured promissory note with simple interest at 7% and a 24 month maturity from issuance.  The transaction is subject to the execution of a definitive agreement and will include additional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ID, INC. AND SUBSIDIARY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 and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6875"/>
        <w:gridCol w:w="1130"/>
      </w:tblGrid>
      <w:tr>
        <w:trPr/>
        <w:tc>
          <w:tcPr>
            <w:tcW w:w="6875" w:type="dxa"/>
            <w:tcBorders/>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687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r>
      <w:tr>
        <w:trPr/>
        <w:tc>
          <w:tcPr>
            <w:tcW w:w="6875" w:type="dxa"/>
            <w:tcBorders/>
            <w:shd w:fill="CCEEFF" w:val="clear"/>
            <w:vAlign w:val="center"/>
          </w:tcPr>
          <w:p>
            <w:pPr>
              <w:pStyle w:val="TableContents"/>
              <w:bidi w:val="0"/>
              <w:spacing w:before="0" w:after="283"/>
              <w:jc w:val="left"/>
              <w:rPr/>
            </w:pPr>
            <w:r>
              <w:rPr/>
              <w:t>Consolidated financial statements:</w:t>
            </w:r>
          </w:p>
        </w:tc>
        <w:tc>
          <w:tcPr>
            <w:tcW w:w="1130" w:type="dxa"/>
            <w:tcBorders/>
            <w:shd w:fill="CCEEFF" w:val="clear"/>
            <w:vAlign w:val="center"/>
          </w:tcPr>
          <w:p>
            <w:pPr>
              <w:pStyle w:val="TableContents"/>
              <w:bidi w:val="0"/>
              <w:spacing w:before="0" w:after="283"/>
              <w:jc w:val="center"/>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r>
      <w:tr>
        <w:trPr/>
        <w:tc>
          <w:tcPr>
            <w:tcW w:w="6875" w:type="dxa"/>
            <w:tcBorders/>
            <w:shd w:fill="CCEEFF" w:val="clear"/>
            <w:vAlign w:val="center"/>
          </w:tcPr>
          <w:p>
            <w:pPr>
              <w:pStyle w:val="TableContents"/>
              <w:bidi w:val="0"/>
              <w:spacing w:before="0" w:after="283"/>
              <w:jc w:val="left"/>
              <w:rPr/>
            </w:pPr>
            <w:hyperlink w:anchor="f_001">
              <w:r>
                <w:rPr>
                  <w:rStyle w:val="InternetLink"/>
                </w:rPr>
                <w:t>Report of Independent Registered Public Accountant (PCAOB ID: 52)</w:t>
              </w:r>
            </w:hyperlink>
          </w:p>
        </w:tc>
        <w:tc>
          <w:tcPr>
            <w:tcW w:w="1130" w:type="dxa"/>
            <w:tcBorders/>
            <w:shd w:fill="CCEEFF" w:val="clear"/>
            <w:vAlign w:val="center"/>
          </w:tcPr>
          <w:p>
            <w:pPr>
              <w:pStyle w:val="TableContents"/>
              <w:bidi w:val="0"/>
              <w:spacing w:before="0" w:after="283"/>
              <w:jc w:val="center"/>
              <w:rPr/>
            </w:pPr>
            <w:r>
              <w:rPr/>
              <w:t>F-25</w:t>
            </w:r>
          </w:p>
        </w:tc>
      </w:tr>
      <w:tr>
        <w:trPr/>
        <w:tc>
          <w:tcPr>
            <w:tcW w:w="6875"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r>
      <w:tr>
        <w:trPr/>
        <w:tc>
          <w:tcPr>
            <w:tcW w:w="6875" w:type="dxa"/>
            <w:tcBorders/>
            <w:shd w:fill="CCEEFF" w:val="clear"/>
            <w:vAlign w:val="center"/>
          </w:tcPr>
          <w:p>
            <w:pPr>
              <w:pStyle w:val="TableContents"/>
              <w:bidi w:val="0"/>
              <w:spacing w:before="0" w:after="283"/>
              <w:jc w:val="left"/>
              <w:rPr/>
            </w:pPr>
            <w:hyperlink w:anchor="f_002">
              <w:r>
                <w:rPr>
                  <w:rStyle w:val="InternetLink"/>
                </w:rPr>
                <w:t>Report of Independent Registered Public Accountant (PCAOB ID: 392)</w:t>
              </w:r>
            </w:hyperlink>
          </w:p>
        </w:tc>
        <w:tc>
          <w:tcPr>
            <w:tcW w:w="1130" w:type="dxa"/>
            <w:tcBorders/>
            <w:shd w:fill="CCEEFF" w:val="clear"/>
            <w:vAlign w:val="center"/>
          </w:tcPr>
          <w:p>
            <w:pPr>
              <w:pStyle w:val="TableContents"/>
              <w:bidi w:val="0"/>
              <w:spacing w:before="0" w:after="283"/>
              <w:jc w:val="center"/>
              <w:rPr/>
            </w:pPr>
            <w:r>
              <w:rPr/>
              <w:t>F-26</w:t>
            </w:r>
          </w:p>
        </w:tc>
      </w:tr>
      <w:tr>
        <w:trPr/>
        <w:tc>
          <w:tcPr>
            <w:tcW w:w="6875"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r>
      <w:tr>
        <w:trPr/>
        <w:tc>
          <w:tcPr>
            <w:tcW w:w="6875" w:type="dxa"/>
            <w:tcBorders/>
            <w:shd w:fill="CCEEFF" w:val="clear"/>
            <w:vAlign w:val="center"/>
          </w:tcPr>
          <w:p>
            <w:pPr>
              <w:pStyle w:val="TableContents"/>
              <w:bidi w:val="0"/>
              <w:spacing w:before="0" w:after="283"/>
              <w:jc w:val="left"/>
              <w:rPr/>
            </w:pPr>
            <w:hyperlink w:anchor="f_003">
              <w:r>
                <w:rPr>
                  <w:rStyle w:val="InternetLink"/>
                </w:rPr>
                <w:t>Consolidated balance sheets</w:t>
              </w:r>
            </w:hyperlink>
          </w:p>
        </w:tc>
        <w:tc>
          <w:tcPr>
            <w:tcW w:w="1130" w:type="dxa"/>
            <w:tcBorders/>
            <w:shd w:fill="CCEEFF" w:val="clear"/>
            <w:vAlign w:val="center"/>
          </w:tcPr>
          <w:p>
            <w:pPr>
              <w:pStyle w:val="TableContents"/>
              <w:bidi w:val="0"/>
              <w:spacing w:before="0" w:after="283"/>
              <w:jc w:val="center"/>
              <w:rPr/>
            </w:pPr>
            <w:r>
              <w:rPr/>
              <w:t>F-27 - F-28</w:t>
            </w:r>
          </w:p>
        </w:tc>
      </w:tr>
      <w:tr>
        <w:trPr/>
        <w:tc>
          <w:tcPr>
            <w:tcW w:w="6875"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r>
      <w:tr>
        <w:trPr/>
        <w:tc>
          <w:tcPr>
            <w:tcW w:w="6875" w:type="dxa"/>
            <w:tcBorders/>
            <w:shd w:fill="CCEEFF" w:val="clear"/>
            <w:vAlign w:val="center"/>
          </w:tcPr>
          <w:p>
            <w:pPr>
              <w:pStyle w:val="TableContents"/>
              <w:bidi w:val="0"/>
              <w:spacing w:before="0" w:after="283"/>
              <w:jc w:val="left"/>
              <w:rPr/>
            </w:pPr>
            <w:hyperlink w:anchor="f_004">
              <w:r>
                <w:rPr>
                  <w:rStyle w:val="InternetLink"/>
                </w:rPr>
                <w:t>Consolidated statements of operations</w:t>
              </w:r>
            </w:hyperlink>
          </w:p>
        </w:tc>
        <w:tc>
          <w:tcPr>
            <w:tcW w:w="1130" w:type="dxa"/>
            <w:tcBorders/>
            <w:shd w:fill="CCEEFF" w:val="clear"/>
            <w:vAlign w:val="center"/>
          </w:tcPr>
          <w:p>
            <w:pPr>
              <w:pStyle w:val="TableContents"/>
              <w:bidi w:val="0"/>
              <w:spacing w:before="0" w:after="283"/>
              <w:jc w:val="center"/>
              <w:rPr/>
            </w:pPr>
            <w:r>
              <w:rPr/>
              <w:t>F-29</w:t>
            </w:r>
          </w:p>
        </w:tc>
      </w:tr>
      <w:tr>
        <w:trPr/>
        <w:tc>
          <w:tcPr>
            <w:tcW w:w="6875"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r>
      <w:tr>
        <w:trPr/>
        <w:tc>
          <w:tcPr>
            <w:tcW w:w="6875" w:type="dxa"/>
            <w:tcBorders/>
            <w:shd w:fill="CCEEFF" w:val="clear"/>
            <w:vAlign w:val="center"/>
          </w:tcPr>
          <w:p>
            <w:pPr>
              <w:pStyle w:val="TableContents"/>
              <w:bidi w:val="0"/>
              <w:spacing w:before="0" w:after="283"/>
              <w:jc w:val="left"/>
              <w:rPr/>
            </w:pPr>
            <w:hyperlink w:anchor="f_005">
              <w:r>
                <w:rPr>
                  <w:rStyle w:val="InternetLink"/>
                </w:rPr>
                <w:t>Consolidated statements of stockholders’ deficit</w:t>
              </w:r>
            </w:hyperlink>
          </w:p>
        </w:tc>
        <w:tc>
          <w:tcPr>
            <w:tcW w:w="1130" w:type="dxa"/>
            <w:tcBorders/>
            <w:shd w:fill="CCEEFF" w:val="clear"/>
            <w:vAlign w:val="center"/>
          </w:tcPr>
          <w:p>
            <w:pPr>
              <w:pStyle w:val="TableContents"/>
              <w:bidi w:val="0"/>
              <w:spacing w:before="0" w:after="283"/>
              <w:jc w:val="center"/>
              <w:rPr/>
            </w:pPr>
            <w:r>
              <w:rPr/>
              <w:t>F-30</w:t>
            </w:r>
          </w:p>
        </w:tc>
      </w:tr>
      <w:tr>
        <w:trPr/>
        <w:tc>
          <w:tcPr>
            <w:tcW w:w="6875"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r>
      <w:tr>
        <w:trPr/>
        <w:tc>
          <w:tcPr>
            <w:tcW w:w="6875" w:type="dxa"/>
            <w:tcBorders/>
            <w:shd w:fill="CCEEFF" w:val="clear"/>
            <w:vAlign w:val="center"/>
          </w:tcPr>
          <w:p>
            <w:pPr>
              <w:pStyle w:val="TableContents"/>
              <w:bidi w:val="0"/>
              <w:spacing w:before="0" w:after="283"/>
              <w:jc w:val="left"/>
              <w:rPr/>
            </w:pPr>
            <w:hyperlink w:anchor="f_006">
              <w:r>
                <w:rPr>
                  <w:rStyle w:val="InternetLink"/>
                </w:rPr>
                <w:t>Consolidated statements of cash flows</w:t>
              </w:r>
            </w:hyperlink>
          </w:p>
        </w:tc>
        <w:tc>
          <w:tcPr>
            <w:tcW w:w="1130" w:type="dxa"/>
            <w:tcBorders/>
            <w:shd w:fill="CCEEFF" w:val="clear"/>
            <w:vAlign w:val="center"/>
          </w:tcPr>
          <w:p>
            <w:pPr>
              <w:pStyle w:val="TableContents"/>
              <w:bidi w:val="0"/>
              <w:spacing w:before="0" w:after="283"/>
              <w:jc w:val="center"/>
              <w:rPr/>
            </w:pPr>
            <w:r>
              <w:rPr/>
              <w:t>F-31</w:t>
            </w:r>
          </w:p>
        </w:tc>
      </w:tr>
      <w:tr>
        <w:trPr/>
        <w:tc>
          <w:tcPr>
            <w:tcW w:w="6875"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r>
      <w:tr>
        <w:trPr/>
        <w:tc>
          <w:tcPr>
            <w:tcW w:w="6875" w:type="dxa"/>
            <w:tcBorders/>
            <w:shd w:fill="CCEEFF" w:val="clear"/>
            <w:vAlign w:val="center"/>
          </w:tcPr>
          <w:p>
            <w:pPr>
              <w:pStyle w:val="TableContents"/>
              <w:bidi w:val="0"/>
              <w:spacing w:before="0" w:after="283"/>
              <w:jc w:val="left"/>
              <w:rPr/>
            </w:pPr>
            <w:hyperlink w:anchor="f_007">
              <w:r>
                <w:rPr>
                  <w:rStyle w:val="InternetLink"/>
                </w:rPr>
                <w:t>Notes to consolidated financial statements</w:t>
              </w:r>
            </w:hyperlink>
          </w:p>
        </w:tc>
        <w:tc>
          <w:tcPr>
            <w:tcW w:w="1130" w:type="dxa"/>
            <w:tcBorders/>
            <w:shd w:fill="CCEEFF" w:val="clear"/>
            <w:vAlign w:val="center"/>
          </w:tcPr>
          <w:p>
            <w:pPr>
              <w:pStyle w:val="TableContents"/>
              <w:bidi w:val="0"/>
              <w:spacing w:before="0" w:after="283"/>
              <w:jc w:val="center"/>
              <w:rPr/>
            </w:pPr>
            <w:r>
              <w:rPr/>
              <w:t>F-32 - F-52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0" w:name="f_001"/>
      <w:bookmarkEnd w:id="30"/>
      <w:r>
        <w:rPr>
          <w:rFonts w:ascii="Times New Roman;Times;Serif" w:hAnsi="Times New Roman;Times;Serif"/>
          <w:b w:val="false"/>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w:t>
        <w:br/>
        <w:t>Stockholders of SEE ID, Inc. dba Dot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SEE ID, Inc. dba Dot Ai (the “Company”) as of December 31, 2024, and the related consolidated statements of operations,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suffered recurring losses from operations, has a working capital deficiency, and accumulated deficit that raise substantial doubt about its ability to continue as a going concern. Management’s plans in regard to these matters also are described in Note 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tbl>
      <w:tblPr>
        <w:tblW w:w="4414" w:type="dxa"/>
        <w:jc w:val="left"/>
        <w:tblInd w:w="0" w:type="dxa"/>
        <w:tblLayout w:type="fixed"/>
        <w:tblCellMar>
          <w:top w:w="0" w:type="dxa"/>
          <w:left w:w="0" w:type="dxa"/>
          <w:bottom w:w="0" w:type="dxa"/>
          <w:right w:w="0" w:type="dxa"/>
        </w:tblCellMar>
      </w:tblPr>
      <w:tblGrid>
        <w:gridCol w:w="4326"/>
        <w:gridCol w:w="88"/>
      </w:tblGrid>
      <w:tr>
        <w:trPr/>
        <w:tc>
          <w:tcPr>
            <w:tcW w:w="4414" w:type="dxa"/>
            <w:gridSpan w:val="2"/>
            <w:tcBorders/>
            <w:vAlign w:val="center"/>
          </w:tcPr>
          <w:p>
            <w:pPr>
              <w:pStyle w:val="TableContents"/>
              <w:bidi w:val="0"/>
              <w:spacing w:before="0" w:after="283"/>
              <w:jc w:val="left"/>
              <w:rPr/>
            </w:pPr>
            <w:r>
              <w:rPr/>
              <w:t> </w:t>
            </w:r>
          </w:p>
        </w:tc>
      </w:tr>
      <w:tr>
        <w:trPr/>
        <w:tc>
          <w:tcPr>
            <w:tcW w:w="43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Berkowitz Pollack Brant Advisors + CPAs</w:t>
            </w:r>
          </w:p>
        </w:tc>
        <w:tc>
          <w:tcPr>
            <w:tcW w:w="88" w:type="dxa"/>
            <w:tcBorders/>
            <w:vAlign w:val="center"/>
          </w:tcPr>
          <w:p>
            <w:pPr>
              <w:pStyle w:val="TableContents"/>
              <w:bidi w:val="0"/>
              <w:spacing w:before="0" w:after="283"/>
              <w:jc w:val="left"/>
              <w:rPr/>
            </w:pPr>
            <w:r>
              <w:rPr/>
              <w:t> </w:t>
            </w:r>
          </w:p>
        </w:tc>
      </w:tr>
      <w:tr>
        <w:trPr/>
        <w:tc>
          <w:tcPr>
            <w:tcW w:w="4326"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r>
      <w:tr>
        <w:trPr/>
        <w:tc>
          <w:tcPr>
            <w:tcW w:w="4414" w:type="dxa"/>
            <w:gridSpan w:val="2"/>
            <w:tcBorders/>
            <w:vAlign w:val="center"/>
          </w:tcPr>
          <w:p>
            <w:pPr>
              <w:pStyle w:val="TableContents"/>
              <w:bidi w:val="0"/>
              <w:spacing w:before="0" w:after="283"/>
              <w:jc w:val="left"/>
              <w:rPr>
                <w:sz w:val="20"/>
              </w:rPr>
            </w:pPr>
            <w:r>
              <w:rPr>
                <w:sz w:val="20"/>
              </w:rPr>
              <w:t>We have served as the Company’s auditor since 2024.</w:t>
            </w:r>
          </w:p>
        </w:tc>
      </w:tr>
      <w:tr>
        <w:trPr/>
        <w:tc>
          <w:tcPr>
            <w:tcW w:w="4326"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r>
      <w:tr>
        <w:trPr/>
        <w:tc>
          <w:tcPr>
            <w:tcW w:w="4414" w:type="dxa"/>
            <w:gridSpan w:val="2"/>
            <w:tcBorders/>
            <w:vAlign w:val="center"/>
          </w:tcPr>
          <w:p>
            <w:pPr>
              <w:pStyle w:val="TableContents"/>
              <w:bidi w:val="0"/>
              <w:spacing w:before="0" w:after="283"/>
              <w:jc w:val="left"/>
              <w:rPr>
                <w:sz w:val="20"/>
              </w:rPr>
            </w:pPr>
            <w:r>
              <w:rPr>
                <w:sz w:val="20"/>
              </w:rPr>
              <w:t>New York, New York</w:t>
            </w:r>
          </w:p>
        </w:tc>
      </w:tr>
      <w:tr>
        <w:trPr/>
        <w:tc>
          <w:tcPr>
            <w:tcW w:w="4326" w:type="dxa"/>
            <w:tcBorders/>
            <w:vAlign w:val="center"/>
          </w:tcPr>
          <w:p>
            <w:pPr>
              <w:pStyle w:val="TableContents"/>
              <w:bidi w:val="0"/>
              <w:spacing w:before="0" w:after="283"/>
              <w:jc w:val="left"/>
              <w:rPr>
                <w:sz w:val="20"/>
              </w:rPr>
            </w:pPr>
            <w:r>
              <w:rPr>
                <w:sz w:val="20"/>
              </w:rPr>
              <w:t>June 25, 2025</w:t>
            </w:r>
          </w:p>
        </w:tc>
        <w:tc>
          <w:tcPr>
            <w:tcW w:w="8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f_002"/>
      <w:bookmarkEnd w:id="31"/>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of SEE ID,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 of SEE ID, Inc. (the “Company”) as of December 31, 2023, and the related statements of operations, changes in stockholders’ deficit and cash flows for the year then ended, and the related notes to the financial statements (collectively, the “financial statements”). In our opinion, the financial statements present fairly, in all material respects, the financial position of the Company as of December 31, 2023, and the results of its operations and its cash flows for the year then ended,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Emphasis of a Matter Regarding Going Concern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 to the financial statements, the Company has recurring losses from operations and an accumulated deficit that raise substantial doubt about the Company’s ability to continue as a going concern. Management’s plans in regard to these matters also are described in Note 1. The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Wolf &amp; Company,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2024, except for Note 10, as to which the date is July 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2" w:name="f_003"/>
      <w:bookmarkEnd w:id="32"/>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3770"/>
        <w:gridCol w:w="60"/>
        <w:gridCol w:w="140"/>
        <w:gridCol w:w="980"/>
        <w:gridCol w:w="60"/>
        <w:gridCol w:w="60"/>
        <w:gridCol w:w="140"/>
        <w:gridCol w:w="980"/>
        <w:gridCol w:w="75"/>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center"/>
          </w:tcPr>
          <w:p>
            <w:pPr>
              <w:pStyle w:val="TableContents"/>
              <w:bidi w:val="0"/>
              <w:spacing w:before="0" w:after="283"/>
              <w:jc w:val="center"/>
              <w:rPr/>
            </w:pPr>
            <w:r>
              <w:rPr/>
              <w:t>December 31,</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jc w:val="left"/>
              <w:rPr/>
            </w:pPr>
            <w:r>
              <w:rPr/>
              <w:t> </w:t>
            </w:r>
          </w:p>
        </w:tc>
      </w:tr>
      <w:tr>
        <w:trPr/>
        <w:tc>
          <w:tcPr>
            <w:tcW w:w="6265" w:type="dxa"/>
            <w:gridSpan w:val="9"/>
            <w:tcBorders/>
            <w:vAlign w:val="center"/>
          </w:tcPr>
          <w:p>
            <w:pPr>
              <w:pStyle w:val="TableContents"/>
              <w:bidi w:val="0"/>
              <w:spacing w:before="0" w:after="283"/>
              <w:jc w:val="center"/>
              <w:rPr>
                <w:u w:val="single"/>
              </w:rPr>
            </w:pPr>
            <w:r>
              <w:rPr>
                <w:u w:val="single"/>
              </w:rPr>
              <w:t>ASSETS</w:t>
            </w:r>
          </w:p>
        </w:tc>
      </w:tr>
      <w:tr>
        <w:trPr/>
        <w:tc>
          <w:tcPr>
            <w:tcW w:w="3770" w:type="dxa"/>
            <w:tcBorders/>
            <w:vAlign w:val="center"/>
          </w:tcPr>
          <w:p>
            <w:pPr>
              <w:pStyle w:val="TableContents"/>
              <w:bidi w:val="0"/>
              <w:spacing w:before="0" w:after="283"/>
              <w:jc w:val="left"/>
              <w:rPr/>
            </w:pPr>
            <w:r>
              <w:rPr>
                <w:u w:val="single"/>
              </w:rPr>
              <w:t>Current assets</w:t>
            </w:r>
            <w:r>
              <w:rPr/>
              <w:t>:</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721,032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605,760</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4,778</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Advances to supplier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33,576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133,975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155,845</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1,004,095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766,383</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u w:val="single"/>
              </w:rPr>
            </w:pPr>
            <w:r>
              <w:rPr>
                <w:u w:val="single"/>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Right-of-use asset - operating lease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307,892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Capitalized software development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1,761,396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927,176</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23,389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Total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2,092,677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927,176</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3,096,772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1,693,559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Balance Sheets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87"/>
        <w:gridCol w:w="60"/>
        <w:gridCol w:w="140"/>
        <w:gridCol w:w="1175"/>
        <w:gridCol w:w="95"/>
        <w:gridCol w:w="60"/>
        <w:gridCol w:w="140"/>
        <w:gridCol w:w="1055"/>
        <w:gridCol w:w="93"/>
      </w:tblGrid>
      <w:tr>
        <w:trPr/>
        <w:tc>
          <w:tcPr>
            <w:tcW w:w="7387"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12" w:space="0" w:color="000000"/>
            </w:tcBorders>
            <w:tcMar>
              <w:bottom w:w="28" w:type="dxa"/>
            </w:tcMar>
            <w:vAlign w:val="center"/>
          </w:tcPr>
          <w:p>
            <w:pPr>
              <w:pStyle w:val="TableContents"/>
              <w:bidi w:val="0"/>
              <w:spacing w:before="0" w:after="283"/>
              <w:jc w:val="center"/>
              <w:rPr/>
            </w:pPr>
            <w:r>
              <w:rPr/>
              <w:t>December 31,</w:t>
            </w:r>
          </w:p>
        </w:tc>
        <w:tc>
          <w:tcPr>
            <w:tcW w:w="93" w:type="dxa"/>
            <w:tcBorders/>
            <w:vAlign w:val="center"/>
          </w:tcPr>
          <w:p>
            <w:pPr>
              <w:pStyle w:val="TableContents"/>
              <w:bidi w:val="0"/>
              <w:spacing w:before="0" w:after="283"/>
              <w:ind w:left="0" w:right="0" w:hanging="180"/>
              <w:jc w:val="left"/>
              <w:rPr/>
            </w:pPr>
            <w:r>
              <w:rPr/>
              <w:t> </w:t>
            </w:r>
          </w:p>
        </w:tc>
      </w:tr>
      <w:tr>
        <w:trPr/>
        <w:tc>
          <w:tcPr>
            <w:tcW w:w="738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3" w:type="dxa"/>
            <w:tcBorders/>
            <w:vAlign w:val="center"/>
          </w:tcPr>
          <w:p>
            <w:pPr>
              <w:pStyle w:val="TableContents"/>
              <w:bidi w:val="0"/>
              <w:spacing w:before="0" w:after="283"/>
              <w:jc w:val="left"/>
              <w:rPr/>
            </w:pPr>
            <w:r>
              <w:rPr/>
              <w:t> </w:t>
            </w:r>
          </w:p>
        </w:tc>
      </w:tr>
      <w:tr>
        <w:trPr/>
        <w:tc>
          <w:tcPr>
            <w:tcW w:w="10205" w:type="dxa"/>
            <w:gridSpan w:val="9"/>
            <w:tcBorders/>
            <w:vAlign w:val="center"/>
          </w:tcPr>
          <w:p>
            <w:pPr>
              <w:pStyle w:val="TableContents"/>
              <w:bidi w:val="0"/>
              <w:spacing w:before="0" w:after="283"/>
              <w:ind w:left="0" w:right="0" w:hanging="180"/>
              <w:jc w:val="center"/>
              <w:rPr>
                <w:u w:val="single"/>
              </w:rPr>
            </w:pPr>
            <w:r>
              <w:rPr>
                <w:u w:val="single"/>
              </w:rPr>
              <w:t>LIABILITIES AND STOCKHOLDERS’ DEFICIT</w:t>
            </w:r>
          </w:p>
        </w:tc>
      </w:tr>
      <w:tr>
        <w:trPr/>
        <w:tc>
          <w:tcPr>
            <w:tcW w:w="7387" w:type="dxa"/>
            <w:tcBorders/>
            <w:vAlign w:val="center"/>
          </w:tcPr>
          <w:p>
            <w:pPr>
              <w:pStyle w:val="TableContents"/>
              <w:bidi w:val="0"/>
              <w:spacing w:before="0" w:after="283"/>
              <w:jc w:val="both"/>
              <w:rPr/>
            </w:pPr>
            <w:r>
              <w:rPr>
                <w:u w:val="single"/>
              </w:rPr>
              <w:t>Current liabilities</w:t>
            </w:r>
            <w:r>
              <w:rPr/>
              <w:t>:</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ind w:left="0" w:right="0" w:hanging="180"/>
              <w:jc w:val="left"/>
              <w:rPr/>
            </w:pPr>
            <w:r>
              <w:rPr/>
              <w:t> </w:t>
            </w:r>
          </w:p>
        </w:tc>
      </w:tr>
      <w:tr>
        <w:trPr/>
        <w:tc>
          <w:tcPr>
            <w:tcW w:w="7387" w:type="dxa"/>
            <w:tcBorders/>
            <w:shd w:fill="CCEEFF" w:val="clear"/>
            <w:vAlign w:val="center"/>
          </w:tcPr>
          <w:p>
            <w:pPr>
              <w:pStyle w:val="TableContents"/>
              <w:bidi w:val="0"/>
              <w:spacing w:before="0" w:after="283"/>
              <w:jc w:val="both"/>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770,276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1,734</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387" w:type="dxa"/>
            <w:tcBorders/>
            <w:shd w:fill="FFFFFF" w:val="clear"/>
            <w:vAlign w:val="center"/>
          </w:tcPr>
          <w:p>
            <w:pPr>
              <w:pStyle w:val="TableContents"/>
              <w:bidi w:val="0"/>
              <w:spacing w:before="0" w:after="283"/>
              <w:jc w:val="both"/>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23,505</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387" w:type="dxa"/>
            <w:tcBorders/>
            <w:shd w:fill="CCEEFF" w:val="clear"/>
            <w:vAlign w:val="center"/>
          </w:tcPr>
          <w:p>
            <w:pPr>
              <w:pStyle w:val="TableContents"/>
              <w:bidi w:val="0"/>
              <w:spacing w:before="0" w:after="283"/>
              <w:jc w:val="both"/>
              <w:rPr/>
            </w:pPr>
            <w:r>
              <w:rPr/>
              <w:t>Payroll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246,720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18,868</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387" w:type="dxa"/>
            <w:tcBorders/>
            <w:shd w:fill="FFFFFF" w:val="clear"/>
            <w:vAlign w:val="center"/>
          </w:tcPr>
          <w:p>
            <w:pPr>
              <w:pStyle w:val="TableContents"/>
              <w:bidi w:val="0"/>
              <w:spacing w:before="0" w:after="283"/>
              <w:jc w:val="both"/>
              <w:rPr/>
            </w:pPr>
            <w:r>
              <w:rPr/>
              <w:t>Deferred revenue,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1,142,643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387" w:type="dxa"/>
            <w:tcBorders/>
            <w:shd w:fill="CCEEFF" w:val="clear"/>
            <w:vAlign w:val="center"/>
          </w:tcPr>
          <w:p>
            <w:pPr>
              <w:pStyle w:val="TableContents"/>
              <w:bidi w:val="0"/>
              <w:spacing w:before="0" w:after="283"/>
              <w:jc w:val="both"/>
              <w:rPr/>
            </w:pPr>
            <w:r>
              <w:rPr/>
              <w:t>Lease liability,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36,225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387" w:type="dxa"/>
            <w:tcBorders/>
            <w:shd w:fill="FFFFFF" w:val="clear"/>
            <w:vAlign w:val="center"/>
          </w:tcPr>
          <w:p>
            <w:pPr>
              <w:pStyle w:val="TableContents"/>
              <w:bidi w:val="0"/>
              <w:spacing w:before="0" w:after="283"/>
              <w:jc w:val="both"/>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2,220,083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44,107</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38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387" w:type="dxa"/>
            <w:tcBorders/>
            <w:shd w:fill="FFFFFF" w:val="clear"/>
            <w:vAlign w:val="center"/>
          </w:tcPr>
          <w:p>
            <w:pPr>
              <w:pStyle w:val="TableContents"/>
              <w:bidi w:val="0"/>
              <w:spacing w:before="0" w:after="283"/>
              <w:jc w:val="both"/>
              <w:rPr/>
            </w:pPr>
            <w:r>
              <w:rPr>
                <w:u w:val="single"/>
              </w:rPr>
              <w:t>Long-term liabilities</w:t>
            </w: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387" w:type="dxa"/>
            <w:tcBorders/>
            <w:shd w:fill="CCEEFF" w:val="clear"/>
            <w:vAlign w:val="center"/>
          </w:tcPr>
          <w:p>
            <w:pPr>
              <w:pStyle w:val="TableContents"/>
              <w:bidi w:val="0"/>
              <w:spacing w:before="0" w:after="283"/>
              <w:jc w:val="both"/>
              <w:rPr/>
            </w:pPr>
            <w:r>
              <w:rPr/>
              <w:t>SAFE agreements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23,334,626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4,602,950</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387" w:type="dxa"/>
            <w:tcBorders/>
            <w:shd w:fill="FFFFFF" w:val="clear"/>
            <w:vAlign w:val="center"/>
          </w:tcPr>
          <w:p>
            <w:pPr>
              <w:pStyle w:val="TableContents"/>
              <w:bidi w:val="0"/>
              <w:spacing w:before="0" w:after="283"/>
              <w:jc w:val="both"/>
              <w:rPr/>
            </w:pPr>
            <w:r>
              <w:rPr/>
              <w:t>Deferred revenue,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1,570,572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387" w:type="dxa"/>
            <w:tcBorders/>
            <w:shd w:fill="CCEEFF" w:val="clear"/>
            <w:vAlign w:val="center"/>
          </w:tcPr>
          <w:p>
            <w:pPr>
              <w:pStyle w:val="TableContents"/>
              <w:bidi w:val="0"/>
              <w:spacing w:before="0" w:after="283"/>
              <w:jc w:val="both"/>
              <w:rPr/>
            </w:pPr>
            <w:r>
              <w:rPr/>
              <w:t>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265,413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387" w:type="dxa"/>
            <w:tcBorders/>
            <w:shd w:fill="FFFFFF" w:val="clear"/>
            <w:vAlign w:val="center"/>
          </w:tcPr>
          <w:p>
            <w:pPr>
              <w:pStyle w:val="TableContents"/>
              <w:bidi w:val="0"/>
              <w:spacing w:before="0" w:after="283"/>
              <w:jc w:val="both"/>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25,170,611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4,602,950</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387" w:type="dxa"/>
            <w:tcBorders/>
            <w:shd w:fill="CCEEFF" w:val="clear"/>
            <w:vAlign w:val="center"/>
          </w:tcPr>
          <w:p>
            <w:pPr>
              <w:pStyle w:val="TableContents"/>
              <w:bidi w:val="0"/>
              <w:spacing w:before="0" w:after="283"/>
              <w:jc w:val="both"/>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27,390,694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4,647,057</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387" w:type="dxa"/>
            <w:tcBorders/>
            <w:shd w:fill="FFFFFF" w:val="clear"/>
            <w:vAlign w:val="center"/>
          </w:tcPr>
          <w:p>
            <w:pPr>
              <w:pStyle w:val="TableContents"/>
              <w:bidi w:val="0"/>
              <w:spacing w:before="0" w:after="283"/>
              <w:jc w:val="both"/>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38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387" w:type="dxa"/>
            <w:tcBorders/>
            <w:shd w:fill="FFFFFF" w:val="clear"/>
            <w:vAlign w:val="center"/>
          </w:tcPr>
          <w:p>
            <w:pPr>
              <w:pStyle w:val="TableContents"/>
              <w:bidi w:val="0"/>
              <w:spacing w:before="0" w:after="283"/>
              <w:jc w:val="both"/>
              <w:rPr>
                <w:u w:val="single"/>
              </w:rPr>
            </w:pPr>
            <w:r>
              <w:rPr>
                <w:u w:val="single"/>
              </w:rPr>
              <w:t>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387" w:type="dxa"/>
            <w:tcBorders/>
            <w:shd w:fill="CCEEFF" w:val="clear"/>
            <w:vAlign w:val="center"/>
          </w:tcPr>
          <w:p>
            <w:pPr>
              <w:pStyle w:val="TableContents"/>
              <w:bidi w:val="0"/>
              <w:spacing w:before="0" w:after="283"/>
              <w:jc w:val="left"/>
              <w:rPr/>
            </w:pPr>
            <w:r>
              <w:rPr/>
              <w:t>Common stock, $0.001 par value, 200,000,000 shares authorized; 108,975,000 shares issued and outstanding at December 31, 2024 and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108,975</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387" w:type="dxa"/>
            <w:tcBorders/>
            <w:shd w:fill="FFFFFF" w:val="clear"/>
            <w:vAlign w:val="center"/>
          </w:tcPr>
          <w:p>
            <w:pPr>
              <w:pStyle w:val="TableContents"/>
              <w:bidi w:val="0"/>
              <w:spacing w:before="0" w:after="283"/>
              <w:jc w:val="both"/>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330,366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133,360</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387" w:type="dxa"/>
            <w:tcBorders/>
            <w:shd w:fill="CCEEFF" w:val="clear"/>
            <w:vAlign w:val="center"/>
          </w:tcPr>
          <w:p>
            <w:pPr>
              <w:pStyle w:val="TableContents"/>
              <w:bidi w:val="0"/>
              <w:spacing w:before="0" w:after="283"/>
              <w:jc w:val="both"/>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(24,733,263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(3,195,833</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7387" w:type="dxa"/>
            <w:tcBorders/>
            <w:shd w:fill="FFFFFF" w:val="clear"/>
            <w:vAlign w:val="center"/>
          </w:tcPr>
          <w:p>
            <w:pPr>
              <w:pStyle w:val="TableContents"/>
              <w:bidi w:val="0"/>
              <w:spacing w:before="0" w:after="283"/>
              <w:jc w:val="both"/>
              <w:rPr/>
            </w:pPr>
            <w:r>
              <w:rPr/>
              <w:t>Total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(24,293,922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(2,953,498</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7387" w:type="dxa"/>
            <w:tcBorders/>
            <w:shd w:fill="CCEEFF" w:val="clear"/>
            <w:vAlign w:val="center"/>
          </w:tcPr>
          <w:p>
            <w:pPr>
              <w:pStyle w:val="TableContents"/>
              <w:bidi w:val="0"/>
              <w:spacing w:before="0" w:after="283"/>
              <w:jc w:val="both"/>
              <w:rPr/>
            </w:pPr>
            <w:r>
              <w:rPr/>
              <w:t>Total 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3,096,772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1,693,559</w:t>
            </w:r>
          </w:p>
        </w:tc>
        <w:tc>
          <w:tcPr>
            <w:tcW w:w="9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33" w:name="f_004"/>
      <w:bookmarkEnd w:id="33"/>
      <w:r>
        <w:rPr>
          <w:rFonts w:ascii="Times New Roman;Times;Serif" w:hAnsi="Times New Roman;Times;Serif"/>
          <w:b w:val="false"/>
          <w:i w:val="false"/>
          <w:caps w:val="false"/>
          <w:smallCaps w:val="false"/>
          <w:sz w:val="20"/>
        </w:rPr>
        <w:t>SEE ID, INC. AND SUBSIDIARY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Operations</w:t>
      </w:r>
    </w:p>
    <w:p>
      <w:pPr>
        <w:pStyle w:val="TextBody"/>
        <w:bidi w:val="0"/>
        <w:spacing w:before="0" w:after="0"/>
        <w:jc w:val="center"/>
        <w:rPr>
          <w:caps w:val="false"/>
          <w:smallCaps w:val="false"/>
        </w:rPr>
      </w:pPr>
      <w:r>
        <w:rPr>
          <w:caps w:val="false"/>
          <w:smallCaps w:val="false"/>
        </w:rPr>
        <w:t> </w:t>
      </w:r>
    </w:p>
    <w:tbl>
      <w:tblPr>
        <w:tblW w:w="7376" w:type="dxa"/>
        <w:jc w:val="left"/>
        <w:tblInd w:w="0" w:type="dxa"/>
        <w:tblLayout w:type="fixed"/>
        <w:tblCellMar>
          <w:top w:w="0" w:type="dxa"/>
          <w:left w:w="0" w:type="dxa"/>
          <w:bottom w:w="0" w:type="dxa"/>
          <w:right w:w="0" w:type="dxa"/>
        </w:tblCellMar>
      </w:tblPr>
      <w:tblGrid>
        <w:gridCol w:w="4025"/>
        <w:gridCol w:w="60"/>
        <w:gridCol w:w="161"/>
        <w:gridCol w:w="1410"/>
        <w:gridCol w:w="109"/>
        <w:gridCol w:w="69"/>
        <w:gridCol w:w="161"/>
        <w:gridCol w:w="1271"/>
        <w:gridCol w:w="110"/>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1" w:type="dxa"/>
            <w:gridSpan w:val="6"/>
            <w:tcBorders>
              <w:bottom w:val="single" w:sz="12" w:space="0" w:color="000000"/>
            </w:tcBorders>
            <w:tcMar>
              <w:bottom w:w="28" w:type="dxa"/>
            </w:tcMar>
            <w:vAlign w:val="center"/>
          </w:tcPr>
          <w:p>
            <w:pPr>
              <w:pStyle w:val="TableContents"/>
              <w:bidi w:val="0"/>
              <w:spacing w:before="0" w:after="283"/>
              <w:jc w:val="center"/>
              <w:rPr/>
            </w:pPr>
            <w:r>
              <w:rPr/>
              <w:t>For the year ended December 31,</w:t>
            </w:r>
          </w:p>
        </w:tc>
        <w:tc>
          <w:tcPr>
            <w:tcW w:w="11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1"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32"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Sales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410" w:type="dxa"/>
            <w:tcBorders/>
            <w:shd w:fill="CCEEFF" w:val="clear"/>
            <w:vAlign w:val="center"/>
          </w:tcPr>
          <w:p>
            <w:pPr>
              <w:pStyle w:val="TableContents"/>
              <w:bidi w:val="0"/>
              <w:spacing w:before="0" w:after="283"/>
              <w:jc w:val="right"/>
              <w:rPr/>
            </w:pPr>
            <w:r>
              <w:rPr/>
              <w:t>172,661</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439,640</w:t>
            </w:r>
          </w:p>
        </w:tc>
        <w:tc>
          <w:tcPr>
            <w:tcW w:w="11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0" w:type="dxa"/>
            <w:tcBorders>
              <w:bottom w:val="single" w:sz="12" w:space="0" w:color="000000"/>
            </w:tcBorders>
            <w:shd w:fill="FFFFFF" w:val="clear"/>
            <w:tcMar>
              <w:bottom w:w="28" w:type="dxa"/>
            </w:tcMar>
            <w:vAlign w:val="center"/>
          </w:tcPr>
          <w:p>
            <w:pPr>
              <w:pStyle w:val="TableContents"/>
              <w:bidi w:val="0"/>
              <w:spacing w:before="0" w:after="283"/>
              <w:jc w:val="right"/>
              <w:rPr/>
            </w:pPr>
            <w:r>
              <w:rPr/>
              <w:t>343,889</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86,888</w:t>
            </w:r>
          </w:p>
        </w:tc>
        <w:tc>
          <w:tcPr>
            <w:tcW w:w="11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Gross profit (loss)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0" w:type="dxa"/>
            <w:tcBorders>
              <w:bottom w:val="single" w:sz="12" w:space="0" w:color="000000"/>
            </w:tcBorders>
            <w:shd w:fill="CCEEFF" w:val="clear"/>
            <w:tcMar>
              <w:bottom w:w="28" w:type="dxa"/>
            </w:tcMar>
            <w:vAlign w:val="center"/>
          </w:tcPr>
          <w:p>
            <w:pPr>
              <w:pStyle w:val="TableContents"/>
              <w:bidi w:val="0"/>
              <w:spacing w:before="0" w:after="283"/>
              <w:jc w:val="right"/>
              <w:rPr/>
            </w:pPr>
            <w:r>
              <w:rPr/>
              <w:t>(171,228</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352,752</w:t>
            </w:r>
          </w:p>
        </w:tc>
        <w:tc>
          <w:tcPr>
            <w:tcW w:w="11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u w:val="single"/>
              </w:rPr>
              <w:t>Operating expenses</w:t>
            </w: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3,588,548</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742,041</w:t>
            </w:r>
          </w:p>
        </w:tc>
        <w:tc>
          <w:tcPr>
            <w:tcW w:w="11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2,524,930</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449,936</w:t>
            </w:r>
          </w:p>
        </w:tc>
        <w:tc>
          <w:tcPr>
            <w:tcW w:w="11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0" w:type="dxa"/>
            <w:tcBorders>
              <w:bottom w:val="single" w:sz="12" w:space="0" w:color="000000"/>
            </w:tcBorders>
            <w:shd w:fill="FFFFFF" w:val="clear"/>
            <w:tcMar>
              <w:bottom w:w="28" w:type="dxa"/>
            </w:tcMar>
            <w:vAlign w:val="center"/>
          </w:tcPr>
          <w:p>
            <w:pPr>
              <w:pStyle w:val="TableContents"/>
              <w:bidi w:val="0"/>
              <w:spacing w:before="0" w:after="283"/>
              <w:jc w:val="right"/>
              <w:rPr/>
            </w:pPr>
            <w:r>
              <w:rPr/>
              <w:t>759,967</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837,453</w:t>
            </w:r>
          </w:p>
        </w:tc>
        <w:tc>
          <w:tcPr>
            <w:tcW w:w="11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0" w:type="dxa"/>
            <w:tcBorders>
              <w:bottom w:val="single" w:sz="12" w:space="0" w:color="000000"/>
            </w:tcBorders>
            <w:shd w:fill="CCEEFF" w:val="clear"/>
            <w:tcMar>
              <w:bottom w:w="28" w:type="dxa"/>
            </w:tcMar>
            <w:vAlign w:val="center"/>
          </w:tcPr>
          <w:p>
            <w:pPr>
              <w:pStyle w:val="TableContents"/>
              <w:bidi w:val="0"/>
              <w:spacing w:before="0" w:after="283"/>
              <w:jc w:val="right"/>
              <w:rPr/>
            </w:pPr>
            <w:r>
              <w:rPr/>
              <w:t>6,873,445</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2,029,430</w:t>
            </w:r>
          </w:p>
        </w:tc>
        <w:tc>
          <w:tcPr>
            <w:tcW w:w="11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0" w:type="dxa"/>
            <w:tcBorders>
              <w:bottom w:val="single" w:sz="12" w:space="0" w:color="000000"/>
            </w:tcBorders>
            <w:shd w:fill="FFFFFF" w:val="clear"/>
            <w:tcMar>
              <w:bottom w:w="28" w:type="dxa"/>
            </w:tcMar>
            <w:vAlign w:val="center"/>
          </w:tcPr>
          <w:p>
            <w:pPr>
              <w:pStyle w:val="TableContents"/>
              <w:bidi w:val="0"/>
              <w:spacing w:before="0" w:after="283"/>
              <w:jc w:val="right"/>
              <w:rPr/>
            </w:pPr>
            <w:r>
              <w:rPr/>
              <w:t>(7,044,673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(1,676,678</w:t>
            </w:r>
          </w:p>
        </w:tc>
        <w:tc>
          <w:tcPr>
            <w:tcW w:w="110" w:type="dxa"/>
            <w:tcBorders/>
            <w:shd w:fill="FFFFFF" w:val="clear"/>
            <w:vAlign w:val="center"/>
          </w:tcPr>
          <w:p>
            <w:pPr>
              <w:pStyle w:val="TableContents"/>
              <w:bidi w:val="0"/>
              <w:spacing w:before="0" w:after="283"/>
              <w:jc w:val="left"/>
              <w:rPr/>
            </w:pPr>
            <w:r>
              <w:rPr/>
              <w:t>)</w:t>
            </w:r>
          </w:p>
        </w:tc>
      </w:tr>
      <w:tr>
        <w:trPr/>
        <w:tc>
          <w:tcPr>
            <w:tcW w:w="4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u w:val="single"/>
              </w:rPr>
              <w:t>Other expense</w:t>
            </w: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Change in fair value of SAFE agreements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0" w:type="dxa"/>
            <w:tcBorders>
              <w:bottom w:val="single" w:sz="12" w:space="0" w:color="000000"/>
            </w:tcBorders>
            <w:shd w:fill="CCEEFF" w:val="clear"/>
            <w:tcMar>
              <w:bottom w:w="28" w:type="dxa"/>
            </w:tcMar>
            <w:vAlign w:val="center"/>
          </w:tcPr>
          <w:p>
            <w:pPr>
              <w:pStyle w:val="TableContents"/>
              <w:bidi w:val="0"/>
              <w:spacing w:before="0" w:after="283"/>
              <w:jc w:val="right"/>
              <w:rPr/>
            </w:pPr>
            <w:r>
              <w:rPr/>
              <w:t>14,492,176</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263,239</w:t>
            </w:r>
          </w:p>
        </w:tc>
        <w:tc>
          <w:tcPr>
            <w:tcW w:w="11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Net 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(21,536,849</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(1,939,917</w:t>
            </w:r>
          </w:p>
        </w:tc>
        <w:tc>
          <w:tcPr>
            <w:tcW w:w="110" w:type="dxa"/>
            <w:tcBorders/>
            <w:shd w:fill="CCEEFF" w:val="clear"/>
            <w:vAlign w:val="center"/>
          </w:tcPr>
          <w:p>
            <w:pPr>
              <w:pStyle w:val="TableContents"/>
              <w:bidi w:val="0"/>
              <w:spacing w:before="0" w:after="283"/>
              <w:jc w:val="left"/>
              <w:rPr/>
            </w:pPr>
            <w:r>
              <w:rPr/>
              <w:t>)</w:t>
            </w:r>
          </w:p>
        </w:tc>
      </w:tr>
      <w:tr>
        <w:trPr/>
        <w:tc>
          <w:tcPr>
            <w:tcW w:w="4025"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0" w:type="dxa"/>
            <w:tcBorders>
              <w:bottom w:val="single" w:sz="12" w:space="0" w:color="000000"/>
            </w:tcBorders>
            <w:shd w:fill="FFFFFF" w:val="clear"/>
            <w:tcMar>
              <w:bottom w:w="28" w:type="dxa"/>
            </w:tcMar>
            <w:vAlign w:val="center"/>
          </w:tcPr>
          <w:p>
            <w:pPr>
              <w:pStyle w:val="TableContents"/>
              <w:bidi w:val="0"/>
              <w:spacing w:before="0" w:after="283"/>
              <w:jc w:val="right"/>
              <w:rPr/>
            </w:pPr>
            <w:r>
              <w:rPr/>
              <w:t>581</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10" w:type="dxa"/>
            <w:tcBorders>
              <w:bottom w:val="double" w:sz="10" w:space="0" w:color="000000"/>
            </w:tcBorders>
            <w:shd w:fill="CCEEFF" w:val="clear"/>
            <w:tcMar>
              <w:bottom w:w="28" w:type="dxa"/>
            </w:tcMar>
            <w:vAlign w:val="center"/>
          </w:tcPr>
          <w:p>
            <w:pPr>
              <w:pStyle w:val="TableContents"/>
              <w:bidi w:val="0"/>
              <w:spacing w:before="0" w:after="283"/>
              <w:jc w:val="right"/>
              <w:rPr/>
            </w:pPr>
            <w:r>
              <w:rPr/>
              <w:t>(21,537,430</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1" w:type="dxa"/>
            <w:tcBorders>
              <w:bottom w:val="double" w:sz="10" w:space="0" w:color="000000"/>
            </w:tcBorders>
            <w:shd w:fill="CCEEFF" w:val="clear"/>
            <w:tcMar>
              <w:bottom w:w="28" w:type="dxa"/>
            </w:tcMar>
            <w:vAlign w:val="center"/>
          </w:tcPr>
          <w:p>
            <w:pPr>
              <w:pStyle w:val="TableContents"/>
              <w:bidi w:val="0"/>
              <w:spacing w:before="0" w:after="283"/>
              <w:jc w:val="right"/>
              <w:rPr/>
            </w:pPr>
            <w:r>
              <w:rPr/>
              <w:t>(1,939,917</w:t>
            </w:r>
          </w:p>
        </w:tc>
        <w:tc>
          <w:tcPr>
            <w:tcW w:w="110" w:type="dxa"/>
            <w:tcBorders/>
            <w:shd w:fill="CCEEFF" w:val="clear"/>
            <w:vAlign w:val="center"/>
          </w:tcPr>
          <w:p>
            <w:pPr>
              <w:pStyle w:val="TableContents"/>
              <w:bidi w:val="0"/>
              <w:spacing w:before="0" w:after="283"/>
              <w:jc w:val="left"/>
              <w:rPr/>
            </w:pPr>
            <w:r>
              <w:rPr/>
              <w:t>)</w:t>
            </w:r>
          </w:p>
        </w:tc>
      </w:tr>
      <w:tr>
        <w:trPr/>
        <w:tc>
          <w:tcPr>
            <w:tcW w:w="4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u w:val="single"/>
              </w:rPr>
              <w:t>Net loss per share</w:t>
            </w: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410" w:type="dxa"/>
            <w:tcBorders>
              <w:bottom w:val="single" w:sz="12" w:space="0" w:color="000000"/>
            </w:tcBorders>
            <w:shd w:fill="FFFFFF" w:val="clear"/>
            <w:tcMar>
              <w:bottom w:w="28" w:type="dxa"/>
            </w:tcMar>
            <w:vAlign w:val="center"/>
          </w:tcPr>
          <w:p>
            <w:pPr>
              <w:pStyle w:val="TableContents"/>
              <w:bidi w:val="0"/>
              <w:spacing w:before="0" w:after="283"/>
              <w:jc w:val="right"/>
              <w:rPr/>
            </w:pPr>
            <w:r>
              <w:rPr/>
              <w:t>(0.20</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(0.02</w:t>
            </w:r>
          </w:p>
        </w:tc>
        <w:tc>
          <w:tcPr>
            <w:tcW w:w="110" w:type="dxa"/>
            <w:tcBorders/>
            <w:shd w:fill="FFFFFF" w:val="clear"/>
            <w:vAlign w:val="center"/>
          </w:tcPr>
          <w:p>
            <w:pPr>
              <w:pStyle w:val="TableContents"/>
              <w:bidi w:val="0"/>
              <w:spacing w:before="0" w:after="283"/>
              <w:jc w:val="left"/>
              <w:rPr/>
            </w:pPr>
            <w:r>
              <w:rPr/>
              <w:t>)</w:t>
            </w:r>
          </w:p>
        </w:tc>
      </w:tr>
      <w:tr>
        <w:trPr/>
        <w:tc>
          <w:tcPr>
            <w:tcW w:w="4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u w:val="single"/>
              </w:rPr>
              <w:t>Weighted-average number of shares</w:t>
            </w: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0" w:type="dxa"/>
            <w:tcBorders>
              <w:bottom w:val="single" w:sz="12" w:space="0" w:color="000000"/>
            </w:tcBorders>
            <w:shd w:fill="CCEEFF" w:val="clear"/>
            <w:tcMar>
              <w:bottom w:w="28" w:type="dxa"/>
            </w:tcMar>
            <w:vAlign w:val="center"/>
          </w:tcPr>
          <w:p>
            <w:pPr>
              <w:pStyle w:val="TableContents"/>
              <w:bidi w:val="0"/>
              <w:spacing w:before="0" w:after="283"/>
              <w:jc w:val="right"/>
              <w:rPr/>
            </w:pPr>
            <w:r>
              <w:rPr/>
              <w:t>108,203,788</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95,983,188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4" w:name="f_005"/>
      <w:bookmarkEnd w:id="34"/>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Stockholders’ Deficit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2023</w:t>
      </w:r>
    </w:p>
    <w:p>
      <w:pPr>
        <w:pStyle w:val="TextBody"/>
        <w:bidi w:val="0"/>
        <w:spacing w:before="0" w:after="0"/>
        <w:ind w:left="0" w:right="0" w:hanging="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3050"/>
        <w:gridCol w:w="60"/>
        <w:gridCol w:w="60"/>
        <w:gridCol w:w="1220"/>
        <w:gridCol w:w="60"/>
        <w:gridCol w:w="60"/>
        <w:gridCol w:w="140"/>
        <w:gridCol w:w="800"/>
        <w:gridCol w:w="60"/>
        <w:gridCol w:w="60"/>
        <w:gridCol w:w="152"/>
        <w:gridCol w:w="873"/>
        <w:gridCol w:w="60"/>
        <w:gridCol w:w="60"/>
        <w:gridCol w:w="140"/>
        <w:gridCol w:w="1175"/>
        <w:gridCol w:w="95"/>
        <w:gridCol w:w="60"/>
        <w:gridCol w:w="140"/>
        <w:gridCol w:w="1175"/>
        <w:gridCol w:w="110"/>
      </w:tblGrid>
      <w:tr>
        <w:trPr/>
        <w:tc>
          <w:tcPr>
            <w:tcW w:w="3050"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ind w:left="0" w:right="0" w:hanging="180"/>
              <w:jc w:val="left"/>
              <w:rPr/>
            </w:pPr>
            <w:r>
              <w:rPr/>
              <w:t> </w:t>
            </w:r>
          </w:p>
        </w:tc>
      </w:tr>
      <w:tr>
        <w:trPr/>
        <w:tc>
          <w:tcPr>
            <w:tcW w:w="3050" w:type="dxa"/>
            <w:tcBorders/>
            <w:shd w:fill="CCEEFF" w:val="clear"/>
            <w:vAlign w:val="center"/>
          </w:tcPr>
          <w:p>
            <w:pPr>
              <w:pStyle w:val="TableContents"/>
              <w:bidi w:val="0"/>
              <w:spacing w:before="0" w:after="283"/>
              <w:jc w:val="left"/>
              <w:rPr/>
            </w:pPr>
            <w:r>
              <w:rPr/>
              <w:t>Balances at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108,975,000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108,975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873" w:type="dxa"/>
            <w:tcBorders/>
            <w:shd w:fill="CCEEFF" w:val="clear"/>
            <w:vAlign w:val="center"/>
          </w:tcPr>
          <w:p>
            <w:pPr>
              <w:pStyle w:val="TableContents"/>
              <w:bidi w:val="0"/>
              <w:spacing w:before="0" w:after="283"/>
              <w:jc w:val="right"/>
              <w:rPr/>
            </w:pPr>
            <w:r>
              <w:rPr/>
              <w:t>71,543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(1,255,916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(1,075,398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05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61,817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61,817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0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(1,939,917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(1,939,917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050" w:type="dxa"/>
            <w:tcBorders/>
            <w:shd w:fill="FFFFFF" w:val="clear"/>
            <w:vAlign w:val="center"/>
          </w:tcPr>
          <w:p>
            <w:pPr>
              <w:pStyle w:val="TableContents"/>
              <w:bidi w:val="0"/>
              <w:spacing w:before="0" w:after="283"/>
              <w:jc w:val="left"/>
              <w:rPr/>
            </w:pPr>
            <w:r>
              <w:rPr/>
              <w:t>Balances at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108,975,000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108,975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133,360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(3,195,833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(2,953,498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05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197,006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197,006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05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(21,537,430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(21,537,430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050" w:type="dxa"/>
            <w:tcBorders/>
            <w:shd w:fill="CCEEFF" w:val="clear"/>
            <w:vAlign w:val="center"/>
          </w:tcPr>
          <w:p>
            <w:pPr>
              <w:pStyle w:val="TableContents"/>
              <w:bidi w:val="0"/>
              <w:spacing w:before="0" w:after="283"/>
              <w:jc w:val="left"/>
              <w:rPr/>
            </w:pPr>
            <w:r>
              <w:rPr/>
              <w:t>Balances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108,975,000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108,975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3" w:type="dxa"/>
            <w:tcBorders>
              <w:bottom w:val="double" w:sz="10" w:space="0" w:color="000000"/>
            </w:tcBorders>
            <w:shd w:fill="CCEEFF" w:val="clear"/>
            <w:tcMar>
              <w:bottom w:w="28" w:type="dxa"/>
            </w:tcMar>
            <w:vAlign w:val="center"/>
          </w:tcPr>
          <w:p>
            <w:pPr>
              <w:pStyle w:val="TableContents"/>
              <w:bidi w:val="0"/>
              <w:spacing w:before="0" w:after="283"/>
              <w:jc w:val="right"/>
              <w:rPr/>
            </w:pPr>
            <w:r>
              <w:rPr/>
              <w:t>330,366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(24,733,263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(24,293,922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5" w:name="f_006"/>
      <w:bookmarkEnd w:id="35"/>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Cash Flows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56"/>
        <w:gridCol w:w="60"/>
        <w:gridCol w:w="166"/>
        <w:gridCol w:w="1402"/>
        <w:gridCol w:w="112"/>
        <w:gridCol w:w="70"/>
        <w:gridCol w:w="166"/>
        <w:gridCol w:w="1258"/>
        <w:gridCol w:w="115"/>
      </w:tblGrid>
      <w:tr>
        <w:trPr/>
        <w:tc>
          <w:tcPr>
            <w:tcW w:w="685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174" w:type="dxa"/>
            <w:gridSpan w:val="6"/>
            <w:tcBorders>
              <w:bottom w:val="single" w:sz="12" w:space="0" w:color="000000"/>
            </w:tcBorders>
            <w:tcMar>
              <w:bottom w:w="28" w:type="dxa"/>
            </w:tcMar>
            <w:vAlign w:val="center"/>
          </w:tcPr>
          <w:p>
            <w:pPr>
              <w:pStyle w:val="TableContents"/>
              <w:bidi w:val="0"/>
              <w:spacing w:before="0" w:after="283"/>
              <w:jc w:val="center"/>
              <w:rPr/>
            </w:pPr>
            <w:r>
              <w:rPr/>
              <w:t>For the year ended December 31,</w:t>
            </w:r>
          </w:p>
        </w:tc>
        <w:tc>
          <w:tcPr>
            <w:tcW w:w="115" w:type="dxa"/>
            <w:tcBorders/>
            <w:vAlign w:val="center"/>
          </w:tcPr>
          <w:p>
            <w:pPr>
              <w:pStyle w:val="TableContents"/>
              <w:bidi w:val="0"/>
              <w:spacing w:before="0" w:after="283"/>
              <w:jc w:val="left"/>
              <w:rPr/>
            </w:pPr>
            <w:r>
              <w:rPr/>
              <w:t> </w:t>
            </w:r>
          </w:p>
        </w:tc>
      </w:tr>
      <w:tr>
        <w:trPr/>
        <w:tc>
          <w:tcPr>
            <w:tcW w:w="685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68"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24"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15" w:type="dxa"/>
            <w:tcBorders/>
            <w:vAlign w:val="center"/>
          </w:tcPr>
          <w:p>
            <w:pPr>
              <w:pStyle w:val="TableContents"/>
              <w:bidi w:val="0"/>
              <w:spacing w:before="0" w:after="283"/>
              <w:jc w:val="left"/>
              <w:rPr/>
            </w:pPr>
            <w:r>
              <w:rPr/>
              <w:t> </w:t>
            </w:r>
          </w:p>
        </w:tc>
      </w:tr>
      <w:tr>
        <w:trPr/>
        <w:tc>
          <w:tcPr>
            <w:tcW w:w="6856" w:type="dxa"/>
            <w:tcBorders/>
            <w:vAlign w:val="center"/>
          </w:tcPr>
          <w:p>
            <w:pPr>
              <w:pStyle w:val="TableContents"/>
              <w:bidi w:val="0"/>
              <w:spacing w:before="0" w:after="283"/>
              <w:jc w:val="both"/>
              <w:rPr>
                <w:u w:val="single"/>
              </w:rPr>
            </w:pPr>
            <w:r>
              <w:rPr>
                <w:u w:val="single"/>
              </w:rPr>
              <w:t>Cash flows from operating activities:</w:t>
            </w:r>
          </w:p>
        </w:tc>
        <w:tc>
          <w:tcPr>
            <w:tcW w:w="60" w:type="dxa"/>
            <w:tcBorders/>
            <w:vAlign w:val="center"/>
          </w:tcPr>
          <w:p>
            <w:pPr>
              <w:pStyle w:val="TableContents"/>
              <w:bidi w:val="0"/>
              <w:spacing w:before="0" w:after="283"/>
              <w:jc w:val="left"/>
              <w:rPr/>
            </w:pPr>
            <w:r>
              <w:rPr/>
              <w:t> </w:t>
            </w:r>
          </w:p>
        </w:tc>
        <w:tc>
          <w:tcPr>
            <w:tcW w:w="1568" w:type="dxa"/>
            <w:gridSpan w:val="2"/>
            <w:tcBorders/>
            <w:vAlign w:val="center"/>
          </w:tcPr>
          <w:p>
            <w:pPr>
              <w:pStyle w:val="TableContents"/>
              <w:bidi w:val="0"/>
              <w:spacing w:before="0" w:after="283"/>
              <w:jc w:val="both"/>
              <w:rPr/>
            </w:pPr>
            <w:r>
              <w:rPr/>
              <w:t> </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24" w:type="dxa"/>
            <w:gridSpan w:val="2"/>
            <w:tcBorders/>
            <w:vAlign w:val="center"/>
          </w:tcPr>
          <w:p>
            <w:pPr>
              <w:pStyle w:val="TableContents"/>
              <w:bidi w:val="0"/>
              <w:spacing w:before="0" w:after="283"/>
              <w:jc w:val="both"/>
              <w:rPr/>
            </w:pPr>
            <w:r>
              <w:rPr/>
              <w:t> </w:t>
            </w:r>
          </w:p>
        </w:tc>
        <w:tc>
          <w:tcPr>
            <w:tcW w:w="115" w:type="dxa"/>
            <w:tcBorders/>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402" w:type="dxa"/>
            <w:tcBorders>
              <w:bottom w:val="single" w:sz="12" w:space="0" w:color="000000"/>
            </w:tcBorders>
            <w:shd w:fill="CCEEFF" w:val="clear"/>
            <w:tcMar>
              <w:bottom w:w="28" w:type="dxa"/>
            </w:tcMar>
            <w:vAlign w:val="center"/>
          </w:tcPr>
          <w:p>
            <w:pPr>
              <w:pStyle w:val="TableContents"/>
              <w:bidi w:val="0"/>
              <w:spacing w:before="0" w:after="283"/>
              <w:jc w:val="right"/>
              <w:rPr/>
            </w:pPr>
            <w:r>
              <w:rPr/>
              <w:t>(21,537,430</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(1,939,917</w:t>
            </w:r>
          </w:p>
        </w:tc>
        <w:tc>
          <w:tcPr>
            <w:tcW w:w="115" w:type="dxa"/>
            <w:tcBorders/>
            <w:shd w:fill="CCEEFF" w:val="clear"/>
            <w:vAlign w:val="center"/>
          </w:tcPr>
          <w:p>
            <w:pPr>
              <w:pStyle w:val="TableContents"/>
              <w:bidi w:val="0"/>
              <w:spacing w:before="0" w:after="283"/>
              <w:jc w:val="left"/>
              <w:rPr/>
            </w:pPr>
            <w:r>
              <w:rPr/>
              <w:t>)</w:t>
            </w:r>
          </w:p>
        </w:tc>
      </w:tr>
      <w:tr>
        <w:trPr/>
        <w:tc>
          <w:tcPr>
            <w:tcW w:w="6856" w:type="dxa"/>
            <w:tcBorders/>
            <w:shd w:fill="FFFFFF" w:val="clear"/>
            <w:vAlign w:val="center"/>
          </w:tcPr>
          <w:p>
            <w:pPr>
              <w:pStyle w:val="TableContents"/>
              <w:bidi w:val="0"/>
              <w:spacing w:before="0" w:after="283"/>
              <w:jc w:val="left"/>
              <w:rPr/>
            </w:pPr>
            <w:r>
              <w:rPr/>
              <w:t>Adjustments to reconcile net loss to net cash used by operating activities: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left"/>
              <w:rPr/>
            </w:pPr>
            <w:r>
              <w:rPr/>
              <w:t>Change in fair value of SAFE agreements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14,492,176</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263,239</w:t>
            </w:r>
          </w:p>
        </w:tc>
        <w:tc>
          <w:tcPr>
            <w:tcW w:w="115" w:type="dxa"/>
            <w:tcBorders/>
            <w:shd w:fill="CCEEFF"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both"/>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197,006</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61,817</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both"/>
              <w:rPr/>
            </w:pPr>
            <w:r>
              <w:rPr/>
              <w:t>Amortization of right-of-use asset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23,586</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both"/>
              <w:rPr/>
            </w:pPr>
            <w:r>
              <w:rPr/>
              <w:t>Operating lease payments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14,103</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both"/>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(45,486</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108,008</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both"/>
              <w:rPr/>
            </w:pPr>
            <w:r>
              <w:rPr/>
              <w:t>Inventory</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(65,248</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both"/>
              <w:rPr/>
            </w:pPr>
            <w:r>
              <w:rPr/>
              <w:t>Advances to supplier</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(33,576</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both"/>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21,870</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(155,323</w:t>
            </w:r>
          </w:p>
        </w:tc>
        <w:tc>
          <w:tcPr>
            <w:tcW w:w="115" w:type="dxa"/>
            <w:tcBorders/>
            <w:shd w:fill="CCEEFF" w:val="clear"/>
            <w:vAlign w:val="center"/>
          </w:tcPr>
          <w:p>
            <w:pPr>
              <w:pStyle w:val="TableContents"/>
              <w:bidi w:val="0"/>
              <w:spacing w:before="0" w:after="283"/>
              <w:jc w:val="left"/>
              <w:rPr/>
            </w:pPr>
            <w:r>
              <w:rPr/>
              <w:t>)</w:t>
            </w:r>
          </w:p>
        </w:tc>
      </w:tr>
      <w:tr>
        <w:trPr/>
        <w:tc>
          <w:tcPr>
            <w:tcW w:w="6856" w:type="dxa"/>
            <w:tcBorders/>
            <w:shd w:fill="FFFFFF" w:val="clear"/>
            <w:vAlign w:val="center"/>
          </w:tcPr>
          <w:p>
            <w:pPr>
              <w:pStyle w:val="TableContents"/>
              <w:bidi w:val="0"/>
              <w:spacing w:before="0" w:after="283"/>
              <w:jc w:val="both"/>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(23,389</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both"/>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768,542</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(10,707</w:t>
            </w:r>
          </w:p>
        </w:tc>
        <w:tc>
          <w:tcPr>
            <w:tcW w:w="115" w:type="dxa"/>
            <w:tcBorders/>
            <w:shd w:fill="CCEEFF" w:val="clear"/>
            <w:vAlign w:val="center"/>
          </w:tcPr>
          <w:p>
            <w:pPr>
              <w:pStyle w:val="TableContents"/>
              <w:bidi w:val="0"/>
              <w:spacing w:before="0" w:after="283"/>
              <w:jc w:val="left"/>
              <w:rPr/>
            </w:pPr>
            <w:r>
              <w:rPr/>
              <w:t>)</w:t>
            </w:r>
          </w:p>
        </w:tc>
      </w:tr>
      <w:tr>
        <w:trPr/>
        <w:tc>
          <w:tcPr>
            <w:tcW w:w="6856" w:type="dxa"/>
            <w:tcBorders/>
            <w:shd w:fill="FFFFFF" w:val="clear"/>
            <w:vAlign w:val="center"/>
          </w:tcPr>
          <w:p>
            <w:pPr>
              <w:pStyle w:val="TableContents"/>
              <w:bidi w:val="0"/>
              <w:spacing w:before="0" w:after="283"/>
              <w:jc w:val="both"/>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714</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20,207</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both"/>
              <w:rPr/>
            </w:pPr>
            <w:r>
              <w:rPr/>
              <w:t>Payroll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227,852</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(15,827</w:t>
            </w:r>
          </w:p>
        </w:tc>
        <w:tc>
          <w:tcPr>
            <w:tcW w:w="115" w:type="dxa"/>
            <w:tcBorders/>
            <w:shd w:fill="CCEEFF" w:val="clear"/>
            <w:vAlign w:val="center"/>
          </w:tcPr>
          <w:p>
            <w:pPr>
              <w:pStyle w:val="TableContents"/>
              <w:bidi w:val="0"/>
              <w:spacing w:before="0" w:after="283"/>
              <w:jc w:val="left"/>
              <w:rPr/>
            </w:pPr>
            <w:r>
              <w:rPr/>
              <w:t>)</w:t>
            </w:r>
          </w:p>
        </w:tc>
      </w:tr>
      <w:tr>
        <w:trPr/>
        <w:tc>
          <w:tcPr>
            <w:tcW w:w="6856" w:type="dxa"/>
            <w:tcBorders/>
            <w:shd w:fill="FFFFFF" w:val="clear"/>
            <w:vAlign w:val="center"/>
          </w:tcPr>
          <w:p>
            <w:pPr>
              <w:pStyle w:val="TableContents"/>
              <w:bidi w:val="0"/>
              <w:spacing w:before="0" w:after="283"/>
              <w:jc w:val="both"/>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2,713,215</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both"/>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2" w:type="dxa"/>
            <w:tcBorders>
              <w:bottom w:val="single" w:sz="12" w:space="0" w:color="000000"/>
            </w:tcBorders>
            <w:shd w:fill="CCEEFF" w:val="clear"/>
            <w:tcMar>
              <w:bottom w:w="28" w:type="dxa"/>
            </w:tcMar>
            <w:vAlign w:val="center"/>
          </w:tcPr>
          <w:p>
            <w:pPr>
              <w:pStyle w:val="TableContents"/>
              <w:bidi w:val="0"/>
              <w:spacing w:before="0" w:after="283"/>
              <w:jc w:val="right"/>
              <w:rPr/>
            </w:pPr>
            <w:r>
              <w:rPr/>
              <w:t>(43,943</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both"/>
              <w:rPr/>
            </w:pPr>
            <w:r>
              <w:rPr/>
              <w:t>Total adjustments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2" w:type="dxa"/>
            <w:tcBorders>
              <w:bottom w:val="single" w:sz="12" w:space="0" w:color="000000"/>
            </w:tcBorders>
            <w:shd w:fill="FFFFFF" w:val="clear"/>
            <w:tcMar>
              <w:bottom w:w="28" w:type="dxa"/>
            </w:tcMar>
            <w:vAlign w:val="center"/>
          </w:tcPr>
          <w:p>
            <w:pPr>
              <w:pStyle w:val="TableContents"/>
              <w:bidi w:val="0"/>
              <w:spacing w:before="0" w:after="283"/>
              <w:jc w:val="right"/>
              <w:rPr/>
            </w:pPr>
            <w:r>
              <w:rPr/>
              <w:t>18,247,422</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271,414</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left"/>
              <w:rPr/>
            </w:pPr>
            <w:r>
              <w:rPr/>
              <w:t>Net cash used by operating activities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2" w:type="dxa"/>
            <w:tcBorders>
              <w:bottom w:val="single" w:sz="12" w:space="0" w:color="000000"/>
            </w:tcBorders>
            <w:shd w:fill="CCEEFF" w:val="clear"/>
            <w:tcMar>
              <w:bottom w:w="28" w:type="dxa"/>
            </w:tcMar>
            <w:vAlign w:val="center"/>
          </w:tcPr>
          <w:p>
            <w:pPr>
              <w:pStyle w:val="TableContents"/>
              <w:bidi w:val="0"/>
              <w:spacing w:before="0" w:after="283"/>
              <w:jc w:val="right"/>
              <w:rPr/>
            </w:pPr>
            <w:r>
              <w:rPr/>
              <w:t>(3,290,008</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(1,668,503</w:t>
            </w:r>
          </w:p>
        </w:tc>
        <w:tc>
          <w:tcPr>
            <w:tcW w:w="115" w:type="dxa"/>
            <w:tcBorders/>
            <w:shd w:fill="CCEEFF" w:val="clear"/>
            <w:vAlign w:val="center"/>
          </w:tcPr>
          <w:p>
            <w:pPr>
              <w:pStyle w:val="TableContents"/>
              <w:bidi w:val="0"/>
              <w:spacing w:before="0" w:after="283"/>
              <w:jc w:val="left"/>
              <w:rPr/>
            </w:pPr>
            <w:r>
              <w:rPr/>
              <w:t>)</w:t>
            </w:r>
          </w:p>
        </w:tc>
      </w:tr>
      <w:tr>
        <w:trPr/>
        <w:tc>
          <w:tcPr>
            <w:tcW w:w="6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both"/>
              <w:rPr>
                <w:u w:val="single"/>
              </w:rPr>
            </w:pPr>
            <w:r>
              <w:rPr>
                <w:u w:val="single"/>
              </w:rPr>
              <w:t>Cash flows used by investing activities: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left"/>
              <w:rPr/>
            </w:pPr>
            <w:r>
              <w:rPr/>
              <w:t>Capitalized software development costs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2" w:type="dxa"/>
            <w:tcBorders>
              <w:bottom w:val="single" w:sz="12" w:space="0" w:color="000000"/>
            </w:tcBorders>
            <w:shd w:fill="FFFFFF" w:val="clear"/>
            <w:tcMar>
              <w:bottom w:w="28" w:type="dxa"/>
            </w:tcMar>
            <w:vAlign w:val="center"/>
          </w:tcPr>
          <w:p>
            <w:pPr>
              <w:pStyle w:val="TableContents"/>
              <w:bidi w:val="0"/>
              <w:spacing w:before="0" w:after="283"/>
              <w:jc w:val="right"/>
              <w:rPr/>
            </w:pPr>
            <w:r>
              <w:rPr/>
              <w:t>(834,220</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(672,319</w:t>
            </w:r>
          </w:p>
        </w:tc>
        <w:tc>
          <w:tcPr>
            <w:tcW w:w="115" w:type="dxa"/>
            <w:tcBorders/>
            <w:shd w:fill="FFFFFF" w:val="clear"/>
            <w:vAlign w:val="center"/>
          </w:tcPr>
          <w:p>
            <w:pPr>
              <w:pStyle w:val="TableContents"/>
              <w:bidi w:val="0"/>
              <w:spacing w:before="0" w:after="283"/>
              <w:jc w:val="left"/>
              <w:rPr/>
            </w:pPr>
            <w:r>
              <w:rPr/>
              <w:t>)</w:t>
            </w:r>
          </w:p>
        </w:tc>
      </w:tr>
      <w:tr>
        <w:trPr/>
        <w:tc>
          <w:tcPr>
            <w:tcW w:w="68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left"/>
              <w:rPr>
                <w:u w:val="single"/>
              </w:rPr>
            </w:pPr>
            <w:r>
              <w:rPr>
                <w:u w:val="single"/>
              </w:rPr>
              <w:t>Cash flows provided by financing activities: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left"/>
              <w:rPr/>
            </w:pPr>
            <w:r>
              <w:rPr/>
              <w:t>Proceeds from issuance of SAFE agreements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2" w:type="dxa"/>
            <w:tcBorders>
              <w:bottom w:val="single" w:sz="12" w:space="0" w:color="000000"/>
            </w:tcBorders>
            <w:shd w:fill="CCEEFF" w:val="clear"/>
            <w:tcMar>
              <w:bottom w:w="28" w:type="dxa"/>
            </w:tcMar>
            <w:vAlign w:val="center"/>
          </w:tcPr>
          <w:p>
            <w:pPr>
              <w:pStyle w:val="TableContents"/>
              <w:bidi w:val="0"/>
              <w:spacing w:before="0" w:after="283"/>
              <w:jc w:val="right"/>
              <w:rPr/>
            </w:pPr>
            <w:r>
              <w:rPr/>
              <w:t>4,239,500</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2,120,000</w:t>
            </w:r>
          </w:p>
        </w:tc>
        <w:tc>
          <w:tcPr>
            <w:tcW w:w="115" w:type="dxa"/>
            <w:tcBorders/>
            <w:shd w:fill="CCEEFF"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left"/>
              <w:rPr/>
            </w:pPr>
            <w:r>
              <w:rPr/>
              <w:t>Net increase (decrease) in cash</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115,272</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(220,822</w:t>
            </w:r>
          </w:p>
        </w:tc>
        <w:tc>
          <w:tcPr>
            <w:tcW w:w="115" w:type="dxa"/>
            <w:tcBorders/>
            <w:shd w:fill="CCEEFF" w:val="clear"/>
            <w:vAlign w:val="center"/>
          </w:tcPr>
          <w:p>
            <w:pPr>
              <w:pStyle w:val="TableContents"/>
              <w:bidi w:val="0"/>
              <w:spacing w:before="0" w:after="283"/>
              <w:jc w:val="left"/>
              <w:rPr/>
            </w:pPr>
            <w:r>
              <w:rPr/>
              <w:t>)</w:t>
            </w:r>
          </w:p>
        </w:tc>
      </w:tr>
      <w:tr>
        <w:trPr/>
        <w:tc>
          <w:tcPr>
            <w:tcW w:w="6856" w:type="dxa"/>
            <w:tcBorders/>
            <w:shd w:fill="FFFFFF" w:val="clear"/>
            <w:vAlign w:val="center"/>
          </w:tcPr>
          <w:p>
            <w:pPr>
              <w:pStyle w:val="TableContents"/>
              <w:bidi w:val="0"/>
              <w:spacing w:before="0" w:after="283"/>
              <w:jc w:val="both"/>
              <w:rPr/>
            </w:pPr>
            <w:r>
              <w:rPr/>
              <w:t>Cash, beginning of year</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2" w:type="dxa"/>
            <w:tcBorders>
              <w:bottom w:val="single" w:sz="12" w:space="0" w:color="000000"/>
            </w:tcBorders>
            <w:shd w:fill="FFFFFF" w:val="clear"/>
            <w:tcMar>
              <w:bottom w:w="28" w:type="dxa"/>
            </w:tcMar>
            <w:vAlign w:val="center"/>
          </w:tcPr>
          <w:p>
            <w:pPr>
              <w:pStyle w:val="TableContents"/>
              <w:bidi w:val="0"/>
              <w:spacing w:before="0" w:after="283"/>
              <w:jc w:val="right"/>
              <w:rPr/>
            </w:pPr>
            <w:r>
              <w:rPr/>
              <w:t>605,760</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826,582</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both"/>
              <w:rPr/>
            </w:pPr>
            <w:r>
              <w:rPr/>
              <w:t>Cash, end of year</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2" w:type="dxa"/>
            <w:tcBorders>
              <w:bottom w:val="double" w:sz="10" w:space="0" w:color="000000"/>
            </w:tcBorders>
            <w:shd w:fill="CCEEFF" w:val="clear"/>
            <w:tcMar>
              <w:bottom w:w="28" w:type="dxa"/>
            </w:tcMar>
            <w:vAlign w:val="center"/>
          </w:tcPr>
          <w:p>
            <w:pPr>
              <w:pStyle w:val="TableContents"/>
              <w:bidi w:val="0"/>
              <w:spacing w:before="0" w:after="283"/>
              <w:jc w:val="right"/>
              <w:rPr/>
            </w:pPr>
            <w:r>
              <w:rPr/>
              <w:t>721,032</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8" w:type="dxa"/>
            <w:tcBorders>
              <w:bottom w:val="double" w:sz="10" w:space="0" w:color="000000"/>
            </w:tcBorders>
            <w:shd w:fill="CCEEFF" w:val="clear"/>
            <w:tcMar>
              <w:bottom w:w="28" w:type="dxa"/>
            </w:tcMar>
            <w:vAlign w:val="center"/>
          </w:tcPr>
          <w:p>
            <w:pPr>
              <w:pStyle w:val="TableContents"/>
              <w:bidi w:val="0"/>
              <w:spacing w:before="0" w:after="283"/>
              <w:jc w:val="right"/>
              <w:rPr/>
            </w:pPr>
            <w:r>
              <w:rPr/>
              <w:t>605,760</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6" w:name="f_007"/>
      <w:bookmarkEnd w:id="36"/>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1 - Organization and Description of the Business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Nature of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dba Dot AI (“SEE ID”) was incorporated in the state of Nevada on December 8, 2020 to help businesses transform their operations by optimizing safety, security and efficiency of operations through real-time tracking of resources. Through SEE ID’s extensive research and development initiatives, SEE ID’s main focus includes areas such as Industrial IoT, Indoor and Outdoor tracking with seamless transitions, Passive RFID (including Bluetooth and 5G), Collision Avoidance, real-time locating systems, Dolly Management, and related supported software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is the developer of an asset tracking platform intended to push the limits of real-time precision-based location technology. SEE ID’s platform leverages the technologies, including the patented passive and active RFID tracking solutions, low power edge camera platforms utilizing artificial intelligence, enabling users to give accuracy to have in transit visibility of their material flow. Through its technological solutions, SEE ID serves multiple industries including aviation, construction, delivery, military, mining, retail, sea ports, medical logistics, warehousing and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ID’s corporate headquarters is in Las Vegas, Nevada and SEE ID has offices in Massachusetts and Maryland.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SEE ID incorporated Dot Works, Inc. (“Dot Works”), a Puerto Rico corporation, as a wholly-owned subsidiary Dot Works, based in Puerto Rico, serves as the primary manufacturing facility for Dot Ai, producing smart hardware devices and embedded technology components used in AI-driven enterprise solutions (ZIM Bridges and Smart Industrial TAGS). Activities include assembly, quality control, and packaging of proprietary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accounts of SEE ID and its wholly-owned subsidiary, Dot Works, which are collectively referred to as the “Company” in these consolidated financial statements. All intercompany balances and transactions have been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Basis of Presentation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of the Company have been prepared in conformity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Going Concern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the Company will continue as a going concern, which contemplates the realization of assets and satisfaction of liabilities in the normal course of business. The Company incurred net losses since its inception and at December 31, 2024 has an accumulated deficit of $24,733,263, cash of $721,032 and a working capital deficiency of $1,215,998. Management anticipates the Company will continue to incur operating losses for the foreseeable future. The Company’s ability to continue as a going concern is dependent on its ability to raise additional capital to fund its research and development (“R&amp;D”) activities and meet its obligations on a timely basis; however, there can be no assurance that sufficient funding will be available to allow the Company to successfully continue its R&amp;D activities and commercialize its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the Company signed a business combination agreement with ShoulderUp Technology Acquisition Corp. (“SUTA”), a special-purpose acquisition company. The Company’s strategic plan includes its business combination with SUTA to assist the Company in its efforts to raise capital and grow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necessary funds through its business operations and the proceeds realized through a business combination, or any other form of capital financing,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consolidated financial statements are issued. The accompanying consolidated financial statements do not include any adjustments relating to the recoverability and classification of recorded asset amounts or the amounts and classification of liabilities that might result from the outcome of these uncertainties.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Risks and Uncertainties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 the Company’s revenues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some of the inventory that the Company purchases includes components produced in foreign countries, the Company is subject to certain risks associated with tariffs on imports the government of the United States of America imposes, which could adversely impact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2 - Summary of Significant Accounting Policies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Use of Estimates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in conformity with US GAAP requires management to make estimates and assumptions that affect the reported amounts of assets and liabilities, as well as disclosure of contingent assets and liabilities at the date of the consolidated financial statements and the reported amounts of revenue and expenses during the reporting period. The Company believes judgment is involved in determining capitalized software development costs, the fair value of the SAFE agreements, useful lives of capitalized software development costs, stock-based compensation and the valuation allowance on deferred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Accounts Receivable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derived from customers located primarily in North America. The Company generally does not require collateral to support customer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No allowance for credit losses was necessary at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Inventory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raw materials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net realizable value. Management also periodically performs a valuation on allowance for excess and obsolete inventory. No valuation allowance was necessary at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to supplier are adjusted against the final amounts due upon shipment of the related products to the Company and are expected to be utilized within one year.</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Prepaid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are amounts paid to secure the use of assets or the receipt of services at a future date or continuously over one or more future periods. When the prepaid expenses are consumed, they are charged to expense.</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Software Development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Financial Accounting Standards Board (“FASB”) Accounting Standards Codification (“ASC”) Topic 350-40, </w:t>
      </w:r>
      <w:r>
        <w:rPr>
          <w:rFonts w:ascii="Times New Roman;Times;Serif" w:hAnsi="Times New Roman;Times;Serif"/>
          <w:b w:val="false"/>
          <w:i/>
          <w:caps w:val="false"/>
          <w:smallCaps w:val="false"/>
          <w:sz w:val="20"/>
        </w:rPr>
        <w:t>Intangibles-Goodwill and Other-Internal-Use Software</w:t>
      </w:r>
      <w:r>
        <w:rPr>
          <w:rFonts w:ascii="Times New Roman;Times;Serif" w:hAnsi="Times New Roman;Times;Serif"/>
          <w:b w:val="false"/>
          <w:i w:val="false"/>
          <w:caps w:val="false"/>
          <w:smallCaps w:val="false"/>
          <w:sz w:val="20"/>
        </w:rPr>
        <w:t>, the Company capitalizes software development costs incurred on new applications or enhancements to applications during the application development phase of software for internal use to provide services to customers. These capitalized costs 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At December 31, 2024 and 2023, and for the years then ended, the Company was in the application development phase and as no projects have been substantially completed and ready for their intended use, no amortization was recorded during the years then ended.</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Impairment of Long-Lived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At December 31, 2024 and 2023, and for the years then ended, no such indicators of impairment were identified, and accordingly, no impairment losses were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Leases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and measures its leases in accordance with FASB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xml:space="preserve"> (“ASC 842”). The Company determines if an arrangement is a lease, or contains a lease, at inception of a contract and when the terms of an existing contract are changed. The Company recognizes a lease liability and a right-of-use (ROU) asset at the commencement date of each lease. The lease liability is initially and subsequently recognized based on the present value of the contract’s future lease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payments are included in the future lease payments when those variable payments depend on an index or a rate. The discount rate is the implicit rate, if it is readily determinable, or the Company’s incremental borrowing rate. The Company’s incremental borrowing rate for a lease is the rate of interest it would have to pay on a collateralized basis to borrow an amount equal to the lease payments under similar terms and in a similar economic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Recognition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FASB ASC Topic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primarily recognizes revenue from the delivery of subscription services and related professional services through a hosted cloud (SaaS) environment. Arrangements for services generally have terms of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service revenue is recognized on a straight-line basis over the contract term. The Company determined a time-based approach is the most appropriate measure of progress because customers simultaneously receive and consume the benefits as they can access the cloud-based software under the contract terms. The Company’s subscription service arrangements are noncancelable and do not contain refund-type provisions. The Company also sells hardware related to its subscription service arrangements. These hardware components are highly integrated with the subscription service and together represent a single performance obligation. Revenues attributable to this combined performance obligation are recognized over time as the services are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provides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consists of payments received in advance of satisfaction of a performance obligation and is recognized as the performance obligations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Company being in the early stages of developing its software as a service (Saas) product, revenues were primarily related to the delivery of feasibility study reports to customers seeking to gain insight into how data driven tracking could improve their business, which is recognized upon acceptance of the feasibility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2024, the Company entered into a five-year exclusivity and licensing agreement with a customer. In consideration of the exclusive rights granted through this agreement, the customer made payments to the Company totaling $2,000,000 by December 31, 2024, $36,785 of which has been recognized as revenue during the year ended December 31, 2024, and with the remaining $1,963,215 included in “Deferred revenue” at December 31, 2024 in the accompanying consolidated balance sheets, which will be recognized as follows: $392,643 (2025), $392,643 (2026), $392,643 (2027), $392,643 (2028), and $392,643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the Company also had deferred revenue amounting to $750,000 for a prepayment from a customer for certain products, hardware, installation, programming, subscription, and training services, which the Company is in the process of fulfilling and expects to deliver entirely before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Stock-Based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applies FASB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when recording stock-based compensation. The fair value of each stock option award is estimated on the date of grant using the Black-Scholes option valuation model. The assumptions used in the Black-Scholes valuation model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Grant Price</w:t>
      </w:r>
      <w:r>
        <w:rPr>
          <w:rFonts w:ascii="Times New Roman;Times;Serif" w:hAnsi="Times New Roman;Times;Serif"/>
          <w:b w:val="false"/>
          <w:i w:val="false"/>
          <w:caps w:val="false"/>
          <w:smallCaps w:val="false"/>
          <w:sz w:val="20"/>
        </w:rPr>
        <w:t xml:space="preserve"> - The grant price of the issuances is determined based on the estimated fair value of the shares at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Risk-Free Interest Rate</w:t>
      </w:r>
      <w:r>
        <w:rPr>
          <w:rFonts w:ascii="Times New Roman;Times;Serif" w:hAnsi="Times New Roman;Times;Serif"/>
          <w:b w:val="false"/>
          <w:i w:val="false"/>
          <w:caps w:val="false"/>
          <w:smallCaps w:val="false"/>
          <w:sz w:val="20"/>
        </w:rPr>
        <w:t xml:space="preserve"> - The risk-free interest rate for periods within the contractual life of the option is based on the U.S. Treasury yield in effect at the time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Expected Lives </w:t>
      </w:r>
      <w:r>
        <w:rPr>
          <w:rFonts w:ascii="Times New Roman;Times;Serif" w:hAnsi="Times New Roman;Times;Serif"/>
          <w:b w:val="false"/>
          <w:i w:val="false"/>
          <w:caps w:val="false"/>
          <w:smallCaps w:val="false"/>
          <w:sz w:val="20"/>
        </w:rPr>
        <w:t>- Due to the Company’s insufficient history of option activity, management utilizes the simplified approach to estimate the options’ expected term, which represents the period of time that options granted are expected to be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Volatility</w:t>
      </w:r>
      <w:r>
        <w:rPr>
          <w:rFonts w:ascii="Times New Roman;Times;Serif" w:hAnsi="Times New Roman;Times;Serif"/>
          <w:b w:val="false"/>
          <w:i w:val="false"/>
          <w:caps w:val="false"/>
          <w:smallCaps w:val="false"/>
          <w:sz w:val="20"/>
        </w:rPr>
        <w:t xml:space="preserve"> - Determined based on management’s estimate or historical volatilities of comparable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Dividend Yield</w:t>
      </w:r>
      <w:r>
        <w:rPr>
          <w:rFonts w:ascii="Times New Roman;Times;Serif" w:hAnsi="Times New Roman;Times;Serif"/>
          <w:b w:val="false"/>
          <w:i w:val="false"/>
          <w:caps w:val="false"/>
          <w:smallCaps w:val="false"/>
          <w:sz w:val="20"/>
        </w:rPr>
        <w:t xml:space="preserve"> - Based on current yield at the grant date or the average dividend yield over the historical period. The Company has never declared or paid dividends and has no plans to do so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stock-based compensation, see Note 7.</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Research and Development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Advertising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costs as incurred. For the years ended December 31, 2024 and 2023, advertising expenses totaled $818,538 and $47,850,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Income 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The Company records a valuation allowance against deferred tax assets as deemed necessary.</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If applicable, the Company records interest and penalties as a component of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Fair Value of Financial Instruments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FASB ASC Topic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(“ASC 820”), establishes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Categorization within the valuation hierarchy is based upon the lowest level of input that is significant to the fair value measurement. Valuation techniques used need to maximize the use of observable inputs and minimize the use of unobservable inputs. Under the standard, fair value is defined as the exit price, or the amount that would be received to sell an asset or paid to transfer a liability in an orderly transaction between market participants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levels of the fair value hierarchy under ASC 820 are described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Pricing inputs are unadjusted quoted prices available in active markets for identical assets or liabilities at the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Pricing inputs are quoted prices for similar investments, or inputs that are observable, either directly or indirectly, for substantially the full term through corroboration with observable market data. Level 2 includes assets and liabilities valued at quoted prices adjusted for legal or contractual restrictions specific to these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Pricing inputs are unobservable, supported by little or no market activity, and reflect the reporting entity’s own assumptions about the assumptions market participants would use in pricing the asset or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exception of the SAFE agreements, at December 31, 2024 and 2023, the fair value of all of the Company’s financial assets and liabilities approximate carrying value because of the short-term nature of these instruments. The SAFE agreements are carried at estimated fair value, determined by the Company using a probability weighted expected return method. The SAFE agreements are classified within Level 3 of the fair value hierarchy, since their fair values are determined using significant assumptions that are not observable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 described above may produce a fair value calculation that may not be indicative of net realizable value or reflective of future fair values. Furthermore, although the Company believes its valuation methods are appropriate and consistent with other market participants; however, the use of different methodologies or assumptions to determine the fair value of certain financial instruments could result in a different fair value measurement at the reporting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Issued Accounting Pronouncements: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Accounting Standards Update (“ASU”) No. 2023-07 (“ASU 2023-07”), </w:t>
      </w:r>
      <w:r>
        <w:rPr>
          <w:rFonts w:ascii="Times New Roman;Times;Serif" w:hAnsi="Times New Roman;Times;Serif"/>
          <w:b w:val="false"/>
          <w:i/>
          <w:caps w:val="false"/>
          <w:smallCaps w:val="false"/>
          <w:sz w:val="20"/>
        </w:rPr>
        <w:t>Segment Reporting (Topic 280): Improvements to Reportable Segment Disclosures,</w:t>
      </w:r>
      <w:r>
        <w:rPr>
          <w:rFonts w:ascii="Times New Roman;Times;Serif" w:hAnsi="Times New Roman;Times;Serif"/>
          <w:b w:val="false"/>
          <w:i w:val="false"/>
          <w:caps w:val="false"/>
          <w:smallCaps w:val="false"/>
          <w:sz w:val="20"/>
        </w:rPr>
        <w:t xml:space="preserve"> to enhance disclosures about significant segment expenses for public entities reporting segment information under FASB ASC Topic 280. The amendments require public entities to disclose significant expense categories for each reportable segment, other segment items, the title and position of the chief financial decision-maker, and interim disclosures of certain segment-related information previously required only on an annual basis. The amendments clarify that entities reporting single segments must disclose both the new and existing segment disclosures under FASB ASC Topic 280, and a public entity is permitted to disclose multiple measures of segment profit or loss if certain criteria are met. This standard is effective for fiscal years beginning after December 15, 2023, and interim periods within fiscal years beginning after December 15, 2024. The adoption of ASU 2023-07 did not have a significant impact on the Company’s consolidated financial statements. See Note 13 for the required disclosures.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No.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xml:space="preserve"> (“ASU 2023-09”). ASU 2023-09 requires entities to disclose additional information in specified categories in the reconciliation of the effective tax rate to the statutory rate for federal, state, and foreign income taxes. ASU 2023-09 also requires greater detail about individual reconciling items in the rate reconciliation to the extent the impact of those items exceeds a specified threshold and eliminates certain existing disclosures. In addition to new disclosures associated with the rate reconciliation, the standard requires information pertaining to taxes paid (net of refunds received) to be disaggregated for federal, state, and foreign taxes and further disaggregated for specific jurisdictions to the extent the related amounts exceed a quantitative threshold. This standard will be effective for annual periods in fiscal years beginning after December 15, 2024, and for interim periods for fiscal years beginning after December 15, 2025. The guidance will be applied on a prospective basis with the option to apply the standard retrospectively, and early adoption is permitted. The Company is continuing to assess the potential impacts of the standard, and it does not expect this pronouncement to have a material effect on its consolidated financial statements, other than the required changes to the income tax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any other recently issued, but not yet effective, accounting standards could have a material effect on the Company’s consolidated financial statements. As new accounting pronouncements are issued, the Company will adopt those that are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3 - Concentrations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Concentration of Credit Risk Arising From Cash Deposits in Excess of Insured Limits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cash balance with a U.S. financial institution, in which the balance exceeds the FDIC insured limit of $250,000. At December 31, 2024 and 2023, the Company’s cash balance held at this financial institution exceeded the FDIC limit. The Company has not experienced losses on this account and management believes the Company is not exposed to significant risks on such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Significant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customer is defined as one from whom at least 10% of revenue is derived. For the year ended December 31, 2024, the Company had sales to three customers totaling approximately $154,000, which comprised approximately 89% of total revenues. For the year ended December 31, 2023, the Company had sales to two customers totaling approximately $361,000, which comprised approximately 82% of total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Significant Vendor: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purchases during the year ended December 31, 2024 were from a single vendor that provides polycarbonate plastic casings for the Company’s hardware products. Alternative suppliers are available for these items and management believes the loss of this supplier would be unlikely to have a material impact on the Company’s operations or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4 - Capitalized Software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2024 and 2023, SEE ID capitalized software development costs totaling $834,220 and $672,319, respectively. For the years ended December 31, 2024 and 2023, there was no amortization expense recorded on capitalized software development costs as the software was not substantially complete and ready for its intended use, which management currently expects to occur in or before July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5 - SAFE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SEE ID has issued Simple Agreements for Future Equity (the “SAFE agreements”) to investors for proceeds totaling $8,461,465 and $4,221,965, respectively. Under the terms of these SAFE agreements, which have stated discount rates which range from 67 - 80%, the following will happen upon the occurrence of these events (all capitalized terms are as defined in the SAFE agreements):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Equity Financing</w:t>
      </w:r>
      <w:r>
        <w:rPr>
          <w:rFonts w:ascii="Times New Roman;Times;Serif" w:hAnsi="Times New Roman;Times;Serif"/>
          <w:b w:val="false"/>
          <w:i w:val="false"/>
          <w:caps w:val="false"/>
          <w:smallCaps w:val="false"/>
          <w:sz w:val="20"/>
        </w:rPr>
        <w:t xml:space="preserve"> - the SAFE agreements will automatically convert into the number of shares of Safe Preferred Stock equal to the Purchase Amount divided by the Discount Price with certain SAFE agreements subject to a post-money valuation cap of $30,000,000.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Liquidity Event</w:t>
      </w:r>
      <w:r>
        <w:rPr>
          <w:rFonts w:ascii="Times New Roman;Times;Serif" w:hAnsi="Times New Roman;Times;Serif"/>
          <w:b w:val="false"/>
          <w:i w:val="false"/>
          <w:caps w:val="false"/>
          <w:smallCaps w:val="false"/>
          <w:sz w:val="20"/>
        </w:rPr>
        <w:t xml:space="preserve"> - the SAFE agreements will automatically be entitled to receive a portion of Proceeds, due and payable to the investor immediately prior to, or concurrent with, the consummation of such Liquidity Event, equal to the greater of (i) the Purchase Amount (the “Cash-Out Amount”) or (ii) the amount payable on the number of shares of Common Stock equal to the Purchase Amount divided by the Liquidity Price.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Dissolution Event</w:t>
      </w:r>
      <w:r>
        <w:rPr>
          <w:rFonts w:ascii="Times New Roman;Times;Serif" w:hAnsi="Times New Roman;Times;Serif"/>
          <w:b w:val="false"/>
          <w:i w:val="false"/>
          <w:caps w:val="false"/>
          <w:smallCaps w:val="false"/>
          <w:sz w:val="20"/>
        </w:rPr>
        <w:t xml:space="preserve"> - the Investor will automatically be entitled to receive a portion of Proceeds equal to the Cash-Out Amount, due and payable to the Investor immediately prior to the consummation of the Dissolution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these events had occurred at December 31, 2024, and the SAFE agreements remained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815-40, </w:t>
      </w:r>
      <w:r>
        <w:rPr>
          <w:rFonts w:ascii="Times New Roman;Times;Serif" w:hAnsi="Times New Roman;Times;Serif"/>
          <w:b w:val="false"/>
          <w:i/>
          <w:caps w:val="false"/>
          <w:smallCaps w:val="false"/>
          <w:sz w:val="20"/>
        </w:rPr>
        <w:t>Contracts in Entity’s Own Equity</w:t>
      </w:r>
      <w:r>
        <w:rPr>
          <w:rFonts w:ascii="Times New Roman;Times;Serif" w:hAnsi="Times New Roman;Times;Serif"/>
          <w:b w:val="false"/>
          <w:i w:val="false"/>
          <w:caps w:val="false"/>
          <w:smallCaps w:val="false"/>
          <w:sz w:val="20"/>
        </w:rPr>
        <w:t>, the Company determined the SAFE agreements are freestanding financial instruments and accordingly are classified as “liabilities” in the accompanying consolidated balance sheets. The SAFE agreements are carried at estimated fair value determined by the Company using a probability-weighted expected return method. During the years ended December 31, 2024 and 2023, SEE ID issued additional SAFE agreements to investors totaling $4,239,500 and $2,120,000, and the change in the fair value of the SAFE agreements was $14,492,176 and $263,239,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agreements activity for the years ended December 31, 2024 and 2023 is as follows:</w:t>
      </w:r>
    </w:p>
    <w:p>
      <w:pPr>
        <w:pStyle w:val="TextBody"/>
        <w:bidi w:val="0"/>
        <w:spacing w:before="0" w:after="0"/>
        <w:ind w:left="0" w:right="0" w:hanging="0"/>
        <w:jc w:val="both"/>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4715"/>
        <w:gridCol w:w="60"/>
        <w:gridCol w:w="140"/>
        <w:gridCol w:w="1100"/>
        <w:gridCol w:w="60"/>
        <w:gridCol w:w="60"/>
        <w:gridCol w:w="140"/>
        <w:gridCol w:w="980"/>
        <w:gridCol w:w="75"/>
      </w:tblGrid>
      <w:tr>
        <w:trPr/>
        <w:tc>
          <w:tcPr>
            <w:tcW w:w="4715"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ind w:left="0" w:right="0" w:hanging="180"/>
              <w:jc w:val="left"/>
              <w:rPr/>
            </w:pPr>
            <w:r>
              <w:rPr/>
              <w:t> </w:t>
            </w:r>
          </w:p>
        </w:tc>
      </w:tr>
      <w:tr>
        <w:trPr/>
        <w:tc>
          <w:tcPr>
            <w:tcW w:w="4715" w:type="dxa"/>
            <w:tcBorders/>
            <w:shd w:fill="CCEEFF" w:val="clear"/>
            <w:vAlign w:val="center"/>
          </w:tcPr>
          <w:p>
            <w:pPr>
              <w:pStyle w:val="TableContents"/>
              <w:bidi w:val="0"/>
              <w:spacing w:before="0" w:after="283"/>
              <w:jc w:val="both"/>
              <w:rPr/>
            </w:pPr>
            <w:r>
              <w:rPr/>
              <w:t>SAFE agreements at fair value,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4,602,950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2,219,711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715" w:type="dxa"/>
            <w:tcBorders/>
            <w:shd w:fill="FFFFFF" w:val="clear"/>
            <w:vAlign w:val="center"/>
          </w:tcPr>
          <w:p>
            <w:pPr>
              <w:pStyle w:val="TableContents"/>
              <w:bidi w:val="0"/>
              <w:spacing w:before="0" w:after="283"/>
              <w:jc w:val="both"/>
              <w:rPr/>
            </w:pPr>
            <w:r>
              <w:rPr/>
              <w:t>Plus: SAFE agreements issued for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4,239,500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2,120,000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715" w:type="dxa"/>
            <w:tcBorders/>
            <w:shd w:fill="CCEEFF" w:val="clear"/>
            <w:vAlign w:val="center"/>
          </w:tcPr>
          <w:p>
            <w:pPr>
              <w:pStyle w:val="TableContents"/>
              <w:bidi w:val="0"/>
              <w:spacing w:before="0" w:after="283"/>
              <w:jc w:val="both"/>
              <w:rPr/>
            </w:pPr>
            <w:r>
              <w:rPr/>
              <w:t>Plus: Change in fair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14,492,176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263,239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715" w:type="dxa"/>
            <w:tcBorders/>
            <w:shd w:fill="FFFFFF" w:val="clear"/>
            <w:vAlign w:val="center"/>
          </w:tcPr>
          <w:p>
            <w:pPr>
              <w:pStyle w:val="TableContents"/>
              <w:bidi w:val="0"/>
              <w:spacing w:before="0" w:after="283"/>
              <w:jc w:val="both"/>
              <w:rPr/>
            </w:pPr>
            <w:r>
              <w:rPr/>
              <w:t>SAFE agreements at fair value, end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23,334,626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4,602,950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6 -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is authorized to issue 200,000,000 shares of common stock at $0.001 par value, comprised of (i) 165,000,000 shares of Class A Common Stock (voting) and (ii) 35,000,000 shares of Class B Common Stock (non-voting).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SEE ID had 108,975,000 shares of Class A Common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7 -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2021, SEE ID adopted the 2021 Equity Inventive Plan (the “Plan”), which provides for grants of awards in the form of incentive stock options, nonqualified stock options, and restricted stock awards to selected employees, directors, and independent contractors of the Company and its affiliates, as defined in the Plan. The aggregate number of shares of SEE ID’s common stock that may be issued under the Plan shall not exceed 57,477,460. The purpose of the Plan is to encourage and enable selected participants to acquire or to increase their holdings of SEE ID’s common stock in order to promote a closer identification of their interests with those of the Company and its stockholders. The Plan is administered by the Company’s Board of Directors, which determines the persons to whom awards will be granted, the type of awards to be granted, the number of awards to be granted and the specific terms of each grant, including the vesting thereof, subject to the provisions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SEE ID granted stock options to purchase 86,700 shares of its common stock at an exercise price of $0.70 per share, which all have a ten-year life and vest ratably over the 18 months following the date of grant. The fair value of the stock options granted during the year ended December 31, 2024, was determined to be approximately $44,000 on the date of grant using the Black-Scholes option-pricing model, with the following assumptions:</w:t>
      </w:r>
    </w:p>
    <w:p>
      <w:pPr>
        <w:pStyle w:val="TextBody"/>
        <w:bidi w:val="0"/>
        <w:spacing w:before="0" w:after="0"/>
        <w:ind w:left="0" w:right="0" w:hanging="0"/>
        <w:jc w:val="both"/>
        <w:rPr>
          <w:caps w:val="false"/>
          <w:smallCaps w:val="false"/>
        </w:rPr>
      </w:pPr>
      <w:r>
        <w:rPr>
          <w:caps w:val="false"/>
          <w:smallCaps w:val="false"/>
        </w:rPr>
        <w:t> </w:t>
      </w:r>
    </w:p>
    <w:tbl>
      <w:tblPr>
        <w:tblW w:w="5570" w:type="dxa"/>
        <w:jc w:val="left"/>
        <w:tblInd w:w="0" w:type="dxa"/>
        <w:tblLayout w:type="fixed"/>
        <w:tblCellMar>
          <w:top w:w="0" w:type="dxa"/>
          <w:left w:w="0" w:type="dxa"/>
          <w:bottom w:w="0" w:type="dxa"/>
          <w:right w:w="0" w:type="dxa"/>
        </w:tblCellMar>
      </w:tblPr>
      <w:tblGrid>
        <w:gridCol w:w="4700"/>
        <w:gridCol w:w="60"/>
        <w:gridCol w:w="140"/>
        <w:gridCol w:w="440"/>
        <w:gridCol w:w="230"/>
      </w:tblGrid>
      <w:tr>
        <w:trPr/>
        <w:tc>
          <w:tcPr>
            <w:tcW w:w="4700" w:type="dxa"/>
            <w:tcBorders/>
            <w:shd w:fill="CCEEFF" w:val="clear"/>
            <w:vAlign w:val="center"/>
          </w:tcPr>
          <w:p>
            <w:pPr>
              <w:pStyle w:val="TableContents"/>
              <w:bidi w:val="0"/>
              <w:spacing w:before="0" w:after="283"/>
              <w:jc w:val="left"/>
              <w:rPr/>
            </w:pPr>
            <w:r>
              <w:rPr/>
              <w:t>Expected life (in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5.75</w:t>
            </w:r>
          </w:p>
        </w:tc>
        <w:tc>
          <w:tcPr>
            <w:tcW w:w="23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Average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85</w:t>
            </w:r>
          </w:p>
        </w:tc>
        <w:tc>
          <w:tcPr>
            <w:tcW w:w="230" w:type="dxa"/>
            <w:tcBorders/>
            <w:shd w:fill="FFFFFF" w:val="clear"/>
            <w:vAlign w:val="center"/>
          </w:tcPr>
          <w:p>
            <w:pPr>
              <w:pStyle w:val="TableContents"/>
              <w:bidi w:val="0"/>
              <w:spacing w:before="0" w:after="283"/>
              <w:jc w:val="left"/>
              <w:rPr/>
            </w:pPr>
            <w:r>
              <w:rPr/>
              <w:t>%</w:t>
            </w:r>
          </w:p>
        </w:tc>
      </w:tr>
      <w:tr>
        <w:trPr/>
        <w:tc>
          <w:tcPr>
            <w:tcW w:w="4700" w:type="dxa"/>
            <w:tcBorders/>
            <w:shd w:fill="CCEEFF" w:val="clear"/>
            <w:vAlign w:val="center"/>
          </w:tcPr>
          <w:p>
            <w:pPr>
              <w:pStyle w:val="TableContents"/>
              <w:bidi w:val="0"/>
              <w:spacing w:before="0" w:after="283"/>
              <w:jc w:val="left"/>
              <w:rPr/>
            </w:pPr>
            <w:r>
              <w:rPr/>
              <w:t>Risk-free rates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4.13</w:t>
            </w:r>
          </w:p>
        </w:tc>
        <w:tc>
          <w:tcPr>
            <w:tcW w:w="230" w:type="dxa"/>
            <w:tcBorders/>
            <w:shd w:fill="CCEEFF" w:val="clear"/>
            <w:vAlign w:val="center"/>
          </w:tcPr>
          <w:p>
            <w:pPr>
              <w:pStyle w:val="TableContents"/>
              <w:bidi w:val="0"/>
              <w:spacing w:before="0" w:after="283"/>
              <w:jc w:val="left"/>
              <w:rPr/>
            </w:pPr>
            <w:r>
              <w:rPr/>
              <w:t>%</w:t>
            </w:r>
          </w:p>
        </w:tc>
      </w:tr>
      <w:tr>
        <w:trPr/>
        <w:tc>
          <w:tcPr>
            <w:tcW w:w="4700" w:type="dxa"/>
            <w:tcBorders/>
            <w:shd w:fill="FFFFFF" w:val="clear"/>
            <w:vAlign w:val="center"/>
          </w:tcPr>
          <w:p>
            <w:pPr>
              <w:pStyle w:val="TableContents"/>
              <w:bidi w:val="0"/>
              <w:spacing w:before="0" w:after="283"/>
              <w:jc w:val="left"/>
              <w:rPr/>
            </w:pPr>
            <w:r>
              <w:rPr/>
              <w:t>Expected dividend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pPr>
            <w:r>
              <w:rPr/>
              <w:t>Weighted-average grant date calculated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0.51</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years ended December 31, 2024 and 2023, is as follows:</w:t>
      </w:r>
    </w:p>
    <w:p>
      <w:pPr>
        <w:pStyle w:val="TextBody"/>
        <w:bidi w:val="0"/>
        <w:spacing w:before="0" w:after="0"/>
        <w:ind w:left="0" w:right="0" w:hanging="0"/>
        <w:jc w:val="both"/>
        <w:rPr>
          <w:caps w:val="false"/>
          <w:smallCaps w:val="false"/>
        </w:rPr>
      </w:pPr>
      <w:r>
        <w:rPr>
          <w:caps w:val="false"/>
          <w:smallCaps w:val="false"/>
        </w:rPr>
        <w:t> </w:t>
      </w:r>
    </w:p>
    <w:tbl>
      <w:tblPr>
        <w:tblW w:w="9649" w:type="dxa"/>
        <w:jc w:val="left"/>
        <w:tblInd w:w="0" w:type="dxa"/>
        <w:tblLayout w:type="fixed"/>
        <w:tblCellMar>
          <w:top w:w="0" w:type="dxa"/>
          <w:left w:w="0" w:type="dxa"/>
          <w:bottom w:w="0" w:type="dxa"/>
          <w:right w:w="0" w:type="dxa"/>
        </w:tblCellMar>
      </w:tblPr>
      <w:tblGrid>
        <w:gridCol w:w="4520"/>
        <w:gridCol w:w="60"/>
        <w:gridCol w:w="60"/>
        <w:gridCol w:w="1100"/>
        <w:gridCol w:w="60"/>
        <w:gridCol w:w="60"/>
        <w:gridCol w:w="448"/>
        <w:gridCol w:w="1792"/>
        <w:gridCol w:w="60"/>
        <w:gridCol w:w="60"/>
        <w:gridCol w:w="161"/>
        <w:gridCol w:w="1193"/>
        <w:gridCol w:w="75"/>
      </w:tblGrid>
      <w:tr>
        <w:trPr/>
        <w:tc>
          <w:tcPr>
            <w:tcW w:w="4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0"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Weighted- </w:t>
              <w:br/>
              <w:t>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Weighted- </w:t>
              <w:br/>
              <w:t xml:space="preserve">Average </w:t>
              <w:br/>
              <w:t xml:space="preserve">Remaining </w:t>
              <w:br/>
              <w:t xml:space="preserve">Contractual </w:t>
              <w:br/>
              <w:t>Life (in years)</w:t>
            </w:r>
          </w:p>
        </w:tc>
        <w:tc>
          <w:tcPr>
            <w:tcW w:w="7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Options outstanding at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13,060,760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w:t>
            </w:r>
          </w:p>
        </w:tc>
        <w:tc>
          <w:tcPr>
            <w:tcW w:w="1792" w:type="dxa"/>
            <w:tcBorders/>
            <w:shd w:fill="CCEEFF" w:val="clear"/>
            <w:vAlign w:val="center"/>
          </w:tcPr>
          <w:p>
            <w:pPr>
              <w:pStyle w:val="TableContents"/>
              <w:bidi w:val="0"/>
              <w:spacing w:before="0" w:after="283"/>
              <w:jc w:val="right"/>
              <w:rPr/>
            </w:pPr>
            <w:r>
              <w:rPr/>
              <w:t>0.010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9.34</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w:t>
            </w:r>
          </w:p>
        </w:tc>
        <w:tc>
          <w:tcPr>
            <w:tcW w:w="1792" w:type="dxa"/>
            <w:tcBorders/>
            <w:shd w:fill="FFFFFF" w:val="clear"/>
            <w:vAlign w:val="center"/>
          </w:tcPr>
          <w:p>
            <w:pPr>
              <w:pStyle w:val="TableContents"/>
              <w:bidi w:val="0"/>
              <w:spacing w:before="0" w:after="283"/>
              <w:jc w:val="right"/>
              <w:rPr/>
            </w:pPr>
            <w:r>
              <w:rPr/>
              <w:t>0.010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7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Options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17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Options outstanding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13,460,760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w:t>
            </w:r>
          </w:p>
        </w:tc>
        <w:tc>
          <w:tcPr>
            <w:tcW w:w="1792" w:type="dxa"/>
            <w:tcBorders/>
            <w:shd w:fill="CCEEFF" w:val="clear"/>
            <w:vAlign w:val="center"/>
          </w:tcPr>
          <w:p>
            <w:pPr>
              <w:pStyle w:val="TableContents"/>
              <w:bidi w:val="0"/>
              <w:spacing w:before="0" w:after="283"/>
              <w:jc w:val="right"/>
              <w:rPr/>
            </w:pPr>
            <w:r>
              <w:rPr/>
              <w:t>0.010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8.29</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Adjustment to options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11,455,000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w:t>
            </w:r>
          </w:p>
        </w:tc>
        <w:tc>
          <w:tcPr>
            <w:tcW w:w="1792" w:type="dxa"/>
            <w:tcBorders/>
            <w:shd w:fill="FFFFFF" w:val="clear"/>
            <w:vAlign w:val="center"/>
          </w:tcPr>
          <w:p>
            <w:pPr>
              <w:pStyle w:val="TableContents"/>
              <w:bidi w:val="0"/>
              <w:spacing w:before="0" w:after="283"/>
              <w:jc w:val="right"/>
              <w:rPr/>
            </w:pPr>
            <w:r>
              <w:rPr/>
              <w:t>0.003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Options 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w:t>
            </w:r>
          </w:p>
        </w:tc>
        <w:tc>
          <w:tcPr>
            <w:tcW w:w="1792" w:type="dxa"/>
            <w:tcBorders/>
            <w:shd w:fill="CCEEFF" w:val="clear"/>
            <w:vAlign w:val="center"/>
          </w:tcPr>
          <w:p>
            <w:pPr>
              <w:pStyle w:val="TableContents"/>
              <w:bidi w:val="0"/>
              <w:spacing w:before="0" w:after="283"/>
              <w:jc w:val="right"/>
              <w:rPr/>
            </w:pPr>
            <w:r>
              <w:rPr/>
              <w:t>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17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Options cancelled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7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Options outstanding at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25,002,460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w:t>
            </w:r>
          </w:p>
        </w:tc>
        <w:tc>
          <w:tcPr>
            <w:tcW w:w="1792" w:type="dxa"/>
            <w:tcBorders/>
            <w:shd w:fill="FFFFFF" w:val="clear"/>
            <w:vAlign w:val="center"/>
          </w:tcPr>
          <w:p>
            <w:pPr>
              <w:pStyle w:val="TableContents"/>
              <w:bidi w:val="0"/>
              <w:spacing w:before="0" w:after="283"/>
              <w:jc w:val="right"/>
              <w:rPr/>
            </w:pPr>
            <w:r>
              <w:rPr/>
              <w:t>0.009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6.22</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Vested (i.e., exercisable)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22,615,760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w:t>
            </w:r>
          </w:p>
        </w:tc>
        <w:tc>
          <w:tcPr>
            <w:tcW w:w="1792" w:type="dxa"/>
            <w:tcBorders/>
            <w:shd w:fill="CCEEFF" w:val="clear"/>
            <w:vAlign w:val="center"/>
          </w:tcPr>
          <w:p>
            <w:pPr>
              <w:pStyle w:val="TableContents"/>
              <w:bidi w:val="0"/>
              <w:spacing w:before="0" w:after="283"/>
              <w:jc w:val="right"/>
              <w:rPr/>
            </w:pPr>
            <w:r>
              <w:rPr/>
              <w:t>0.006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6.63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368"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27" w:type="dxa"/>
            <w:tcBorders/>
            <w:vAlign w:val="center"/>
          </w:tcPr>
          <w:p>
            <w:pPr>
              <w:pStyle w:val="TableContents"/>
              <w:bidi w:val="0"/>
              <w:spacing w:before="0" w:after="283"/>
              <w:jc w:val="both"/>
              <w:rPr/>
            </w:pPr>
            <w:r>
              <w:rPr/>
              <w:t>This represents stock options for common stock awards issued prior to January 1, 2024 that were incorrectly excluded from the total number of stock options for common stock outstanding at December 31, 2023. The related stock-based compensation that should have been recorded in the prior periods was immaterial to the overall consolidated financial statements for the years ended December 31, 2023 and 2022. SEE ID recorded the catch-up stock-based compensation of approximately $63,000 on January 1,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SEE ID recognized stock-based compensation relating to stock options totaling $90,377, which is included in “General and administrative” in the accompanying consolidated statements of operations. During the year ended December 31, 2023, SEE ID did not recognize any stock-based compensation relating to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there was a total of approximately $47,000 of unrecognized stock-based compensation cost relating to outstanding stock options, which is expected to be recognized over a weighted-average period of 1.25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Stock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the outstanding restricted stock awards amounted to 32,475,000 shares of SEE ID’s common stock and includes restricted stock awards for 16,537,500 shares of common stock issued prior to January 1, 2024 that were incorrectly excluded from the total number of restricted stock awards for common stock outstanding at December 31, 2023. The related stock-based compensation that should have been recorded in the prior periods was immaterial to the overall consolidated financial statements for the years ended December 31, 2023 and 2022. SEE ID recorded the catch-up stock-based compensation of approximately $66,000 on January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2024 and 2023, SEE ID did not grant any 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2020 and August 2021, the Company granted restricted stock awards of 15,937,500 shares of the Company’s common stock to each its chief financial officer (“CFO”) and chief executive officer (“CEO”), respectively (collectively referred to as the “Awards”). The Awards included vesting conditions with provisions that were considered “performance conditions” under FASB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that management concluded were probable to occur at the time of grant. The fair value of each of the Awards was determined to be approximately $67,000 (subsequently adjusted, as discussed above) on the date of grant based on the estimated fair value of the Company’s common stock at that time and was being recognized in equal monthly amounts through the date the vesting conditions were expected to be achieved. In December 2023, the Company’s board of directors approved the removal of the performance condition portion of the vesting conditions included in the Awards. As a result of this modification to the Awards, the restricted stock awarded to the CFO became fully vested at the date of the modification date and the restricted stock awarded to the CEO will become fully vested under the timing vesting condition noted in their original agreement (i.e., the third anniversary of the grant date, or August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unvested restricted stock awards granted amounted to zero and 3,115,625,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2024 and 2023, SEE ID recognized stock-based compensation relating to restricted stock awards totaling $106,629 and $61,817, respectively. Stock-based compensation relating to restricted stock awards is included in “General and administrative”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there was no unrecognized stock-based compensation costs relating to 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8 -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 consisted of the following for the years ended December 31:</w:t>
      </w:r>
    </w:p>
    <w:p>
      <w:pPr>
        <w:pStyle w:val="TextBody"/>
        <w:bidi w:val="0"/>
        <w:spacing w:before="0" w:after="0"/>
        <w:ind w:left="0" w:right="0" w:hanging="0"/>
        <w:jc w:val="left"/>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3440"/>
        <w:gridCol w:w="60"/>
        <w:gridCol w:w="140"/>
        <w:gridCol w:w="1055"/>
        <w:gridCol w:w="95"/>
        <w:gridCol w:w="60"/>
        <w:gridCol w:w="140"/>
        <w:gridCol w:w="875"/>
        <w:gridCol w:w="110"/>
      </w:tblGrid>
      <w:tr>
        <w:trPr/>
        <w:tc>
          <w:tcPr>
            <w:tcW w:w="34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both"/>
              <w:rPr>
                <w:u w:val="single"/>
              </w:rPr>
            </w:pPr>
            <w:r>
              <w:rPr>
                <w:u w:val="single"/>
              </w:rPr>
              <w:t>Current tax expense: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pPr>
            <w:r>
              <w:rPr/>
              <w:t>Federal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pPr>
            <w:r>
              <w:rPr/>
              <w:t>State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pPr>
            <w:r>
              <w:rPr/>
              <w:t>Foreign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pPr>
            <w:r>
              <w:rPr/>
              <w:t>Current 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u w:val="single"/>
              </w:rPr>
            </w:pPr>
            <w:r>
              <w:rPr>
                <w:u w:val="single"/>
              </w:rPr>
              <w:t>Deferred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pPr>
            <w:r>
              <w:rPr/>
              <w:t>Federal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4,045,818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397,951</w:t>
            </w:r>
          </w:p>
        </w:tc>
        <w:tc>
          <w:tcPr>
            <w:tcW w:w="11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pPr>
            <w:r>
              <w:rPr/>
              <w:t>State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105,464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27,676</w:t>
            </w:r>
          </w:p>
        </w:tc>
        <w:tc>
          <w:tcPr>
            <w:tcW w:w="11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pPr>
            <w:r>
              <w:rPr/>
              <w:t>Foreign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(4,161,621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(425,627</w:t>
            </w:r>
          </w:p>
        </w:tc>
        <w:tc>
          <w:tcPr>
            <w:tcW w:w="110" w:type="dxa"/>
            <w:tcBorders/>
            <w:shd w:fill="CCEEFF" w:val="clear"/>
            <w:vAlign w:val="center"/>
          </w:tcPr>
          <w:p>
            <w:pPr>
              <w:pStyle w:val="TableContents"/>
              <w:bidi w:val="0"/>
              <w:spacing w:before="0" w:after="283"/>
              <w:jc w:val="left"/>
              <w:rPr/>
            </w:pPr>
            <w:r>
              <w:rPr/>
              <w:t>)</w:t>
            </w:r>
          </w:p>
        </w:tc>
      </w:tr>
      <w:tr>
        <w:trPr/>
        <w:tc>
          <w:tcPr>
            <w:tcW w:w="3440" w:type="dxa"/>
            <w:tcBorders/>
            <w:shd w:fill="FFFFFF" w:val="clear"/>
            <w:vAlign w:val="center"/>
          </w:tcPr>
          <w:p>
            <w:pPr>
              <w:pStyle w:val="TableContents"/>
              <w:bidi w:val="0"/>
              <w:spacing w:before="0" w:after="283"/>
              <w:jc w:val="both"/>
              <w:rPr/>
            </w:pPr>
            <w:r>
              <w:rPr/>
              <w:t>Deferred 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pPr>
            <w:r>
              <w:rPr/>
              <w:t>Net 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effects of temporary differences that give rise to significant portions of the deferred taxes consist of the following at December 31:</w:t>
      </w:r>
    </w:p>
    <w:p>
      <w:pPr>
        <w:pStyle w:val="TextBody"/>
        <w:bidi w:val="0"/>
        <w:spacing w:before="0" w:after="0"/>
        <w:ind w:left="0" w:right="0" w:hanging="0"/>
        <w:jc w:val="both"/>
        <w:rPr>
          <w:caps w:val="false"/>
          <w:smallCaps w:val="false"/>
        </w:rPr>
      </w:pPr>
      <w:r>
        <w:rPr>
          <w:caps w:val="false"/>
          <w:smallCaps w:val="false"/>
        </w:rPr>
        <w:t> </w:t>
      </w:r>
    </w:p>
    <w:tbl>
      <w:tblPr>
        <w:tblW w:w="6530" w:type="dxa"/>
        <w:jc w:val="left"/>
        <w:tblInd w:w="0" w:type="dxa"/>
        <w:tblLayout w:type="fixed"/>
        <w:tblCellMar>
          <w:top w:w="0" w:type="dxa"/>
          <w:left w:w="0" w:type="dxa"/>
          <w:bottom w:w="0" w:type="dxa"/>
          <w:right w:w="0" w:type="dxa"/>
        </w:tblCellMar>
      </w:tblPr>
      <w:tblGrid>
        <w:gridCol w:w="3995"/>
        <w:gridCol w:w="60"/>
        <w:gridCol w:w="140"/>
        <w:gridCol w:w="1055"/>
        <w:gridCol w:w="95"/>
        <w:gridCol w:w="60"/>
        <w:gridCol w:w="140"/>
        <w:gridCol w:w="875"/>
        <w:gridCol w:w="110"/>
      </w:tblGrid>
      <w:tr>
        <w:trPr/>
        <w:tc>
          <w:tcPr>
            <w:tcW w:w="39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both"/>
              <w:rPr/>
            </w:pPr>
            <w:r>
              <w:rPr>
                <w:u w:val="single"/>
              </w:rPr>
              <w:t>Deferred tax asset (liability)</w:t>
            </w:r>
            <w:r>
              <w:rPr/>
              <w:t>:</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both"/>
              <w:rPr/>
            </w:pPr>
            <w:r>
              <w:rPr/>
              <w:t>Accrual to cash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729,287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both"/>
              <w:rPr/>
            </w:pPr>
            <w:r>
              <w:rPr/>
              <w:t>Charitable contributions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109</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both"/>
              <w:rPr/>
            </w:pPr>
            <w:r>
              <w:rPr/>
              <w:t>Change in fair value of SAFE agreements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3,106,508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both"/>
              <w:rPr/>
            </w:pPr>
            <w:r>
              <w:rPr/>
              <w:t>R&amp;D expenditures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359,433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255,835</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both"/>
              <w:rPr/>
            </w:pPr>
            <w:r>
              <w:rPr/>
              <w:t>R&amp;D tax credit carryovers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239,142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43,669</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both"/>
              <w:rPr/>
            </w:pPr>
            <w:r>
              <w:rPr/>
              <w:t>Right-of-use asset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(65,999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both"/>
              <w:rPr/>
            </w:pPr>
            <w:r>
              <w:rPr/>
              <w:t>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56,893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both"/>
              <w:rPr/>
            </w:pPr>
            <w:r>
              <w:rPr/>
              <w:t>Stock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55,481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both"/>
              <w:rPr/>
            </w:pPr>
            <w:r>
              <w:rPr/>
              <w:t>Federal net operating loss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304,628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343,123</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both"/>
              <w:rPr/>
            </w:pPr>
            <w:r>
              <w:rPr/>
              <w:t>Foreign net operating loss carryforwards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both"/>
              <w:rPr/>
            </w:pPr>
            <w:r>
              <w:rPr/>
              <w:t>State net operating loss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both"/>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(4,804,357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(642,736</w:t>
            </w:r>
          </w:p>
        </w:tc>
        <w:tc>
          <w:tcPr>
            <w:tcW w:w="110" w:type="dxa"/>
            <w:tcBorders/>
            <w:shd w:fill="FFFFFF" w:val="clear"/>
            <w:vAlign w:val="center"/>
          </w:tcPr>
          <w:p>
            <w:pPr>
              <w:pStyle w:val="TableContents"/>
              <w:bidi w:val="0"/>
              <w:spacing w:before="0" w:after="283"/>
              <w:jc w:val="left"/>
              <w:rPr/>
            </w:pPr>
            <w:r>
              <w:rPr/>
              <w:t>)</w:t>
            </w:r>
          </w:p>
        </w:tc>
      </w:tr>
      <w:tr>
        <w:trPr/>
        <w:tc>
          <w:tcPr>
            <w:tcW w:w="3995" w:type="dxa"/>
            <w:tcBorders/>
            <w:shd w:fill="CCEEFF" w:val="clear"/>
            <w:vAlign w:val="center"/>
          </w:tcPr>
          <w:p>
            <w:pPr>
              <w:pStyle w:val="TableContents"/>
              <w:bidi w:val="0"/>
              <w:spacing w:before="0" w:after="283"/>
              <w:jc w:val="both"/>
              <w:rPr/>
            </w:pPr>
            <w:r>
              <w:rPr/>
              <w:t>Net deferred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the Company had available net research and development tax credit carryforwards amounting to approximately $239,000 and $44,000, respectively, for state tax purposes that do not expire.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the Company has generated net operating loss (“NOL”) carryforwards for federal tax purposes of approximately $1,451,000 and $1,394,000, respectively, which can be carried forward to offset future taxable income. These federal NOL carryforwards do not expire. At December 31, 2024 and 2023, the Company has generated NOL carryforwards for foreign tax purposes of approximately $258,000 and zero, respectively, which can be carried forward to offset future taxable income. These foreign NOL carryforwards expire in 2034. At December 31, 2024 and 2023, the Company has generated NOL carryforwards for state tax purposes of approximately $1,022,000 and $1,019,000, respectively, which can be carried forward to offset future taxable income. Approximately $754,000 of the state NOL carryforwards do not expire and the remaining approximately $268,000 expire through 2044.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valuation allowance, the Company had a net deferred tax asset of $4,804,357 and $642,736 at December 31, 2024 and 2023, respectively; however, the ultimate realization of deferred income tax assets is dependent upon the generation of future taxable income. The Company has placed a full valuation allowance against the net deferred income tax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interest and penalties related to income tax matters in interest expense and general and administrative, respectively. At December 31, 2024 and 2023, the Company has no accrued interest and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taxation in the U.S. federal jurisdiction, various state jurisdictions and in Puerto Rico. The Company is currently not under examination by any tax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9 -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accounting requires the presentation of both basic and diluted earnings per share on the face of the consolidated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shares of common stock for stock options amounting to 25,002,460 and 24,915,760, respectively, and for unvested restricted stock awards amounting to zero and 3,115,625, respectively, were not included in the calculation of diluted net loss per share because such shares are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10 -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SEE ID entered into a noncancelable lease agreement for a facility in Bethesda, Maryland. This lease commenced on July 1, 2024, has a term of 63 calendar months, and has an initial base rent of approximately $7,000 that increases annually by three percent. Under the terms of this lease, SEE ID is also responsible for their proportionate share of expenses associated with the facility and its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were as follows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6345" w:type="dxa"/>
        <w:jc w:val="left"/>
        <w:tblInd w:w="0" w:type="dxa"/>
        <w:tblLayout w:type="fixed"/>
        <w:tblCellMar>
          <w:top w:w="0" w:type="dxa"/>
          <w:left w:w="0" w:type="dxa"/>
          <w:bottom w:w="0" w:type="dxa"/>
          <w:right w:w="0" w:type="dxa"/>
        </w:tblCellMar>
      </w:tblPr>
      <w:tblGrid>
        <w:gridCol w:w="5390"/>
        <w:gridCol w:w="60"/>
        <w:gridCol w:w="140"/>
        <w:gridCol w:w="680"/>
        <w:gridCol w:w="75"/>
      </w:tblGrid>
      <w:tr>
        <w:trPr/>
        <w:tc>
          <w:tcPr>
            <w:tcW w:w="5390" w:type="dxa"/>
            <w:tcBorders/>
            <w:shd w:fill="CCEEFF" w:val="clear"/>
            <w:vAlign w:val="center"/>
          </w:tcPr>
          <w:p>
            <w:pPr>
              <w:pStyle w:val="TableContents"/>
              <w:bidi w:val="0"/>
              <w:spacing w:before="0" w:after="283"/>
              <w:jc w:val="left"/>
              <w:rPr/>
            </w:pPr>
            <w:r>
              <w:rPr/>
              <w:t>Operating lease cost (cost resulting from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43,106</w:t>
            </w:r>
          </w:p>
        </w:tc>
        <w:tc>
          <w:tcPr>
            <w:tcW w:w="75" w:type="dxa"/>
            <w:tcBorders/>
            <w:shd w:fill="CCEEFF" w:val="clear"/>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31,470</w:t>
            </w:r>
          </w:p>
        </w:tc>
        <w:tc>
          <w:tcPr>
            <w:tcW w:w="75"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Variable lease cost (cost excluded from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3,536</w:t>
            </w:r>
          </w:p>
        </w:tc>
        <w:tc>
          <w:tcPr>
            <w:tcW w:w="75" w:type="dxa"/>
            <w:tcBorders/>
            <w:shd w:fill="CCEEFF" w:val="clear"/>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283"/>
              <w:jc w:val="left"/>
              <w:rPr/>
            </w:pPr>
            <w:r>
              <w:rPr/>
              <w:t>Total lease cost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78,112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leases is as follows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6680" w:type="dxa"/>
        <w:jc w:val="left"/>
        <w:tblInd w:w="0" w:type="dxa"/>
        <w:tblLayout w:type="fixed"/>
        <w:tblCellMar>
          <w:top w:w="0" w:type="dxa"/>
          <w:left w:w="0" w:type="dxa"/>
          <w:bottom w:w="0" w:type="dxa"/>
          <w:right w:w="0" w:type="dxa"/>
        </w:tblCellMar>
      </w:tblPr>
      <w:tblGrid>
        <w:gridCol w:w="5570"/>
        <w:gridCol w:w="60"/>
        <w:gridCol w:w="140"/>
        <w:gridCol w:w="800"/>
        <w:gridCol w:w="110"/>
      </w:tblGrid>
      <w:tr>
        <w:trPr/>
        <w:tc>
          <w:tcPr>
            <w:tcW w:w="5570" w:type="dxa"/>
            <w:tcBorders/>
            <w:shd w:fill="CCEEFF" w:val="clear"/>
            <w:vAlign w:val="center"/>
          </w:tcPr>
          <w:p>
            <w:pPr>
              <w:pStyle w:val="TableContents"/>
              <w:bidi w:val="0"/>
              <w:spacing w:before="0" w:after="283"/>
              <w:jc w:val="left"/>
              <w:rPr/>
            </w:pPr>
            <w:r>
              <w:rPr/>
              <w:t>Operating lease - Operating cash flows (fixed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14,103</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Operating lease - Operating cash flows (liability reduction)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(5,417</w:t>
            </w:r>
          </w:p>
        </w:tc>
        <w:tc>
          <w:tcPr>
            <w:tcW w:w="110" w:type="dxa"/>
            <w:tcBorders/>
            <w:shd w:fill="FFFFFF" w:val="clear"/>
            <w:vAlign w:val="center"/>
          </w:tcPr>
          <w:p>
            <w:pPr>
              <w:pStyle w:val="TableContents"/>
              <w:bidi w:val="0"/>
              <w:spacing w:before="0" w:after="283"/>
              <w:jc w:val="left"/>
              <w:rPr/>
            </w:pPr>
            <w:r>
              <w:rPr/>
              <w:t>)</w:t>
            </w:r>
          </w:p>
        </w:tc>
      </w:tr>
      <w:tr>
        <w:trPr/>
        <w:tc>
          <w:tcPr>
            <w:tcW w:w="5570" w:type="dxa"/>
            <w:tcBorders/>
            <w:shd w:fill="CCEEFF" w:val="clear"/>
            <w:vAlign w:val="center"/>
          </w:tcPr>
          <w:p>
            <w:pPr>
              <w:pStyle w:val="TableContents"/>
              <w:bidi w:val="0"/>
              <w:spacing w:before="0" w:after="283"/>
              <w:jc w:val="left"/>
              <w:rPr/>
            </w:pPr>
            <w:r>
              <w:rPr/>
              <w:t>Operating lease - Change in ROU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23,586</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New lease liabilities - Operating lease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324,426</w:t>
            </w:r>
          </w:p>
        </w:tc>
        <w:tc>
          <w:tcPr>
            <w:tcW w:w="11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New ROU asset - Operating lease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331,478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operating lease asset and liabilities recorded at December 31, 2024:</w:t>
      </w:r>
    </w:p>
    <w:p>
      <w:pPr>
        <w:pStyle w:val="TextBody"/>
        <w:bidi w:val="0"/>
        <w:spacing w:before="0" w:after="0"/>
        <w:ind w:left="0" w:right="0" w:hanging="0"/>
        <w:jc w:val="both"/>
        <w:rPr>
          <w:caps w:val="false"/>
          <w:smallCaps w:val="false"/>
        </w:rPr>
      </w:pPr>
      <w:r>
        <w:rPr>
          <w:caps w:val="false"/>
          <w:smallCaps w:val="false"/>
        </w:rPr>
        <w:t> </w:t>
      </w:r>
    </w:p>
    <w:tbl>
      <w:tblPr>
        <w:tblW w:w="6140" w:type="dxa"/>
        <w:jc w:val="left"/>
        <w:tblInd w:w="0" w:type="dxa"/>
        <w:tblLayout w:type="fixed"/>
        <w:tblCellMar>
          <w:top w:w="0" w:type="dxa"/>
          <w:left w:w="0" w:type="dxa"/>
          <w:bottom w:w="0" w:type="dxa"/>
          <w:right w:w="0" w:type="dxa"/>
        </w:tblCellMar>
      </w:tblPr>
      <w:tblGrid>
        <w:gridCol w:w="4715"/>
        <w:gridCol w:w="60"/>
        <w:gridCol w:w="140"/>
        <w:gridCol w:w="995"/>
        <w:gridCol w:w="230"/>
      </w:tblGrid>
      <w:tr>
        <w:trPr/>
        <w:tc>
          <w:tcPr>
            <w:tcW w:w="4715" w:type="dxa"/>
            <w:tcBorders/>
            <w:shd w:fill="CCEEFF" w:val="clear"/>
            <w:vAlign w:val="center"/>
          </w:tcPr>
          <w:p>
            <w:pPr>
              <w:pStyle w:val="TableContents"/>
              <w:bidi w:val="0"/>
              <w:spacing w:before="0" w:after="283"/>
              <w:jc w:val="both"/>
              <w:rPr/>
            </w:pPr>
            <w:r>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307,892</w:t>
            </w:r>
          </w:p>
        </w:tc>
        <w:tc>
          <w:tcPr>
            <w:tcW w:w="23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95" w:type="dxa"/>
            <w:tcBorders/>
            <w:shd w:fill="FFFFFF" w:val="clear"/>
            <w:vAlign w:val="center"/>
          </w:tcPr>
          <w:p>
            <w:pPr>
              <w:pStyle w:val="TableContents"/>
              <w:bidi w:val="0"/>
              <w:spacing w:before="0" w:after="283"/>
              <w:jc w:val="right"/>
              <w:rPr/>
            </w:pPr>
            <w:r>
              <w:rPr/>
              <w:t>36,225</w:t>
            </w:r>
          </w:p>
        </w:tc>
        <w:tc>
          <w:tcPr>
            <w:tcW w:w="23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Operating lease liability, less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CCEEFF" w:val="clear"/>
            <w:tcMar>
              <w:bottom w:w="28" w:type="dxa"/>
            </w:tcMar>
            <w:vAlign w:val="center"/>
          </w:tcPr>
          <w:p>
            <w:pPr>
              <w:pStyle w:val="TableContents"/>
              <w:bidi w:val="0"/>
              <w:spacing w:before="0" w:after="283"/>
              <w:jc w:val="right"/>
              <w:rPr/>
            </w:pPr>
            <w:r>
              <w:rPr/>
              <w:t>265,413</w:t>
            </w:r>
          </w:p>
        </w:tc>
        <w:tc>
          <w:tcPr>
            <w:tcW w:w="23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5" w:type="dxa"/>
            <w:tcBorders>
              <w:bottom w:val="double" w:sz="10" w:space="0" w:color="000000"/>
            </w:tcBorders>
            <w:shd w:fill="FFFFFF" w:val="clear"/>
            <w:tcMar>
              <w:bottom w:w="28" w:type="dxa"/>
            </w:tcMar>
            <w:vAlign w:val="center"/>
          </w:tcPr>
          <w:p>
            <w:pPr>
              <w:pStyle w:val="TableContents"/>
              <w:bidi w:val="0"/>
              <w:spacing w:before="0" w:after="283"/>
              <w:jc w:val="right"/>
              <w:rPr/>
            </w:pPr>
            <w:r>
              <w:rPr/>
              <w:t>301,638</w:t>
            </w:r>
          </w:p>
        </w:tc>
        <w:tc>
          <w:tcPr>
            <w:tcW w:w="23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Weighted-average remaining operating lease term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4.75 years</w:t>
            </w:r>
          </w:p>
        </w:tc>
        <w:tc>
          <w:tcPr>
            <w:tcW w:w="23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Weighted-average operating lease discount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11.83</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future minimum lease commitments at December 31, 2024:</w:t>
      </w:r>
    </w:p>
    <w:p>
      <w:pPr>
        <w:pStyle w:val="TextBody"/>
        <w:bidi w:val="0"/>
        <w:spacing w:before="0" w:after="0"/>
        <w:ind w:left="0" w:right="0" w:hanging="0"/>
        <w:jc w:val="both"/>
        <w:rPr>
          <w:caps w:val="false"/>
          <w:smallCaps w:val="false"/>
        </w:rPr>
      </w:pPr>
      <w:r>
        <w:rPr>
          <w:caps w:val="false"/>
          <w:smallCaps w:val="false"/>
        </w:rPr>
        <w:t> </w:t>
      </w:r>
    </w:p>
    <w:tbl>
      <w:tblPr>
        <w:tblW w:w="3675" w:type="dxa"/>
        <w:jc w:val="left"/>
        <w:tblInd w:w="0" w:type="dxa"/>
        <w:tblLayout w:type="fixed"/>
        <w:tblCellMar>
          <w:top w:w="0" w:type="dxa"/>
          <w:left w:w="0" w:type="dxa"/>
          <w:bottom w:w="28" w:type="dxa"/>
          <w:right w:w="0" w:type="dxa"/>
        </w:tblCellMar>
      </w:tblPr>
      <w:tblGrid>
        <w:gridCol w:w="2600"/>
        <w:gridCol w:w="60"/>
        <w:gridCol w:w="140"/>
        <w:gridCol w:w="800"/>
        <w:gridCol w:w="75"/>
      </w:tblGrid>
      <w:tr>
        <w:trPr/>
        <w:tc>
          <w:tcPr>
            <w:tcW w:w="2600" w:type="dxa"/>
            <w:tcBorders>
              <w:bottom w:val="single" w:sz="12" w:space="0" w:color="000000"/>
            </w:tcBorders>
            <w:vAlign w:val="center"/>
          </w:tcPr>
          <w:p>
            <w:pPr>
              <w:pStyle w:val="TableContents"/>
              <w:bidi w:val="0"/>
              <w:spacing w:before="0" w:after="283"/>
              <w:jc w:val="left"/>
              <w:rPr/>
            </w:pPr>
            <w:r>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57,680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88,462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91,116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93,850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72,142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pPr>
            <w:r>
              <w:rPr/>
              <w:t>Total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403,250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Less: imputed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101,612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pPr>
            <w:r>
              <w:rPr/>
              <w:t>Total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800" w:type="dxa"/>
            <w:tcBorders>
              <w:bottom w:val="double" w:sz="10" w:space="0" w:color="000000"/>
            </w:tcBorders>
            <w:shd w:fill="FFFFFF" w:val="clear"/>
            <w:vAlign w:val="center"/>
          </w:tcPr>
          <w:p>
            <w:pPr>
              <w:pStyle w:val="TableContents"/>
              <w:bidi w:val="0"/>
              <w:spacing w:before="0" w:after="283"/>
              <w:jc w:val="right"/>
              <w:rPr/>
            </w:pPr>
            <w:r>
              <w:rPr/>
              <w:t>301,638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11 -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SEE ID has entered into SAFE agreements with Charles Maddox, SEE ID’s Chief Financial Officer and a stockholder of SEE ID, for proceeds totaling $28,833.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SEE ID entered into a $1,500,000 purchase order with Pope Technologies LLC for certain products, hardware, installation, programming, subscription, and training, of which $750,000 has been received by the Company and is reported as deferred revenue at December 31, 2024 in the accompanying consolidated balance sheets. Pope Technologies LLC is owned by a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2022, SEE ID entered into a customer agreement with PRB Transportation, LLC, which is owned, in part, by Charles Maddox, SEE ID’s Chief Financial Officer and a stockholder of SEE ID, and Jeff Andersen, a stockholder of SEE ID. For the years ended December 31, 2024 and 2023, revenues recognized from this agreement with PRB Transportation, LLC amounted to $15,145 and $19,957, respectively. As of December 31, 2024 and 2023, $1,164 and zero, respectively, were outstanding from this related party under this agreement and included in “Accounts receivable” in the accompanying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August 1, 2024, SEE ID began subleasing an office/warehouse space in Las Vegas, Nevada from Pope Technologies LLC. The term of this sublease is for one year and the rent is $1,280 per month. Pope Technologies LLC is owned by a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March 1, 2024, SEE ID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SEE ID. This lease terminated on February 28, 2025, and was not renewed.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12 -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involved in litigation and claims arising in the ordinary course of business. It is management’s opinion that the outcome of such matters will not have a material adverse effect on the Company’s consolidated financial statements; however, the results of litigation and claims are inherently unpredictable. Regardless of outcome, litigation can have an adverse impact on the Company because of legal costs, diversion of management resources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13 -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single reportable segment that derives revenues from the delivery of feasibility study reports to customers seeking to gain insight into how data driven tracking could improve their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decision-makers (the “CODM”), which are SEE ID’s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sales, can be easily computed from the provided information. This segment measures of profitability are shown in the consolidated statements of operations. The measure of segment assets is reported on the consolidated balance sheets as total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14 -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Safe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2024, SEE ID issued an additional SAFE agreement to an investor for proceeds of $23,752, which has a stated discount rate of 67%. All other terms are consistent with the terms of the SAFE agreements in Note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received two orders from a customer: 1) one for approximately $459,000 of equipment, which has not been fulfilled as of June 25, 2025, the date with which the consolidated financial statements were available to be issued, and 2) one for a feasibility study for $250,000, which was pre-paid by the customer, and delivered and recognized in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Dot Works entered into a noncancelable lease agreement for a 16,000 square foot facility in Puerto Rico. This lease commenced on February 1, 2025 on a month-to-month basis and then became a long-term lease with an initial term of 5 years on June 1, 2025. The initial base rent is $7.00 per square foot (i.e., $9,333 per month) for the first two years, increasing to $7.50 per square for the third year and increases by 3% annually thereafter. Under the terms of this lease, the Company is also responsible for their own utilities and a proportionate share of the operating expenses of the premises, not to exceed $3.25 per square foot.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Bridge Loan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entered into the following unsecured Bridge Loan Agreements with lenders totaling $2,850,000 for operational expenses, working capital, or other general corporate purposes. These loans all bear interest at an annual rate of 20% calculated on a 365-day basis and include a minimum interest provision requiring a minimum of 8% or 10% of the principal amount as interest if the loans are repaid prior to their maturity dates, which is six months from their respective effective dates. In the event SEE ID is unable to repay these loans by the end of the term, the outstanding principal and accrued interest shall convert into shares of SEE ID at a discount of an additional 10%.</w:t>
      </w:r>
    </w:p>
    <w:p>
      <w:pPr>
        <w:pStyle w:val="TextBody"/>
        <w:bidi w:val="0"/>
        <w:spacing w:before="0" w:after="0"/>
        <w:ind w:left="0" w:right="0" w:hanging="0"/>
        <w:jc w:val="both"/>
        <w:rPr>
          <w:caps w:val="false"/>
          <w:smallCaps w:val="false"/>
        </w:rPr>
      </w:pPr>
      <w:r>
        <w:rPr>
          <w:caps w:val="false"/>
          <w:smallCaps w:val="false"/>
        </w:rPr>
        <w:t> </w:t>
      </w:r>
    </w:p>
    <w:tbl>
      <w:tblPr>
        <w:tblW w:w="3279" w:type="dxa"/>
        <w:jc w:val="left"/>
        <w:tblInd w:w="0" w:type="dxa"/>
        <w:tblLayout w:type="fixed"/>
        <w:tblCellMar>
          <w:top w:w="0" w:type="dxa"/>
          <w:left w:w="0" w:type="dxa"/>
          <w:bottom w:w="28" w:type="dxa"/>
          <w:right w:w="0" w:type="dxa"/>
        </w:tblCellMar>
      </w:tblPr>
      <w:tblGrid>
        <w:gridCol w:w="1790"/>
        <w:gridCol w:w="60"/>
        <w:gridCol w:w="169"/>
        <w:gridCol w:w="1185"/>
        <w:gridCol w:w="75"/>
      </w:tblGrid>
      <w:tr>
        <w:trPr/>
        <w:tc>
          <w:tcPr>
            <w:tcW w:w="1790" w:type="dxa"/>
            <w:tcBorders>
              <w:bottom w:val="single" w:sz="12" w:space="0" w:color="000000"/>
            </w:tcBorders>
            <w:vAlign w:val="center"/>
          </w:tcPr>
          <w:p>
            <w:pPr>
              <w:pStyle w:val="TableContents"/>
              <w:bidi w:val="0"/>
              <w:spacing w:before="0" w:after="283"/>
              <w:jc w:val="left"/>
              <w:rPr/>
            </w:pPr>
            <w:r>
              <w:rPr/>
              <w:t>Effective Date</w:t>
            </w:r>
          </w:p>
        </w:tc>
        <w:tc>
          <w:tcPr>
            <w:tcW w:w="60" w:type="dxa"/>
            <w:tcBorders/>
            <w:tcMar>
              <w:bottom w:w="0" w:type="dxa"/>
            </w:tcMar>
            <w:vAlign w:val="center"/>
          </w:tcPr>
          <w:p>
            <w:pPr>
              <w:pStyle w:val="TableContents"/>
              <w:bidi w:val="0"/>
              <w:spacing w:before="0" w:after="283"/>
              <w:jc w:val="left"/>
              <w:rPr/>
            </w:pPr>
            <w:r>
              <w:rPr/>
              <w:t> </w:t>
            </w:r>
          </w:p>
        </w:tc>
        <w:tc>
          <w:tcPr>
            <w:tcW w:w="1354" w:type="dxa"/>
            <w:gridSpan w:val="2"/>
            <w:tcBorders>
              <w:bottom w:val="single" w:sz="12" w:space="0" w:color="000000"/>
            </w:tcBorders>
            <w:vAlign w:val="center"/>
          </w:tcPr>
          <w:p>
            <w:pPr>
              <w:pStyle w:val="TableContents"/>
              <w:bidi w:val="0"/>
              <w:spacing w:before="0" w:after="283"/>
              <w:jc w:val="center"/>
              <w:rPr/>
            </w:pPr>
            <w:r>
              <w:rPr/>
              <w:t>Loan Amount</w:t>
            </w:r>
          </w:p>
        </w:tc>
        <w:tc>
          <w:tcPr>
            <w:tcW w:w="75" w:type="dxa"/>
            <w:tcBorders/>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both"/>
              <w:rPr/>
            </w:pPr>
            <w:r>
              <w:rPr/>
              <w:t>January 29,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w:t>
            </w:r>
          </w:p>
        </w:tc>
        <w:tc>
          <w:tcPr>
            <w:tcW w:w="1185" w:type="dxa"/>
            <w:tcBorders/>
            <w:shd w:fill="CCEEFF" w:val="clear"/>
            <w:tcMar>
              <w:bottom w:w="0" w:type="dxa"/>
            </w:tcMar>
            <w:vAlign w:val="center"/>
          </w:tcPr>
          <w:p>
            <w:pPr>
              <w:pStyle w:val="TableContents"/>
              <w:bidi w:val="0"/>
              <w:spacing w:before="0" w:after="283"/>
              <w:jc w:val="right"/>
              <w:rPr/>
            </w:pPr>
            <w:r>
              <w:rPr/>
              <w:t>1,500,000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both"/>
              <w:rPr/>
            </w:pPr>
            <w:r>
              <w:rPr/>
              <w:t>March 29,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1185" w:type="dxa"/>
            <w:tcBorders/>
            <w:shd w:fill="FFFFFF" w:val="clear"/>
            <w:tcMar>
              <w:bottom w:w="0" w:type="dxa"/>
            </w:tcMar>
            <w:vAlign w:val="center"/>
          </w:tcPr>
          <w:p>
            <w:pPr>
              <w:pStyle w:val="TableContents"/>
              <w:bidi w:val="0"/>
              <w:spacing w:before="0" w:after="283"/>
              <w:jc w:val="right"/>
              <w:rPr/>
            </w:pPr>
            <w:r>
              <w:rPr/>
              <w:t>100,000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both"/>
              <w:rPr/>
            </w:pPr>
            <w:r>
              <w:rPr/>
              <w:t>April 9,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185" w:type="dxa"/>
            <w:tcBorders/>
            <w:shd w:fill="CCEEFF" w:val="clear"/>
            <w:tcMar>
              <w:bottom w:w="0" w:type="dxa"/>
            </w:tcMar>
            <w:vAlign w:val="center"/>
          </w:tcPr>
          <w:p>
            <w:pPr>
              <w:pStyle w:val="TableContents"/>
              <w:bidi w:val="0"/>
              <w:spacing w:before="0" w:after="283"/>
              <w:jc w:val="right"/>
              <w:rPr/>
            </w:pPr>
            <w:r>
              <w:rPr/>
              <w:t>500,000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both"/>
              <w:rPr/>
            </w:pPr>
            <w:r>
              <w:rPr/>
              <w:t>May 7,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1185" w:type="dxa"/>
            <w:tcBorders/>
            <w:shd w:fill="FFFFFF" w:val="clear"/>
            <w:tcMar>
              <w:bottom w:w="0" w:type="dxa"/>
            </w:tcMar>
            <w:vAlign w:val="center"/>
          </w:tcPr>
          <w:p>
            <w:pPr>
              <w:pStyle w:val="TableContents"/>
              <w:bidi w:val="0"/>
              <w:spacing w:before="0" w:after="283"/>
              <w:jc w:val="right"/>
              <w:rPr/>
            </w:pPr>
            <w:r>
              <w:rPr/>
              <w:t>500,000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both"/>
              <w:rPr/>
            </w:pPr>
            <w:r>
              <w:rPr/>
              <w:t>June 5,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bottom w:val="single" w:sz="12" w:space="0" w:color="000000"/>
            </w:tcBorders>
            <w:shd w:fill="CCEEFF" w:val="clear"/>
            <w:vAlign w:val="center"/>
          </w:tcPr>
          <w:p>
            <w:pPr>
              <w:pStyle w:val="TableContents"/>
              <w:bidi w:val="0"/>
              <w:spacing w:before="0" w:after="283"/>
              <w:jc w:val="left"/>
              <w:rPr/>
            </w:pPr>
            <w:r>
              <w:rPr/>
              <w:t> </w:t>
            </w:r>
          </w:p>
        </w:tc>
        <w:tc>
          <w:tcPr>
            <w:tcW w:w="1185" w:type="dxa"/>
            <w:tcBorders>
              <w:bottom w:val="single" w:sz="12" w:space="0" w:color="000000"/>
            </w:tcBorders>
            <w:shd w:fill="CCEEFF" w:val="clear"/>
            <w:vAlign w:val="center"/>
          </w:tcPr>
          <w:p>
            <w:pPr>
              <w:pStyle w:val="TableContents"/>
              <w:bidi w:val="0"/>
              <w:spacing w:before="0" w:after="283"/>
              <w:jc w:val="right"/>
              <w:rPr/>
            </w:pPr>
            <w:r>
              <w:rPr/>
              <w:t>250,000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bottom w:val="double" w:sz="10" w:space="0" w:color="000000"/>
            </w:tcBorders>
            <w:shd w:fill="FFFFFF" w:val="clear"/>
            <w:vAlign w:val="center"/>
          </w:tcPr>
          <w:p>
            <w:pPr>
              <w:pStyle w:val="TableContents"/>
              <w:bidi w:val="0"/>
              <w:spacing w:before="0" w:after="283"/>
              <w:jc w:val="left"/>
              <w:rPr/>
            </w:pPr>
            <w:r>
              <w:rPr/>
              <w:t>$</w:t>
            </w:r>
          </w:p>
        </w:tc>
        <w:tc>
          <w:tcPr>
            <w:tcW w:w="1185" w:type="dxa"/>
            <w:tcBorders>
              <w:bottom w:val="double" w:sz="10" w:space="0" w:color="000000"/>
            </w:tcBorders>
            <w:shd w:fill="FFFFFF" w:val="clear"/>
            <w:vAlign w:val="center"/>
          </w:tcPr>
          <w:p>
            <w:pPr>
              <w:pStyle w:val="TableContents"/>
              <w:bidi w:val="0"/>
              <w:spacing w:before="0" w:after="283"/>
              <w:jc w:val="right"/>
              <w:rPr/>
            </w:pPr>
            <w:r>
              <w:rPr/>
              <w:t>2,850,000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Bridge loans from this investor (who, as discussed below, is also a PIPE investor) had an aggregate principal amount of $2,500,000. At closing of the BCA (as defined in the Business Combination disclosure below) on June 18, 2025, the investor received a cash payment of $293,500, comprised of $250,000 of minimum 10% interest and $43,500 of principal repayment, and a number of shares equivalent to $2,456,500 at a per share price of $4.</w:t>
            </w:r>
          </w:p>
        </w:tc>
      </w:tr>
    </w:tbl>
    <w:p>
      <w:pPr>
        <w:pStyle w:val="TextBody"/>
        <w:bidi w:val="0"/>
        <w:spacing w:before="0" w:after="0"/>
        <w:ind w:left="72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both"/>
              <w:rPr/>
            </w:pPr>
            <w:r>
              <w:rPr/>
              <w:t>Aggregate loan principal and minimum 10% interest totaling $110,000 was paid in cash at closing of the BCA on June 18, 2025.</w:t>
            </w:r>
          </w:p>
        </w:tc>
      </w:tr>
    </w:tbl>
    <w:p>
      <w:pPr>
        <w:pStyle w:val="TextBody"/>
        <w:bidi w:val="0"/>
        <w:spacing w:before="0" w:after="0"/>
        <w:ind w:left="72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1"/>
        <w:gridCol w:w="9836"/>
      </w:tblGrid>
      <w:tr>
        <w:trPr/>
        <w:tc>
          <w:tcPr>
            <w:tcW w:w="3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w:t>
            </w:r>
          </w:p>
        </w:tc>
        <w:tc>
          <w:tcPr>
            <w:tcW w:w="9836" w:type="dxa"/>
            <w:tcBorders/>
            <w:vAlign w:val="center"/>
          </w:tcPr>
          <w:p>
            <w:pPr>
              <w:pStyle w:val="TableContents"/>
              <w:bidi w:val="0"/>
              <w:spacing w:before="0" w:after="283"/>
              <w:jc w:val="both"/>
              <w:rPr/>
            </w:pPr>
            <w:r>
              <w:rPr/>
              <w:t>Aggregate loan principal and minimum 8% interest totaling $270,000 was paid in cash at closing of the BCA on June 18,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“Closing Date”), SUTA, a Delaware corporation, completed the transactions contemplated by that certain business combination agreement, dated as of March 18, 2024 (the “Business Combination Agreement”), by and among CID Holdco, Inc., a Delaware corporation (“Holdings”) and a wholly-owned subsidiary of ShoulderUp, ShoulderUp Merger Sub, Inc., a Delaware corporation (“ShoulderUp Merger Sub”) and wholly-owned subsidiary of ShoulderUp, SEE ID Merger Sub, Inc., a Nevada corporation (“SEE ID Merger Sub”) and wholly-owned subsidiary of ShoulderUp, and SEE ID, Inc., a Nevada corporation (“SEE 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transactions contemplated by the Business Combination Agreement (the “Closing”), (i) ShoulderUp Merger Sub, merged with and into ShoulderUp, with ShoulderUp continuing as the surviving company in the merger, and with the security holders of ShoulderUp receiving substantially equivalent securities of Holdings, and (ii) SEE ID Merger Sub, merged with and into SEE ID, with SEE ID continuing as the surviving company in the merger, and with the shareholders of SEE ID receiving shares of Holdings common stock, par value $0.0001 per share (the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Business Combination Agreement, (i) the holders of shares of SUTA’s common stock (“SUTA Common Stock”) issued and outstanding immediately prior to the effective time of the Business Combination (other than any redeemed shares) received one share of common stock of Holdings (“Holdings Common Stock”) in exchange for each share of SUTA Common Stock held by them, (ii) the holders of each whole warrant to purchase SUTA Class A Common Stock received one warrant to purchase Holdings Common Stock at an exercise price of $11.50 per share, and (iii) 13 million shares of Holdings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PIPE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2025, an investor subscribed to 250,000 common shares of Holdings in exchange for $1,000,000.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2025, an investor subscribed to 1,317,750 common shares of Holdings in exchange for $5,271,000. This investor previously extended to the Company bridge loans in the aggregate principal amount of $2,500,000, which was settled at closing of the BCA (as defined in the Business Combination disclosure above) on June 18, 2025, as discussed in the Bridge Loan Agreements disclosure above. The remaining PIPE commitment of $2,814,500 was paid to the Company at closing at which time 1,317,750 common shares of Holdings were issued to the investor.</w:t>
      </w:r>
    </w:p>
    <w:p>
      <w:pPr>
        <w:pStyle w:val="TextBody"/>
        <w:bidi w:val="0"/>
        <w:spacing w:before="0" w:after="0"/>
        <w:ind w:left="274" w:right="2981"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17, 2025, an investor subscribed to 1,755,786 common shares of Holdings in exchange for $7,023,143.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Company entered into a share subscription of line of credit agreement (the “ELOC”) with New Circle Principle Investments LLC (“New Circle”) under which the Company can access up to fifty million ($50,000,000) in aggregate proceeds. The Company shall pay a commitment fee to the New Circle in the form of shares of common stock of Holding’s with an aggregate market value equal to $350,000, the market value of which shall be determined based on the closing price of the such common stock on the date a Form S-1 is declared effective by the SEC. Such Form S-1 is to be filed 60 days after the close of the BCA agreement. No commitment fee payment nor draw down of the ELOC has occurred as of the date of issuance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F-52</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110454</Words>
  <Characters>604015</Characters>
  <CharactersWithSpaces>724420</CharactersWithSpaces>
  <Paragraphs>24949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