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5661 S Cameron St, Suite 100,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Las Vegas, Nevada 89118</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September 17, 2025</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Technology</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4"/>
          <w:szCs w:val="24"/>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Attention:</w:t>
        <w:tab/>
        <w:t>Jeff Kauten</w:t>
      </w:r>
    </w:p>
    <w:p>
      <w:pPr>
        <w:spacing w:after="0" w:line="221" w:lineRule="exact"/>
        <w:rPr>
          <w:sz w:val="24"/>
          <w:szCs w:val="24"/>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Re: CID HoldCo, Inc.</w:t>
      </w:r>
    </w:p>
    <w:p>
      <w:pPr>
        <w:spacing w:after="0" w:line="31"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Registration Statement on Form S-1</w:t>
      </w:r>
    </w:p>
    <w:p>
      <w:pPr>
        <w:spacing w:after="0" w:line="9"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File No. 333-290052</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4"/>
          <w:szCs w:val="24"/>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Pursuant to Rule 461 under the Securities Act of 1933, as amended, CID HoldCo,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requests acceleration of the effective date of the above referenced Registration Statement to 4:00 p.m., Eastern Time, on September 18, 2025, or as soon thereafter as practicable, or at such other time as the Company, or their outside counsel, DLA Piper LLP (US), requests by telephone that such Registration Statement be declared effective.</w:t>
      </w:r>
    </w:p>
    <w:p>
      <w:pPr>
        <w:spacing w:after="0" w:line="180" w:lineRule="exact"/>
        <w:rPr>
          <w:sz w:val="24"/>
          <w:szCs w:val="24"/>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Please contact Penny Minna of DLA Piper LLP (US) at (410) 580-4228 as soon as the Registration Statement has been declared effective, or if you have any other questions or concerns regarding this matter.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 Edmund Nabrotzky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Name: Edmund Nabrotzky</w:t>
      </w:r>
    </w:p>
    <w:p>
      <w:pPr>
        <w:spacing w:after="0" w:line="27" w:lineRule="exact"/>
        <w:rPr>
          <w:sz w:val="24"/>
          <w:szCs w:val="24"/>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Chief Executive Officer</w:t>
      </w:r>
    </w:p>
    <w:sectPr>
      <w:pgSz w:w="11900" w:h="16838" w:orient="portrait"/>
      <w:cols w:equalWidth="0" w:num="1">
        <w:col w:w="11240"/>
      </w:cols>
      <w:pgMar w:left="320" w:top="4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2025-12-15T00:16:21Z</dcterms:created>
  <dcterms:modified xsi:type="dcterms:W3CDTF">2025-12-15T00:16:21Z</dcterms:modified>
</cp:coreProperties>
</file>