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88115-424b3_cidhold.htm"/>
      <w:bookmarkStart w:id="1" w:name="ksea0288115424b3_cidhold"/>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333-295288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51,000,000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potential offer and sale of up to 51,000,000 shares of our common stock, par value $0.0001 per share (the “Common Stock”), by White Lion Capital, LLC (“White Lion” or the “Selling Securityholder”). The shares of Common Stock to which this prospectus relates include: (a) up to 15,000,000 shares of Common Stock (the “Purchase Shares”) that we may elect, in our sole discretion, to issue and sell to White Lion from time to time during the Commitment Period under the Common Stock Purchase Agreement dated April 17, 2026 between us and White Lion (the “Common Stock Purchase Agreement” or “ELOC Agreement”), (b) up to 1,000,000 shares of Common Stock (the “Commitment Shares”) issuable to White Lion as consideration for it entering into the Common Stock Purchase Agreement, (c) up to 15,000,000 shares of Common Stock (the “Warrant Shares”) issuable upon exercise of the Commitment Warrant issued to White Lion, and (d) up to 20,000,000 shares of Common Stock (the “Conversion Shares”) issuable upon conversion of the Convertible Notes issued pursuant to the Note Purchase Agreement dated April 17, 2026 between us and White Lion (the “Note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our Common Stock by the Selling Securityholder pursuant to this prospectus. We will pay the expenses, other than underwriting discounts and commissions and expenses incurred by the Selling Securityholder for brokerage, accounting, tax or legal services or any other expenses incurred by the Selling Securityholder in disposing of the securities, associated with the sale of securities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for resale pursuant to the Selling Securityholder’s registration rights under certain agreements between us and the Selling Securityholder. Our registration of the securities covered by this prospectus does not mean that either we or the Selling Securityholder will issue, offer or sell, as applicable, any of the securities. The Selling Securityholder may offer and sell the securities covered by this prospectus in a number of different ways and at varying prices. Please see “Plan of Distribution” for more information. In addition, certain of the securities being registered hereby are subject to vesting and/or transfer restrictions that may prevent the Selling Securityholder from offering or selling such securities upon the effectiveness of the registration statement of which this prospectus is a part. See “Description of Securities” for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prospectus supplement or amendment carefully before you invest in our securities. Our Common Stock and Public Warrants are traded on the Nasdaq Stock Market LLC under the symbols “DAIC” and “DAICW”, respectively. On April 29, 2026, the last reported sale price of our Common Stock on the Nasdaq Stock Market LLC was $0.19 per share, and the closing price of our Public Warrants was $0.02 per Public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for resale in this prospectus represent approximately 174% of our current total outstanding Common Stock. The shares of Common Stock represent a substantial percentage of our total outstanding Common Stock as of the date of this prospectus. The sale of all securities being offered in this prospectus could result in a significant decline in the public trading price of our Common Stock. The public securityholders may not experience a similar rate of return on the securities they purchase due to differences in the purchase prices and the current trading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“smaller reporting company,” each as defined under federal securities laws and are subject to reduced public company reporting requirements. Investing in our Common Stock involves a high degree of risk. See “Risk Factors” beginning on page 7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April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9470"/>
        <w:gridCol w:w="60"/>
        <w:gridCol w:w="395"/>
      </w:tblGrid>
      <w:tr>
        <w:trPr/>
        <w:tc>
          <w:tcPr>
            <w:tcW w:w="9470" w:type="dxa"/>
            <w:tcBorders/>
            <w:shd w:fill="CCEEFF" w:val="clear"/>
            <w:vAlign w:val="center"/>
          </w:tcPr>
          <w:p>
            <w:pPr>
              <w:pStyle w:val="TableContents"/>
              <w:bidi w:val="0"/>
              <w:spacing w:before="0" w:after="0"/>
              <w:ind w:left="0" w:right="0" w:hanging="0"/>
              <w:jc w:val="left"/>
              <w:rPr/>
            </w:pPr>
            <w:hyperlink w:anchor="toc_001">
              <w:r>
                <w:rPr>
                  <w:rStyle w:val="InternetLink"/>
                  <w:rFonts w:ascii="Times New Roman;Times;Serif" w:hAnsi="Times New Roman;Times;Serif"/>
                  <w:b w:val="false"/>
                  <w:i w:val="false"/>
                  <w:caps w:val="false"/>
                  <w:smallCaps w:val="false"/>
                  <w:strike w:val="false"/>
                  <w:dstrike w:val="false"/>
                  <w:sz w:val="20"/>
                  <w:u w:val="none"/>
                  <w:effect w:val="none"/>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ii</w:t>
            </w:r>
          </w:p>
        </w:tc>
      </w:tr>
      <w:tr>
        <w:trPr/>
        <w:tc>
          <w:tcPr>
            <w:tcW w:w="9470" w:type="dxa"/>
            <w:tcBorders/>
            <w:shd w:fill="FFFFFF" w:val="clear"/>
            <w:vAlign w:val="center"/>
          </w:tcPr>
          <w:p>
            <w:pPr>
              <w:pStyle w:val="TableContents"/>
              <w:bidi w:val="0"/>
              <w:spacing w:before="0" w:after="283"/>
              <w:jc w:val="left"/>
              <w:rPr/>
            </w:pPr>
            <w:hyperlink w:anchor="toc_002">
              <w:r>
                <w:rPr>
                  <w:rStyle w:val="InternetLink"/>
                  <w:rFonts w:ascii="Times New Roman;Times;Serif" w:hAnsi="Times New Roman;Times;Serif"/>
                  <w:sz w:val="20"/>
                </w:rPr>
                <w:t>CAUTIONARY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iii</w:t>
            </w:r>
          </w:p>
        </w:tc>
      </w:tr>
      <w:tr>
        <w:trPr/>
        <w:tc>
          <w:tcPr>
            <w:tcW w:w="9470" w:type="dxa"/>
            <w:tcBorders/>
            <w:shd w:fill="CCEEFF" w:val="clear"/>
            <w:vAlign w:val="center"/>
          </w:tcPr>
          <w:p>
            <w:pPr>
              <w:pStyle w:val="TableContents"/>
              <w:bidi w:val="0"/>
              <w:spacing w:before="0" w:after="283"/>
              <w:jc w:val="left"/>
              <w:rPr/>
            </w:pPr>
            <w:hyperlink w:anchor="toc_003">
              <w:r>
                <w:rPr>
                  <w:rStyle w:val="InternetLink"/>
                  <w:rFonts w:ascii="Times New Roman;Times;Serif" w:hAnsi="Times New Roman;Times;Serif"/>
                  <w:sz w:val="20"/>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1</w:t>
            </w:r>
          </w:p>
        </w:tc>
      </w:tr>
      <w:tr>
        <w:trPr/>
        <w:tc>
          <w:tcPr>
            <w:tcW w:w="9470" w:type="dxa"/>
            <w:tcBorders/>
            <w:shd w:fill="FFFFFF" w:val="clear"/>
            <w:vAlign w:val="center"/>
          </w:tcPr>
          <w:p>
            <w:pPr>
              <w:pStyle w:val="TableContents"/>
              <w:bidi w:val="0"/>
              <w:spacing w:before="0" w:after="283"/>
              <w:jc w:val="left"/>
              <w:rPr/>
            </w:pPr>
            <w:hyperlink w:anchor="toc_004">
              <w:r>
                <w:rPr>
                  <w:rStyle w:val="InternetLink"/>
                  <w:rFonts w:ascii="Times New Roman;Times;Serif" w:hAnsi="Times New Roman;Times;Serif"/>
                  <w:sz w:val="20"/>
                </w:rPr>
                <w:t>THE OFFERING</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6</w:t>
            </w:r>
          </w:p>
        </w:tc>
      </w:tr>
      <w:tr>
        <w:trPr/>
        <w:tc>
          <w:tcPr>
            <w:tcW w:w="9470" w:type="dxa"/>
            <w:tcBorders/>
            <w:shd w:fill="CCEEFF" w:val="clear"/>
            <w:vAlign w:val="center"/>
          </w:tcPr>
          <w:p>
            <w:pPr>
              <w:pStyle w:val="TableContents"/>
              <w:bidi w:val="0"/>
              <w:spacing w:before="0" w:after="283"/>
              <w:jc w:val="left"/>
              <w:rPr/>
            </w:pPr>
            <w:hyperlink w:anchor="toc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7</w:t>
            </w:r>
          </w:p>
        </w:tc>
      </w:tr>
      <w:tr>
        <w:trPr/>
        <w:tc>
          <w:tcPr>
            <w:tcW w:w="9470" w:type="dxa"/>
            <w:tcBorders/>
            <w:shd w:fill="FFFFFF" w:val="clear"/>
            <w:vAlign w:val="center"/>
          </w:tcPr>
          <w:p>
            <w:pPr>
              <w:pStyle w:val="TableContents"/>
              <w:bidi w:val="0"/>
              <w:spacing w:before="0" w:after="283"/>
              <w:jc w:val="left"/>
              <w:rPr/>
            </w:pPr>
            <w:hyperlink w:anchor="toc_006">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49</w:t>
            </w:r>
          </w:p>
        </w:tc>
      </w:tr>
      <w:tr>
        <w:trPr/>
        <w:tc>
          <w:tcPr>
            <w:tcW w:w="9470" w:type="dxa"/>
            <w:tcBorders/>
            <w:shd w:fill="CCEEFF" w:val="clear"/>
            <w:vAlign w:val="center"/>
          </w:tcPr>
          <w:p>
            <w:pPr>
              <w:pStyle w:val="TableContents"/>
              <w:bidi w:val="0"/>
              <w:spacing w:before="0" w:after="283"/>
              <w:jc w:val="left"/>
              <w:rPr/>
            </w:pPr>
            <w:hyperlink w:anchor="toc_007">
              <w:r>
                <w:rPr>
                  <w:rStyle w:val="InternetLink"/>
                  <w:rFonts w:ascii="Times New Roman;Times;Serif" w:hAnsi="Times New Roman;Times;Serif"/>
                  <w:sz w:val="20"/>
                </w:rPr>
                <w:t>DETERMINATION OF OFFERING PRICE</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50</w:t>
            </w:r>
          </w:p>
        </w:tc>
      </w:tr>
      <w:tr>
        <w:trPr/>
        <w:tc>
          <w:tcPr>
            <w:tcW w:w="9470" w:type="dxa"/>
            <w:tcBorders/>
            <w:shd w:fill="FFFFFF" w:val="clear"/>
            <w:vAlign w:val="center"/>
          </w:tcPr>
          <w:p>
            <w:pPr>
              <w:pStyle w:val="TableContents"/>
              <w:bidi w:val="0"/>
              <w:spacing w:before="0" w:after="283"/>
              <w:jc w:val="left"/>
              <w:rPr/>
            </w:pPr>
            <w:hyperlink w:anchor="toc_008">
              <w:r>
                <w:rPr>
                  <w:rStyle w:val="InternetLink"/>
                  <w:rFonts w:ascii="Times New Roman;Times;Serif" w:hAnsi="Times New Roman;Times;Serif"/>
                  <w:sz w:val="20"/>
                </w:rPr>
                <w:t>MARKET INFORMATION FOR SECURITIES AND DIVIDEND POLICY</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50</w:t>
            </w:r>
          </w:p>
        </w:tc>
      </w:tr>
      <w:tr>
        <w:trPr/>
        <w:tc>
          <w:tcPr>
            <w:tcW w:w="9470" w:type="dxa"/>
            <w:tcBorders/>
            <w:shd w:fill="CCEEFF" w:val="clear"/>
            <w:vAlign w:val="center"/>
          </w:tcPr>
          <w:p>
            <w:pPr>
              <w:pStyle w:val="TableContents"/>
              <w:bidi w:val="0"/>
              <w:spacing w:before="0" w:after="283"/>
              <w:jc w:val="left"/>
              <w:rPr/>
            </w:pPr>
            <w:hyperlink w:anchor="toc_009">
              <w:r>
                <w:rPr>
                  <w:rStyle w:val="InternetLink"/>
                  <w:rFonts w:ascii="Times New Roman;Times;Serif" w:hAnsi="Times New Roman;Times;Serif"/>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51</w:t>
            </w:r>
          </w:p>
        </w:tc>
      </w:tr>
      <w:tr>
        <w:trPr/>
        <w:tc>
          <w:tcPr>
            <w:tcW w:w="9470" w:type="dxa"/>
            <w:tcBorders/>
            <w:shd w:fill="FFFFFF" w:val="clear"/>
            <w:vAlign w:val="center"/>
          </w:tcPr>
          <w:p>
            <w:pPr>
              <w:pStyle w:val="TableContents"/>
              <w:bidi w:val="0"/>
              <w:spacing w:before="0" w:after="283"/>
              <w:jc w:val="left"/>
              <w:rPr/>
            </w:pPr>
            <w:hyperlink w:anchor="toc_010">
              <w:r>
                <w:rPr>
                  <w:rStyle w:val="InternetLink"/>
                  <w:rFonts w:ascii="Times New Roman;Times;Serif" w:hAnsi="Times New Roman;Times;Serif"/>
                  <w:sz w:val="20"/>
                </w:rPr>
                <w:t>OUR BUSINESS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62</w:t>
            </w:r>
          </w:p>
        </w:tc>
      </w:tr>
      <w:tr>
        <w:trPr/>
        <w:tc>
          <w:tcPr>
            <w:tcW w:w="9470" w:type="dxa"/>
            <w:tcBorders/>
            <w:shd w:fill="CCEEFF" w:val="clear"/>
            <w:vAlign w:val="center"/>
          </w:tcPr>
          <w:p>
            <w:pPr>
              <w:pStyle w:val="TableContents"/>
              <w:bidi w:val="0"/>
              <w:spacing w:before="0" w:after="283"/>
              <w:jc w:val="left"/>
              <w:rPr/>
            </w:pPr>
            <w:hyperlink w:anchor="toc_011">
              <w:r>
                <w:rPr>
                  <w:rStyle w:val="InternetLink"/>
                  <w:rFonts w:ascii="Times New Roman;Times;Serif" w:hAnsi="Times New Roman;Times;Serif"/>
                  <w:sz w:val="20"/>
                </w:rPr>
                <w:t>MANAGEMENT</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74</w:t>
            </w:r>
          </w:p>
        </w:tc>
      </w:tr>
      <w:tr>
        <w:trPr/>
        <w:tc>
          <w:tcPr>
            <w:tcW w:w="9470" w:type="dxa"/>
            <w:tcBorders/>
            <w:shd w:fill="FFFFFF" w:val="clear"/>
            <w:vAlign w:val="center"/>
          </w:tcPr>
          <w:p>
            <w:pPr>
              <w:pStyle w:val="TableContents"/>
              <w:bidi w:val="0"/>
              <w:spacing w:before="0" w:after="283"/>
              <w:jc w:val="left"/>
              <w:rPr/>
            </w:pPr>
            <w:hyperlink w:anchor="toc_012">
              <w:r>
                <w:rPr>
                  <w:rStyle w:val="InternetLink"/>
                  <w:rFonts w:ascii="Times New Roman;Times;Serif" w:hAnsi="Times New Roman;Times;Serif"/>
                  <w:sz w:val="20"/>
                </w:rPr>
                <w:t>EXECUTIVE COMPENSATION</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82</w:t>
            </w:r>
          </w:p>
        </w:tc>
      </w:tr>
      <w:tr>
        <w:trPr/>
        <w:tc>
          <w:tcPr>
            <w:tcW w:w="9470" w:type="dxa"/>
            <w:tcBorders/>
            <w:shd w:fill="CCEEFF" w:val="clear"/>
            <w:vAlign w:val="center"/>
          </w:tcPr>
          <w:p>
            <w:pPr>
              <w:pStyle w:val="TableContents"/>
              <w:bidi w:val="0"/>
              <w:spacing w:before="0" w:after="283"/>
              <w:jc w:val="left"/>
              <w:rPr/>
            </w:pPr>
            <w:hyperlink w:anchor="toc_013">
              <w:r>
                <w:rPr>
                  <w:rStyle w:val="InternetLink"/>
                  <w:rFonts w:ascii="Times New Roman;Times;Serif" w:hAnsi="Times New Roman;Times;Serif"/>
                  <w:sz w:val="20"/>
                </w:rPr>
                <w:t>CERTAIN RELATIONSHIPS AND RELATED PARTY TRANSACTIONS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87</w:t>
            </w:r>
          </w:p>
        </w:tc>
      </w:tr>
      <w:tr>
        <w:trPr/>
        <w:tc>
          <w:tcPr>
            <w:tcW w:w="9470" w:type="dxa"/>
            <w:tcBorders/>
            <w:shd w:fill="FFFFFF" w:val="clear"/>
            <w:vAlign w:val="center"/>
          </w:tcPr>
          <w:p>
            <w:pPr>
              <w:pStyle w:val="TableContents"/>
              <w:bidi w:val="0"/>
              <w:spacing w:before="0" w:after="283"/>
              <w:jc w:val="left"/>
              <w:rPr/>
            </w:pPr>
            <w:hyperlink w:anchor="toc_014">
              <w:r>
                <w:rPr>
                  <w:rStyle w:val="InternetLink"/>
                  <w:rFonts w:ascii="Times New Roman;Times;Serif" w:hAnsi="Times New Roman;Times;Serif"/>
                  <w:sz w:val="20"/>
                </w:rPr>
                <w:t>SECURITY OWNERSHIP OF CERTAIN BENEFICIAL OWNERS AND MANAGEMENT</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88</w:t>
            </w:r>
          </w:p>
        </w:tc>
      </w:tr>
      <w:tr>
        <w:trPr/>
        <w:tc>
          <w:tcPr>
            <w:tcW w:w="9470" w:type="dxa"/>
            <w:tcBorders/>
            <w:shd w:fill="CCEEFF" w:val="clear"/>
            <w:vAlign w:val="center"/>
          </w:tcPr>
          <w:p>
            <w:pPr>
              <w:pStyle w:val="TableContents"/>
              <w:bidi w:val="0"/>
              <w:spacing w:before="0" w:after="283"/>
              <w:jc w:val="left"/>
              <w:rPr/>
            </w:pPr>
            <w:hyperlink w:anchor="toc_015">
              <w:r>
                <w:rPr>
                  <w:rStyle w:val="InternetLink"/>
                  <w:rFonts w:ascii="Times New Roman;Times;Serif" w:hAnsi="Times New Roman;Times;Serif"/>
                  <w:sz w:val="20"/>
                </w:rPr>
                <w:t>SELLING SECURITYHOLDERS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89</w:t>
            </w:r>
          </w:p>
        </w:tc>
      </w:tr>
      <w:tr>
        <w:trPr/>
        <w:tc>
          <w:tcPr>
            <w:tcW w:w="9470" w:type="dxa"/>
            <w:tcBorders/>
            <w:shd w:fill="FFFFFF" w:val="clear"/>
            <w:vAlign w:val="center"/>
          </w:tcPr>
          <w:p>
            <w:pPr>
              <w:pStyle w:val="TableContents"/>
              <w:bidi w:val="0"/>
              <w:spacing w:before="0" w:after="283"/>
              <w:jc w:val="left"/>
              <w:rPr/>
            </w:pPr>
            <w:hyperlink w:anchor="toc_016">
              <w:r>
                <w:rPr>
                  <w:rStyle w:val="InternetLink"/>
                  <w:rFonts w:ascii="Times New Roman;Times;Serif" w:hAnsi="Times New Roman;Times;Serif"/>
                  <w:sz w:val="20"/>
                </w:rPr>
                <w:t>DESCRIPTION OF SECURITIES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90</w:t>
            </w:r>
          </w:p>
        </w:tc>
      </w:tr>
      <w:tr>
        <w:trPr/>
        <w:tc>
          <w:tcPr>
            <w:tcW w:w="9470" w:type="dxa"/>
            <w:tcBorders/>
            <w:shd w:fill="CCEEFF" w:val="clear"/>
            <w:vAlign w:val="center"/>
          </w:tcPr>
          <w:p>
            <w:pPr>
              <w:pStyle w:val="TableContents"/>
              <w:bidi w:val="0"/>
              <w:spacing w:before="0" w:after="283"/>
              <w:jc w:val="left"/>
              <w:rPr/>
            </w:pPr>
            <w:hyperlink w:anchor="toc_017">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99</w:t>
            </w:r>
          </w:p>
        </w:tc>
      </w:tr>
      <w:tr>
        <w:trPr/>
        <w:tc>
          <w:tcPr>
            <w:tcW w:w="9470" w:type="dxa"/>
            <w:tcBorders/>
            <w:shd w:fill="FFFFFF" w:val="clear"/>
            <w:vAlign w:val="center"/>
          </w:tcPr>
          <w:p>
            <w:pPr>
              <w:pStyle w:val="TableContents"/>
              <w:bidi w:val="0"/>
              <w:spacing w:before="0" w:after="283"/>
              <w:jc w:val="left"/>
              <w:rPr/>
            </w:pPr>
            <w:hyperlink w:anchor="toc_018">
              <w:r>
                <w:rPr>
                  <w:rStyle w:val="InternetLink"/>
                  <w:rFonts w:ascii="Times New Roman;Times;Serif" w:hAnsi="Times New Roman;Times;Serif"/>
                  <w:sz w:val="20"/>
                </w:rPr>
                <w:t>UNITED STATES FEDERAL INCOME TAX CONSIDERATIONS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101</w:t>
            </w:r>
          </w:p>
        </w:tc>
      </w:tr>
      <w:tr>
        <w:trPr/>
        <w:tc>
          <w:tcPr>
            <w:tcW w:w="9470" w:type="dxa"/>
            <w:tcBorders/>
            <w:shd w:fill="CCEEFF" w:val="clear"/>
            <w:vAlign w:val="center"/>
          </w:tcPr>
          <w:p>
            <w:pPr>
              <w:pStyle w:val="TableContents"/>
              <w:bidi w:val="0"/>
              <w:spacing w:before="0" w:after="283"/>
              <w:jc w:val="left"/>
              <w:rPr/>
            </w:pPr>
            <w:hyperlink w:anchor="toc_019">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106</w:t>
            </w:r>
          </w:p>
        </w:tc>
      </w:tr>
      <w:tr>
        <w:trPr/>
        <w:tc>
          <w:tcPr>
            <w:tcW w:w="9470" w:type="dxa"/>
            <w:tcBorders/>
            <w:shd w:fill="FFFFFF" w:val="clear"/>
            <w:vAlign w:val="center"/>
          </w:tcPr>
          <w:p>
            <w:pPr>
              <w:pStyle w:val="TableContents"/>
              <w:bidi w:val="0"/>
              <w:spacing w:before="0" w:after="283"/>
              <w:jc w:val="left"/>
              <w:rPr/>
            </w:pPr>
            <w:hyperlink w:anchor="toc_020">
              <w:r>
                <w:rPr>
                  <w:rStyle w:val="InternetLink"/>
                  <w:rFonts w:ascii="Times New Roman;Times;Serif" w:hAnsi="Times New Roman;Times;Serif"/>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106</w:t>
            </w:r>
          </w:p>
        </w:tc>
      </w:tr>
      <w:tr>
        <w:trPr/>
        <w:tc>
          <w:tcPr>
            <w:tcW w:w="9470" w:type="dxa"/>
            <w:tcBorders/>
            <w:shd w:fill="CCEEFF" w:val="clear"/>
            <w:vAlign w:val="center"/>
          </w:tcPr>
          <w:p>
            <w:pPr>
              <w:pStyle w:val="TableContents"/>
              <w:bidi w:val="0"/>
              <w:spacing w:before="0" w:after="283"/>
              <w:jc w:val="left"/>
              <w:rPr/>
            </w:pPr>
            <w:hyperlink w:anchor="toc_021">
              <w:r>
                <w:rPr>
                  <w:rStyle w:val="InternetLink"/>
                  <w:rFonts w:ascii="Times New Roman;Times;Serif" w:hAnsi="Times New Roman;Times;Serif"/>
                  <w:sz w:val="20"/>
                </w:rPr>
                <w:t>WHERE YOU CAN FIND ADDITIONAL INFORMATION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106</w:t>
            </w:r>
          </w:p>
        </w:tc>
      </w:tr>
      <w:tr>
        <w:trPr/>
        <w:tc>
          <w:tcPr>
            <w:tcW w:w="9470" w:type="dxa"/>
            <w:tcBorders/>
            <w:shd w:fill="FFFFFF" w:val="clear"/>
            <w:vAlign w:val="center"/>
          </w:tcPr>
          <w:p>
            <w:pPr>
              <w:pStyle w:val="TableContents"/>
              <w:bidi w:val="0"/>
              <w:spacing w:before="0" w:after="283"/>
              <w:jc w:val="left"/>
              <w:rPr/>
            </w:pPr>
            <w:hyperlink w:anchor="toc_022">
              <w:r>
                <w:rPr>
                  <w:rStyle w:val="InternetLink"/>
                  <w:rFonts w:ascii="Times New Roman;Times;Serif" w:hAnsi="Times New Roman;Times;Serif"/>
                  <w:sz w:val="20"/>
                </w:rPr>
                <w:t>CHANGES IN INDEPENDENT REGISTERED PUBLIC ACCOUNTING FIRM</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106</w:t>
            </w:r>
          </w:p>
        </w:tc>
      </w:tr>
      <w:tr>
        <w:trPr/>
        <w:tc>
          <w:tcPr>
            <w:tcW w:w="9470" w:type="dxa"/>
            <w:tcBorders/>
            <w:shd w:fill="CCEEFF" w:val="clear"/>
            <w:vAlign w:val="center"/>
          </w:tcPr>
          <w:p>
            <w:pPr>
              <w:pStyle w:val="TableContents"/>
              <w:bidi w:val="0"/>
              <w:spacing w:before="0" w:after="283"/>
              <w:jc w:val="left"/>
              <w:rPr/>
            </w:pPr>
            <w:hyperlink w:anchor="toc_023">
              <w:r>
                <w:rPr>
                  <w:rStyle w:val="InternetLink"/>
                  <w:rFonts w:ascii="Times New Roman;Times;Serif" w:hAnsi="Times New Roman;Times;Serif"/>
                  <w:sz w:val="20"/>
                </w:rPr>
                <w:t>INDEX TO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F-1</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We have not authorized any dealer, salesperson or other person to provide you with information about the Company, except for the information contained in this prospectus. The information contained in this prospectus is complete and accurate only as of the date on the front cover page of this prospectus, regardless of the time of delivery of this prospectus or the sale of any securities. This prospectus is not an offer to sell these securities and we are not soliciting an offer to buy these securities in any state where the offer or sale is not permitted. The information contained in this prospectus may change after the date of this prospectus. Do not assume after the date of this prospectus that the information contained in this prospectus is still correct.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the United States: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and the distribution of this prospectus outside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oc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S-1 that we filed with the Securities and Exchange Commission (the “SEC”) using a “shelf” registration process. Under this shelf registration process, from time to time, we and the Selling Securityholder may offer and sell the securities offered by them described in this prospectus in one or more offerings from time to time through any means described in the section entitled “Plan of Distribution.” Additional information about any offering may be provided in a prospectus supplement that describes, among other things, the specific amounts and prices of the Common Stock and Warrant Shares being offered and the terms of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 have authorized anyone to provide any information or to make any representations other than those contained in this prospectus, any accompanying prospectus supplement or any free writing prospectus we have prepared. We and the Selling Securityholder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toc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prospectus contains statements that are forward-looking and as such are not historical facts. These forward-looking statements are based on CID HoldCo, Inc.’s (the “Company”)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words such as “outlook,” “believes,” “expects,” “potential,” “continues,” “may,” “will,” “should,” “could,” “seeks,” “approximately,” “predicts,” “intends,” “plans,” “estimates,” “anticipates”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outcome of any legal proceedings that may be instituted against the combined company or others following the consummation of the Business Combination (as defined herein) and any definitive agreements with respect thereto;</w:t>
            </w:r>
          </w:p>
        </w:tc>
      </w:tr>
    </w:tbl>
    <w:p>
      <w:pPr>
        <w:pStyle w:val="TextBody"/>
        <w:bidi w:val="0"/>
        <w:spacing w:before="0" w:after="0"/>
        <w:ind w:left="120" w:right="0" w:hanging="360"/>
        <w:jc w:val="both"/>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105"/>
        <w:gridCol w:w="200"/>
        <w:gridCol w:w="43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meet stock exchange listing standards;</w:t>
            </w:r>
          </w:p>
        </w:tc>
      </w:tr>
    </w:tbl>
    <w:p>
      <w:pPr>
        <w:pStyle w:val="TextBody"/>
        <w:bidi w:val="0"/>
        <w:spacing w:before="0" w:after="0"/>
        <w:ind w:left="1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of the Company to grow and manage growth profitably, maintain relationships with customers and suppliers and retain its management and key employees;</w:t>
            </w:r>
          </w:p>
        </w:tc>
      </w:tr>
    </w:tbl>
    <w:p>
      <w:pPr>
        <w:pStyle w:val="TextBody"/>
        <w:bidi w:val="0"/>
        <w:spacing w:before="0" w:after="0"/>
        <w:ind w:left="1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cybersecurity incidents, security vulnerabilities, and real or perceived errors, failures, defects, or bugs in the Company’s platforms or products;</w:t>
            </w:r>
          </w:p>
        </w:tc>
      </w:tr>
    </w:tbl>
    <w:p>
      <w:pPr>
        <w:pStyle w:val="TextBody"/>
        <w:bidi w:val="0"/>
        <w:spacing w:before="0" w:after="0"/>
        <w:ind w:left="120" w:right="0" w:hanging="36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105"/>
        <w:gridCol w:w="200"/>
        <w:gridCol w:w="35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applicable laws or regulations;</w:t>
            </w:r>
          </w:p>
        </w:tc>
      </w:tr>
    </w:tbl>
    <w:p>
      <w:pPr>
        <w:pStyle w:val="TextBody"/>
        <w:bidi w:val="0"/>
        <w:spacing w:before="0" w:after="0"/>
        <w:ind w:left="1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that SEE ID or the Company may be adversely affected by other economic, business, or competitive factors;</w:t>
            </w:r>
          </w:p>
        </w:tc>
      </w:tr>
    </w:tbl>
    <w:p>
      <w:pPr>
        <w:pStyle w:val="TextBody"/>
        <w:bidi w:val="0"/>
        <w:spacing w:before="0" w:after="0"/>
        <w:ind w:left="120" w:right="0" w:hanging="36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05"/>
        <w:gridCol w:w="200"/>
        <w:gridCol w:w="45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estimates of expenses and profitability;</w:t>
            </w:r>
          </w:p>
        </w:tc>
      </w:tr>
    </w:tbl>
    <w:p>
      <w:pPr>
        <w:pStyle w:val="TextBody"/>
        <w:bidi w:val="0"/>
        <w:spacing w:before="0" w:after="0"/>
        <w:ind w:left="120" w:right="0" w:hanging="36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105"/>
        <w:gridCol w:w="200"/>
        <w:gridCol w:w="31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ability to raise financing in the future;</w:t>
            </w:r>
          </w:p>
        </w:tc>
      </w:tr>
    </w:tbl>
    <w:p>
      <w:pPr>
        <w:pStyle w:val="TextBody"/>
        <w:bidi w:val="0"/>
        <w:spacing w:before="0" w:after="0"/>
        <w:ind w:left="120" w:right="0" w:hanging="36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105"/>
        <w:gridCol w:w="200"/>
        <w:gridCol w:w="79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success in retaining or recruiting, or changes required in, our officers, key employees or directors;</w:t>
            </w:r>
          </w:p>
        </w:tc>
      </w:tr>
    </w:tbl>
    <w:p>
      <w:pPr>
        <w:pStyle w:val="TextBody"/>
        <w:bidi w:val="0"/>
        <w:spacing w:before="0" w:after="0"/>
        <w:ind w:left="120" w:right="0" w:hanging="36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105"/>
        <w:gridCol w:w="200"/>
        <w:gridCol w:w="53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public securities’ potential liquidity and trading;</w:t>
            </w:r>
          </w:p>
        </w:tc>
      </w:tr>
    </w:tbl>
    <w:p>
      <w:pPr>
        <w:pStyle w:val="TextBody"/>
        <w:bidi w:val="0"/>
        <w:spacing w:before="0" w:after="0"/>
        <w:ind w:left="1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requirements of being a public company, including compliance with the SEC’s requirements regarding internal controls over financial reporting, may strain the Company’s resources and divert management’s attention, and the increases in legal, accounting and compliance expenses that may be greater than anticipated;</w:t>
            </w:r>
          </w:p>
        </w:tc>
      </w:tr>
    </w:tbl>
    <w:p>
      <w:pPr>
        <w:pStyle w:val="TextBody"/>
        <w:bidi w:val="0"/>
        <w:spacing w:before="0" w:after="0"/>
        <w:ind w:left="120" w:right="0" w:hanging="360"/>
        <w:jc w:val="both"/>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105"/>
        <w:gridCol w:w="200"/>
        <w:gridCol w:w="77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litigation and the ability to adequately protect the Company’s intellectual property rights; and</w:t>
            </w:r>
          </w:p>
        </w:tc>
      </w:tr>
    </w:tbl>
    <w:p>
      <w:pPr>
        <w:pStyle w:val="TextBody"/>
        <w:bidi w:val="0"/>
        <w:spacing w:before="0" w:after="0"/>
        <w:ind w:left="1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factors relating to the business, operations and financial performance of the Company detailed under the section entitled “Risk Factors” herein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our assumptions prove incorrect, actual results could differ materially from the results implied by these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factors that could cause actual results to differ from those implied by the forward-looking statements in this prospectus are more fully described under the heading “Risk Factors” and elsewhere in this prospectus. The risks described under the heading “Risk Factors” are not exhaustive. Other sections of this prospectus describe additional factors that could adversely affect the business, financial condition or results of operations of the Company. New risk factors emerge from time to time and it is not possible to predict all such risk factors, nor can the Company assess the impact of all such risk factors on the business of the Company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of belief and similar statements reflect the beliefs and opinions of the Company on the relevant subject. These statements are based upon information available to the Company, as applicable, as of the date of this prospectus, and while the Company believes such information forms a reasonable basis for such statements, such information may be limited or incomplete, and statements should not be read to indicate that the Company has conducted an exhaustive inquiry into, or review of, all potentially available relevant information. These statements are inherently uncertain and you are cautioned not to unduly rely upon these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iii</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4" w:name="toc_003"/>
      <w:bookmarkEnd w:id="4"/>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information contained elsewhere in this prospectus. It does not contain all the information that you may consider important in making your investment decision. Therefore, you should read the entire prospectus carefully, including, in particular, the sections entitled “Risk Factors” and “Management’s Discussion and Analysis of Financial Condition and Results of Operations,” and our consolidated financial statements and related notes.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As used in this prospectus, unless the context otherwise requires or indicates, references to “Company,” “we,” “our,” and “us,” refer to CID HoldCo, Inc. and its subsidiaries.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offers a SAAS platform for customer subscription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Real-time asset tracking services allow customers to improve many workflows. For example, inspecting a vehicle as it is approaching to know when a high value asset is on board before it leaves a secure area. This allows operators to respond, halt the vehicle, and investigate. Customer security will know what is leaving and whether it is scheduled to leave. This capability can also be used at gates, docks or storage locations to automatically grant access and record movements for accountability.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Another common application is tracking inventory. We provide a unique capability to dynamically sweep item inventory with roving, inexpensive readers powered by batteries. Due to their low cost and wireless capability, these inexpensive readers can be deployed on pallets, fork trucks, shelves or even people to provide coverage of the location of interest. As a result of this capability, our technology is disruptive to legacy logistics systems which are either inadequate to gather this level of detail or much more expensive and inflexible to deploy.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systems automatically process inbound and outbound personnel or items, using RF tags or access cards,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Another example application is guided spotting and collision avoidance for vehicles. We not only provide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Using our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we provide the capability to enable machine learning and AI intervention in complex processes to enhance safety, assurance and efficiency.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a result of the unique process visibility provided by their innovations, we are often implemented as an edge system producing rich data streams for other supervisory systems of record. Powerful commercial partnerships are intended to be formed with large ERP, MES or WMS system players in the targeted vertical markets. In short, we bring a next generation capability to know when, where and why assets move in the enterprise, providing an opportunity to apply AI to complex edge processes.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Business Combination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the Closing Date, the Company consummated the transactions contemplated by the Business Combination Agreement. Pursuant to the Business Combination Agreement, on the Closing Date, (i) ShoulderUp Merger Sub merged with and into SUAC, with SUAC surviving the ShoulderUp Merger as a wholly-owned subsidiary of the Company and (ii) simultaneously with the ShoulderUp Merger, SEI Merger Sub merged with and into SEE ID, with SEE ID surviving the SEE ID Merger as a wholly-owned subsidiary of the Company.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Prior to and in connection with the Special Meeting, holders of 2,000 shares of SUAC’s Class A Common Stock sold in its initial public offering exercised their right to redeem those shares for cash at a price of approximately $11.00 per share, for an aggregate of approximately $22,019. The per share redemption price of approximately $11.00 for public shareholders electing redemption was paid out of the Trust Account, which after taking into account the redemptions, had a balance immediately prior to the Closing of approximately $5,577,304.</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White Lion Transaction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Common Stock Purchase Agreement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17, 2026, we entered into a Common Stock Purchase Agreement (the “Common Stock Purchase Agreement” or “ELOC Agreement”) with White Lion Capital, LLC, a Nevada limited liability company (“White Lion” or the “Investor”), pursuant to which White Lion has committed to purchase, from time to time at our sole discretion, up to $10,000,000 in aggregate gross purchase price of newly issued shares of our Common Stock over a commitment period ending December 31, 2028 (the “Commitment Period”). We are under no obligation to sell any securities to White Lion under the Common Stock Purchase Agreement.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Common Stock Purchase Agreement provides for two types of purchase notices by which we may direct White Lion to purchase shares (the “Purchase Notice Shares”): (i) Rapid Purchase Notices, at a purchase price equal to the average of the three (3) lowest traded prices of the Common Stock during the two-hour period following White Lion’s written acceptance, and (ii) VWAP Purchase Notices, at a purchase price equal to 97% of the lowest daily volume-weighted average price (“VWAP”) over a three-consecutive-business-day measurement period, subject to a volume limitation equal to 60% of the median daily trading volume of the Common Stock over the five business days immediately preceding the applicable notice, subject to White Lion’s right to waive this limit.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Under applicable Nasdaq rules, we may not issue to White Lion more than 19.99% of the shares of Common Stock outstanding as of the effective date of the Common Stock Purchase Agreement (the “Exchange Cap”) unless we obtain stockholder approval or the average price paid equals or exceeds the Minimum Price (as defined in Nasdaq Rule 5635). In addition, we may not issue shares that would cause White Lion to beneficially own more than 4.99% of the outstanding Common Stock (the “Beneficial Ownership Limitation”), which may be increased to 9.99% upon the mutual written agreement of the Company and White Lion.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consideration for White Lion entering into the Common Stock Purchase Agreement, we agreed to issue to White Lion (a) shares of Common Stock (the “Commitment Shares”) having a value of $120,000, calculated based on the closing price of the Common Stock on the trading day immediately preceding the earlier of (i) the date on which the registration statement is declared effective by the SEC and (ii) the date that is 180 calendar days following April 17, 2026 (the “Commitment Fee Price”), and (b) a common stock purchase warrant (the “Commitment Warrant”) to purchase up to $10,000,000 of Common Stock, each as described below. White Lion has agreed not to engage in any short sales of our Common Stock during the term of the Common Stock Purchase Agreement. We have also agreed to a prohibition on variable rate transactions without White Lion’s consent (the “Variable Rate Prohibition”) and have granted White Lion a right of first refusal on future financings (the “Right of First Refusal”), each during the term of the Common Stock Purchase Agreement.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Commitment Warrant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further consideration for White Lion entering into the Common Stock Purchase Agreement, we issued to White Lion the Commitment Warrant, which entitles White Lion to purchase shares of our Common Stock having an aggregate exercise value of up to $10,000,000. The exercise price per share under the Commitment Warrant is equal to 99% of the closing sales price of the Common Stock on the trading day prior to the exercise date. The Commitment Warrant has a five-year term, includes a cashless exercise feature, and is subject to a beneficial ownership limitation of 4.99% and applicable Nasdaq stockholder approval requirements. The Commitment Warrant also contains anti-dilution protections and customary adjustments.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Note Purchase Agreement and Convertible Notes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Concurrently with the Common Stock Purchase Agreement, we entered into a Note Purchase Agreement (the “Note Purchase Agreement”) with White Lion, pursuant to which we agreed to issue and sell to White Lion senior secured convertible promissory notes in an aggregate principal amount of $2,875,000 (the “Convertible Notes” or the “Notes”), structured as up to ten monthly tranches of $287,500 each, at an aggregate purchase price of $2,300,000, reflecting a 20% original issue discount (the “OID”). Each tranche is subject to mutual written authorization, and no tranche may be funded until both the registration statement covering the underlying shares has been declared effective and stockholder approval pursuant to Nasdaq Rule 5635 has been obtained (the “Stockholder Approval”).</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Company’s obligations under the Convertible Notes will be secured by (i) a security interest in all of the assets and personal property of the Company pursuant to a security agreement (the “Security Agreement”) and (ii) a security interest in all of the Company’s intellectual property pursuant to an intellectual property security agreement (the “IP Security Agreement”), each by and between the Company and White Lion. The Company has received authorization and consent from J.J. Astor &amp; Co. to grant to White Lion a second priority lien and security interest in all assets of the Company. White Lion has the right to require the Company to apply up to 10% of all proceeds received under the Common Stock Purchase Agreement, the Commitment Warrant, or any other securities of the Company, toward repayment of the Convertible Notes (the “Proceeds Repayment Right”). The Company has agreed to use the proceeds from the sale of the Notes to prepay the outstanding senior secured convertible note issued to J.J. Astor &amp; Co.</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Convertible Notes bear interest at 8% per annum, with interest for the first six months guaranteed and accruing immediately upon issuance. Each Convertible Note matures six months from the date of issuance of each tranche, and is convertible at the option of the holder into shares of our Common Stock (the “Conversion Shares”) at a variable conversion price equal to 80% of the lowest daily VWAP during the fifteen trading days ending on the latest complete trading day prior to the conversion date (the “Variable Conversion Price”). The Notes may not be prepaid without the prior written consent of the holder.</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Registration Rights Agreement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Concurrently with the foregoing agreements, we entered into the Registration Rights Agreement with White Lion, pursuant to which we agreed to file a registration statement (the “Registration Statement”) to register the resale of all shares of Common Stock issuable to White Lion under the Common Stock Purchase Agreement, the Commitment Warrant, and the Convertible Notes, including the Purchase Notice Shares, Commitment Shares, Warrant Shares, and Conversion Shares.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a more detailed description of the Common Stock Purchase Agreement, the Commitment Warrant, the Note Purchase Agreement, the Convertible Notes, the Security Agreement, the IP Security Agreement, and the Registration Rights Agreement, see the section entitled “White Lion Transaction” beginning on page 46 of this prospectus.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Recent Developments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Senior Secured Convertible Loan Agreement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December 5, 2025, we entered into a Loan Agreement (the “Loan Agreement”) with J.J. Astor &amp; Co., a Utah corporation (including its successors and assigns, the “Lender”), pursuant to which the Company may borrow up to $5,000,000 in four tranches comprised of an initial $2,000,000 tranche (the “Initial Loan”) borrowed on December 5, 2025 (the “Initial Funding Date”), and up to three additional tranches of $1,000,000 each (the “Additional Loans” and together with the Initial Loan, the “Loans”). The Initial Loan is evidenced by a Senior Secured Convertible Note issued to the Lender for an original principal amount of $2,600,000 (the “Initial Note”), of which $1,840,000 was funded by the Lender at the funding date after deducting the Lender’s origination fees and expenses from the amount of the Initial Loan. The Initial Loan matures on November 30, 2026, and is payable in twelve monthly installments, consisting of an initial installment that was due on December 31, 2025 of $108,334 and the remaining eleven monthly payments of $226,515.</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Each Additional Loan is subject to the Company’s satisfaction of certain specified conditions, including conditions related to the Company’s ELOC Agreement with New Circle. The Loan Agreement requires the Company to draw on its ELOC Agreement with New Circle to pay monthly installment payments under the Convertible Notes. New Circle has agreed to remit 80% of all ELOC proceeds to the Lender with the remaining 20% to be remitted to the Company within 3 business days following each draw on the ELOC. To the extent that the proceeds of the ELOC remitted to the Lender are not sufficient to cover the then applicable minimum monthly payment due in any month, the Company shall be required to pay the balance of such amount to the Lender on the last business day of such month.</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connection with the Loan Agreement, we issued to the Lender a warrant to purchase up to 230,770 shares of our Common Stock at an exercise price of $1.69 per share, subject to customary adjustments for stock dividends, splits, combinations, reclassifications, and similar events (the “Initial Lender Warrant”). Additional warrants will be issued in connection with any Additional Loans as a condition to funding (the “Additional Lender Warrants” and together with the Initial Lender Warrant, the “Lender Warrants”). The Lender Warrants may not be exercised to the extent the exercise would cause the Lender and its affiliates to beneficially own more than 4.99% of the outstanding Common Stock, subject to the Lender’s written notice and the Company’s agreement to increase such cap up to 9.99%. The conversion of any Lender Notes and the exercise of the Lender Warrants are subject to applicable Nasdaq rules.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also entered into a registration rights agreement requiring us to file a resale shelf registration statement covering up to 100% of the shares issuable upon conversion of the Initial Note and any Additional Notes. Any Lender Note is convertible, in whole or in part, only after an Event of Default and the effectiveness of such resale registration statement, at a conversion price equal to 80% of the average of the four lowest volume-weighted average prices of our Common Stock on its principal market over the 20 trading days immediately prior to the Lender’s notice of conversion, and any conversion is also subject to the 4.99% beneficial ownership cap.</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Company’s obligations under the Loan Agreement are guaranteed and secured on a first-priority basis by substantially all assets of the Company and each applicable subsidiary guarantor, subject to customary exclusions. Under the terms of the pledge and security agreement, the Company granted the Lender a continuing first-priority security interest in 100% of the equity interests of the Company’s subsidiaries to secure the obligations under the Loan Agreement and related loan documents.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an Emerging Growth Company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qualify as an “emerging growth company” as defined in Section 2(a)(19) of the Securities Act of 1933, as amended (the “Securities Act”), as modified by the Jumpstart Our Business Startups Act of 2012, or the “JOBS Act.” As such, we will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November 23, 2026, the fifth anniversary of the closing of SUAC’s IPO, (b) in which we have total annual gross revenue of at least $1.235 billion or (c) in which the Company is deemed to be a large accelerated filer, which means the market value of our Common Stock that are held by non-affiliates exceeds $700 million as of the last business day of our prior second fiscal quarter and we have been subject to the Exchange Act’s reporting requirements for at least 12 months and have filed at least one annual report and (ii) the date on which we have issued more than $1.0 billion in non-convertible debt during the prior three-year period.</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were formed as a Delaware corporation on February 27, 2024.</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principal executive office is located at 5661 S Cameron St, Suite 100, Las Vegas, Nevada 89118 and our telephone number is (303) 332-4122. Our website is https://daic.ai. The information found on, or that can be accessed from or that is hyperlinked to, our website is not part of this prospectus.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 Factors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An investment in our Common Stock involves substantial risk. The occurrence of one or more of the events or circumstances described in the section entitled “</w:t>
      </w:r>
      <w:r>
        <w:rPr>
          <w:rFonts w:ascii="Times New Roman;Times;Serif" w:hAnsi="Times New Roman;Times;Serif"/>
          <w:b w:val="false"/>
          <w:i/>
          <w:caps w:val="false"/>
          <w:smallCaps w:val="false"/>
          <w:sz w:val="20"/>
          <w:bdr w:val="single" w:sz="12" w:space="5" w:color="000000"/>
        </w:rPr>
        <w:t>Risk Factors,”</w:t>
      </w:r>
      <w:r>
        <w:rPr>
          <w:rFonts w:ascii="Times New Roman;Times;Serif" w:hAnsi="Times New Roman;Times;Serif"/>
          <w:b w:val="false"/>
          <w:i w:val="false"/>
          <w:caps w:val="false"/>
          <w:smallCaps w:val="false"/>
          <w:sz w:val="20"/>
          <w:bdr w:val="single" w:sz="12" w:space="5" w:color="000000"/>
        </w:rPr>
        <w:t xml:space="preserve">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identified material weaknesses in our internal control over financial reporting and may identify additional material weaknesses in the future or fail to maintain an effective system of internal control over financial reporting.</w:t>
            </w:r>
          </w:p>
        </w:tc>
      </w:tr>
    </w:tbl>
    <w:p>
      <w:pPr>
        <w:pStyle w:val="TextBody"/>
        <w:bidi w:val="0"/>
        <w:spacing w:before="0" w:after="0"/>
        <w:ind w:left="765" w:right="0" w:hanging="48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success and our ability to grow the Company’s business depends on retaining and expanding the Company’s customer base.</w:t>
            </w:r>
          </w:p>
        </w:tc>
      </w:tr>
    </w:tbl>
    <w:p>
      <w:pPr>
        <w:pStyle w:val="TextBody"/>
        <w:bidi w:val="0"/>
        <w:spacing w:before="0" w:after="0"/>
        <w:ind w:left="765" w:right="0" w:hanging="480"/>
        <w:jc w:val="both"/>
        <w:rPr>
          <w:caps w:val="false"/>
          <w:smallCaps w:val="false"/>
          <w:bdr w:val="single" w:sz="12" w:space="5" w:color="000000"/>
        </w:rPr>
      </w:pPr>
      <w:r>
        <w:rPr>
          <w:caps w:val="false"/>
          <w:smallCaps w:val="false"/>
          <w:bdr w:val="single" w:sz="12" w:space="5" w:color="000000"/>
        </w:rPr>
        <w:t> </w:t>
      </w:r>
    </w:p>
    <w:tbl>
      <w:tblPr>
        <w:tblW w:w="7000" w:type="dxa"/>
        <w:jc w:val="left"/>
        <w:tblInd w:w="0" w:type="dxa"/>
        <w:tblLayout w:type="fixed"/>
        <w:tblCellMar>
          <w:top w:w="0" w:type="dxa"/>
          <w:left w:w="0" w:type="dxa"/>
          <w:bottom w:w="0" w:type="dxa"/>
          <w:right w:w="0" w:type="dxa"/>
        </w:tblCellMar>
      </w:tblPr>
      <w:tblGrid>
        <w:gridCol w:w="105"/>
        <w:gridCol w:w="200"/>
        <w:gridCol w:w="66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unable to maintain and enhance the Company’s brand and reputation.</w:t>
            </w:r>
          </w:p>
        </w:tc>
      </w:tr>
    </w:tbl>
    <w:p>
      <w:pPr>
        <w:pStyle w:val="TextBody"/>
        <w:bidi w:val="0"/>
        <w:spacing w:before="0" w:after="0"/>
        <w:ind w:left="765" w:right="0" w:hanging="480"/>
        <w:jc w:val="both"/>
        <w:rPr>
          <w:caps w:val="false"/>
          <w:smallCaps w:val="false"/>
          <w:bdr w:val="single" w:sz="12" w:space="5" w:color="000000"/>
        </w:rPr>
      </w:pPr>
      <w:r>
        <w:rPr>
          <w:caps w:val="false"/>
          <w:smallCaps w:val="false"/>
          <w:bdr w:val="single" w:sz="12" w:space="5" w:color="000000"/>
        </w:rPr>
        <w:t> </w:t>
      </w:r>
    </w:p>
    <w:tbl>
      <w:tblPr>
        <w:tblW w:w="4120" w:type="dxa"/>
        <w:jc w:val="left"/>
        <w:tblInd w:w="0" w:type="dxa"/>
        <w:tblLayout w:type="fixed"/>
        <w:tblCellMar>
          <w:top w:w="0" w:type="dxa"/>
          <w:left w:w="0" w:type="dxa"/>
          <w:bottom w:w="0" w:type="dxa"/>
          <w:right w:w="0" w:type="dxa"/>
        </w:tblCellMar>
      </w:tblPr>
      <w:tblGrid>
        <w:gridCol w:w="105"/>
        <w:gridCol w:w="200"/>
        <w:gridCol w:w="38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a limited operating history.</w:t>
            </w:r>
          </w:p>
        </w:tc>
      </w:tr>
    </w:tbl>
    <w:p>
      <w:pPr>
        <w:pStyle w:val="TextBody"/>
        <w:bidi w:val="0"/>
        <w:spacing w:before="0" w:after="0"/>
        <w:ind w:left="765" w:right="0" w:hanging="48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Security incidents or real or perceived errors, failures or bugs in the Company’s systems or website could impair its business.</w:t>
            </w:r>
          </w:p>
        </w:tc>
      </w:tr>
    </w:tbl>
    <w:p>
      <w:pPr>
        <w:pStyle w:val="TextBody"/>
        <w:bidi w:val="0"/>
        <w:spacing w:before="0" w:after="0"/>
        <w:ind w:left="765" w:right="0" w:hanging="480"/>
        <w:jc w:val="both"/>
        <w:rPr>
          <w:caps w:val="false"/>
          <w:smallCaps w:val="false"/>
          <w:bdr w:val="single" w:sz="12" w:space="5" w:color="000000"/>
        </w:rPr>
      </w:pPr>
      <w:r>
        <w:rPr>
          <w:caps w:val="false"/>
          <w:smallCaps w:val="false"/>
          <w:bdr w:val="single" w:sz="12" w:space="5" w:color="000000"/>
        </w:rPr>
        <w:t> </w:t>
      </w:r>
    </w:p>
    <w:tbl>
      <w:tblPr>
        <w:tblW w:w="7480" w:type="dxa"/>
        <w:jc w:val="left"/>
        <w:tblInd w:w="0" w:type="dxa"/>
        <w:tblLayout w:type="fixed"/>
        <w:tblCellMar>
          <w:top w:w="0" w:type="dxa"/>
          <w:left w:w="0" w:type="dxa"/>
          <w:bottom w:w="0" w:type="dxa"/>
          <w:right w:w="0" w:type="dxa"/>
        </w:tblCellMar>
      </w:tblPr>
      <w:tblGrid>
        <w:gridCol w:w="105"/>
        <w:gridCol w:w="200"/>
        <w:gridCol w:w="71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management team has limited experience managing a public company.</w:t>
            </w:r>
          </w:p>
        </w:tc>
      </w:tr>
    </w:tbl>
    <w:p>
      <w:pPr>
        <w:pStyle w:val="TextBody"/>
        <w:bidi w:val="0"/>
        <w:spacing w:before="0" w:after="0"/>
        <w:ind w:left="765" w:right="0" w:hanging="48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internal controls over financial reporting may not be effective and the Company’s independent registered public accounting firm may not be able to certify as to their effectiveness</w:t>
            </w:r>
          </w:p>
        </w:tc>
      </w:tr>
    </w:tbl>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You should carefully review and consider the risk factors set forth under the section entitled “</w:t>
      </w:r>
      <w:r>
        <w:rPr>
          <w:rFonts w:ascii="Times New Roman;Times;Serif" w:hAnsi="Times New Roman;Times;Serif"/>
          <w:b w:val="false"/>
          <w:i/>
          <w:caps w:val="false"/>
          <w:smallCaps w:val="false"/>
          <w:sz w:val="20"/>
          <w:bdr w:val="single" w:sz="12" w:space="5" w:color="000000"/>
        </w:rPr>
        <w:t>Risk Factors”.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5" w:name="toc_004"/>
      <w:bookmarkEnd w:id="5"/>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522"/>
        <w:gridCol w:w="60"/>
        <w:gridCol w:w="8623"/>
      </w:tblGrid>
      <w:tr>
        <w:trPr/>
        <w:tc>
          <w:tcPr>
            <w:tcW w:w="1522" w:type="dxa"/>
            <w:tcBorders/>
            <w:vAlign w:val="center"/>
          </w:tcPr>
          <w:p>
            <w:pPr>
              <w:pStyle w:val="TableContents"/>
              <w:pBdr/>
              <w:bidi w:val="0"/>
              <w:spacing w:before="0" w:after="283"/>
              <w:ind w:left="0" w:right="0" w:hanging="180"/>
              <w:jc w:val="left"/>
              <w:rPr/>
            </w:pPr>
            <w:r>
              <w:rPr/>
              <w:t>Common Stock Outstanding before this offering:</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29,293,322 shares</w:t>
            </w:r>
          </w:p>
        </w:tc>
      </w:tr>
      <w:tr>
        <w:trPr/>
        <w:tc>
          <w:tcPr>
            <w:tcW w:w="15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ind w:left="0" w:right="0" w:hanging="180"/>
              <w:jc w:val="both"/>
              <w:rPr/>
            </w:pPr>
            <w:r>
              <w:rPr/>
              <w:t> </w:t>
            </w:r>
          </w:p>
        </w:tc>
      </w:tr>
      <w:tr>
        <w:trPr/>
        <w:tc>
          <w:tcPr>
            <w:tcW w:w="1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offered by the Selling Securityholders:</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51,000,000 shares of Common Stock, consisting of: (a) up to 15,000,000 Purchase Shares, (b) up to 1,000,000 Commitment Shares, (c) up to 15,000,000 Warrant Shares issued or issuable pursuant to the Commitment Warrant, and (d) up to 20,000,000 Conversion Shares in accordance with the Note Purchase Agreement.</w:t>
            </w:r>
          </w:p>
        </w:tc>
      </w:tr>
      <w:tr>
        <w:trPr/>
        <w:tc>
          <w:tcPr>
            <w:tcW w:w="15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ind w:left="0" w:right="0" w:hanging="180"/>
              <w:jc w:val="left"/>
              <w:rPr/>
            </w:pPr>
            <w:r>
              <w:rPr/>
              <w:t> </w:t>
            </w:r>
          </w:p>
        </w:tc>
      </w:tr>
      <w:tr>
        <w:trPr/>
        <w:tc>
          <w:tcPr>
            <w:tcW w:w="1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to be outstanding after this offering:</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80,293,322 shares (assuming the issuance of all registered shares of Common Stock issuable under the Common Stock Purchase Agreement, the Commitment Warrant, and the Note Purchase Agreement). The actual number of shares issued will vary depending on the sales prices of the Purchase Shares in this offering, but will not be greater than 5,855,735 shares (including the Commitment Shares) representing 19.99% of the shares of our Common Stock outstanding on the date of the Common Stock Purchase Agreement (the “Exchange Cap”), unless: (i) we first obtain stockholder approval to issue shares in excess of such amount under the Common Stock Purchase Agreement; or (ii) the average price of all shares of Common Stock issued to White Lion under the Common Stock Purchase Agreement equals or exceeds the Minimum Price, so that the Exchange Cap limitation would not apply to issuances and sales of Common Stock under the Common Stock Purchase Agreement under applicable Nasdaq rules.</w:t>
            </w:r>
          </w:p>
        </w:tc>
      </w:tr>
      <w:tr>
        <w:trPr/>
        <w:tc>
          <w:tcPr>
            <w:tcW w:w="15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left"/>
              <w:rPr/>
            </w:pPr>
            <w:r>
              <w:rPr/>
              <w:t> </w:t>
            </w:r>
          </w:p>
        </w:tc>
      </w:tr>
      <w:tr>
        <w:trPr/>
        <w:tc>
          <w:tcPr>
            <w:tcW w:w="1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not receive any of the proceeds from the sale of shares of our Common Stock by the Selling Securityholder pursuant to this prospectus. However, we may receive up to $10,000,000 in aggregate gross proceeds under the Common Stock Purchase Agreement from any shares of Common Stock that we may sell to White Lion from time to time under the Common Stock Purchase Agreement, and we may receive up to $10,000,000 in aggregate gross proceeds from the exercise of the Commitment Warrant for cash. The proceeds, if any, that we receive from sales of our Common Stock to White Lion under the Common Stock Purchase Agreement will depend on the frequency and prices at which we sell shares to White Lion. We expect to use the net proceeds from sales of shares under the Common Stock Purchase Agreement, if any, and from the exercise of the Commitment Warrant, if any, to repay outstanding amounts owed under the Loan Agreement, to terminate the ELOC Agreement with New Circle and for general corporate purposes, including working capital. We will bear the costs, expenses, and fees incurred in connection with the registration of the shares being offered pursuant to this prospectus. The Selling Securityholder will bear all commissions and discounts, if any, attributable to the sale of shares. See “Use of Proceeds.”</w:t>
            </w:r>
          </w:p>
        </w:tc>
      </w:tr>
      <w:tr>
        <w:trPr/>
        <w:tc>
          <w:tcPr>
            <w:tcW w:w="15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both"/>
              <w:rPr/>
            </w:pPr>
            <w:r>
              <w:rPr/>
              <w:t> </w:t>
            </w:r>
          </w:p>
        </w:tc>
      </w:tr>
      <w:tr>
        <w:trPr/>
        <w:tc>
          <w:tcPr>
            <w:tcW w:w="1522"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Plan of Distribution:</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Securityholder named in this prospectus, or their pledgees, assignees and successors-in-interest, may offer or sell the shares offered hereby from time to time through public or private transactions at prevailing market prices, at prices related to prevailing market prices or at privately negotiated prices. The Selling Securityholder may also resell the securities to or through underwriters, broker-dealers or agents, who may receive compensation in the form of discounts, concessions or commissions. See “Plan of Distribution.”</w:t>
            </w:r>
          </w:p>
        </w:tc>
      </w:tr>
      <w:tr>
        <w:trPr/>
        <w:tc>
          <w:tcPr>
            <w:tcW w:w="15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both"/>
              <w:rPr/>
            </w:pPr>
            <w:r>
              <w:rPr/>
              <w:t> </w:t>
            </w:r>
          </w:p>
        </w:tc>
      </w:tr>
      <w:tr>
        <w:trPr/>
        <w:tc>
          <w:tcPr>
            <w:tcW w:w="1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Restrictions to sell:</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of our securityholders are subject to certain restrictions on transfer until the termination of applicable lockup periods. See the section entitled “</w:t>
            </w:r>
            <w:r>
              <w:rPr>
                <w:rFonts w:ascii="Times New Roman;Times;Serif" w:hAnsi="Times New Roman;Times;Serif"/>
                <w:i/>
                <w:sz w:val="20"/>
              </w:rPr>
              <w:t>Plan of Distribution - Restrictions to Sell</w:t>
            </w:r>
            <w:r>
              <w:rPr>
                <w:rFonts w:ascii="Times New Roman;Times;Serif" w:hAnsi="Times New Roman;Times;Serif"/>
                <w:sz w:val="20"/>
              </w:rPr>
              <w:t>.”</w:t>
            </w:r>
          </w:p>
        </w:tc>
      </w:tr>
      <w:tr>
        <w:trPr/>
        <w:tc>
          <w:tcPr>
            <w:tcW w:w="15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both"/>
              <w:rPr/>
            </w:pPr>
            <w:r>
              <w:rPr/>
              <w:t> </w:t>
            </w:r>
          </w:p>
        </w:tc>
      </w:tr>
      <w:tr>
        <w:trPr/>
        <w:tc>
          <w:tcPr>
            <w:tcW w:w="1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investment in the securities offered hereby is speculative and involves a high degree of risk. You should carefully consider the information set forth under “</w:t>
            </w:r>
            <w:r>
              <w:rPr>
                <w:rFonts w:ascii="Times New Roman;Times;Serif" w:hAnsi="Times New Roman;Times;Serif"/>
                <w:i/>
                <w:sz w:val="20"/>
              </w:rPr>
              <w:t>Risk Factors</w:t>
            </w:r>
            <w:r>
              <w:rPr>
                <w:rFonts w:ascii="Times New Roman;Times;Serif" w:hAnsi="Times New Roman;Times;Serif"/>
                <w:sz w:val="20"/>
              </w:rPr>
              <w:t>.”</w:t>
            </w:r>
          </w:p>
        </w:tc>
      </w:tr>
      <w:tr>
        <w:trPr/>
        <w:tc>
          <w:tcPr>
            <w:tcW w:w="15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both"/>
              <w:rPr/>
            </w:pPr>
            <w:r>
              <w:rPr/>
              <w:t> </w:t>
            </w:r>
          </w:p>
        </w:tc>
      </w:tr>
      <w:tr>
        <w:trPr/>
        <w:tc>
          <w:tcPr>
            <w:tcW w:w="1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April 6, 2026, there were approximately 190 holders of record of our Common Stock and approximately 4 holders of record of the Warrants. The number of holders of record does not include a substantially greater number of “street name” holders or beneficial holders whose Common Stock and Warrants are held of record by banks, brokers and other financial institutions.</w:t>
            </w:r>
          </w:p>
        </w:tc>
      </w:tr>
      <w:tr>
        <w:trPr/>
        <w:tc>
          <w:tcPr>
            <w:tcW w:w="15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both"/>
              <w:rPr/>
            </w:pPr>
            <w:r>
              <w:rPr/>
              <w:t> </w:t>
            </w:r>
          </w:p>
        </w:tc>
      </w:tr>
      <w:tr>
        <w:trPr/>
        <w:tc>
          <w:tcPr>
            <w:tcW w:w="1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Policy:</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no current plans to pay cash dividends. The declaration, amount and payment of any future dividends on our Common Stock will be at the sole discretion of our board of directors (referred to herein as the “Board” or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shareholders or by our subsidiaries to us and such other factors as our board of directors may deem relevant.</w:t>
            </w:r>
          </w:p>
        </w:tc>
      </w:tr>
      <w:tr>
        <w:trPr/>
        <w:tc>
          <w:tcPr>
            <w:tcW w:w="15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both"/>
              <w:rPr/>
            </w:pPr>
            <w:r>
              <w:rPr/>
              <w:t> </w:t>
            </w:r>
          </w:p>
        </w:tc>
      </w:tr>
      <w:tr>
        <w:trPr/>
        <w:tc>
          <w:tcPr>
            <w:tcW w:w="1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ticker symbols:</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DAIC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DAICW</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toc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Investors should carefully consider the risks described below and all of the other information set forth in the registration statement of which this prospectus forms a part, including our financial statements and related notes and “Management’s Discussion and Analysis of Financial Condition and Results of Operations,” before deciding to invest in our Common Stock and Warrants. If any of the events or developments described below occur, our business, financial condition, or results of operations could be materially or adversely affected. As a result, the market price of our Common Stock and Warrants could decline, and investors could lose all or part of their investment. The risks and uncertainties described below are not the only risks and uncertainties that we face. Additional risks and uncertainties not presently known to us or that we currently deem immaterial may also impair our business operations. The risks discussed below also include forward-looking statements, and our actual results may differ substantially from those discussed in these forward-looking statements. See “Cautionary Notes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shares of our Common Stock to White Lion under the Common Stock Purchase Agreement will dilute the ownership interest of our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up to $10,000,000 of our Common Stock to White Lion under the Common Stock Purchase Agreement. The shares will be sold to White Lion at a discount to the then-prevailing market price. To the extent we sell shares to White Lion under the Common Stock Purchase Agreement, additional shares of our Common Stock will be issued, which will result in dilution to the holders of our Common Stock. In addition, the lower our stock price is at the time we elect to sell shares, the more shares we would need to issue for any given dollar amount of proceeds, resulting in greater dilution to our existing stockholders. Our existing stockholders may experience substantial dilution as a result of issuances of shares under the Common Stock Purchase Agreement, and such dilution could cause the trading price of our Common Stock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to White Lion under the ELOC Agreement, or the actual gross proceeds resulting from those sales. We may not have access to the full amount available under the ELOC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2026, we entered into the Common Stock Purchase Agreement with White Lion, pursuant to which White Lion committed to purchase up to $10,000,000 of our Common Stock, subject to certain limitations and conditions set forth in the Common Stock Purchase Agreement. The Common Stock that may be issued under the Common Stock Purchase Agreement may be sold by us to White Lion at our discretion, from time to time, over a period ending December 31, 2028, commencing on the date of the ELOC Agreement. We generally have the right to control the timing and amount of any sales of our Common Stock to White Lion under the ELOC Agreement. Sales of our Common Stock to White Lion under the ELOC Agreement will depend upon market conditions as well as other factors to be determined by us. We may ultimately decide to sell to White Lion all or a portion of the shares of our Common Stock that may be available pursuant to the ELOC Agreement, or decide to terminate the ELOC Agreement or not sell to White Lion any Common Stock that may be available for us to sell to White Lion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purchase price per share to be paid by the White Lion for the shares of Common Stock that we may elect to sell to White Lion under the ELOC Agreement will fluctuate based on the market prices of our Common Stock during the applicable pricing period for each purchase, it is not possible for us to predict, as of the date of this prospectus, the number of Common Stock that we will sell to White Lion under the ELOC Agreement, the purchase price per share that the White Lion will pay for shares purchased from us under the ELOC Agreement, or the aggregate gross proceeds that we will receive from those purchases by the White Lion under the ELOC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ELOC Agreement provides that we may sell up to an aggregate of $10,000,000 of shares of Common Stock to White Lion, only 15,000,000 shares of Common Stock that may be issued to White Lion under the ELOC Agreement are being registered for resale by White Lion under the registration statement that includes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sell to White Lion all of the 15,000,000 shares of Common Stock being registered for resale by White Lion in the registration statement that includes this prospectus, depending on the market prices of our Common Stock during the applicable pricing period for each purchase made pursuant to the ELOC Agreement, the actual gross proceeds from the sale of all such shares may be substantially less than the $10,000,000 total commitment originally available to us under the ELOC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White Lion will not be required to purchase any shares of Common Stock if such sale would result in White Lion’s beneficial ownership exceeding 4.99% of the then-outstanding voting power or shares of Common Stock; provided, that the Beneficial Ownership Limitation may be increased to 9.99% upon the mutual written agreement of the Company and White Lion, effective not less than sixty-one (61) days after such mutual written agreement. Any issuance and sale by us under the ELOC Agreement of a substantial amount of shares of our Common Stock in addition to the 15,000,000 shares of Common Stock being registered for resale by White Lion under this prospectus could cause additional substantial dilution to our stockholders. The number of shares of Common Stock ultimately offered for resale by White Lion is dependent upon the number of shares of Common Stock we ultimately sell to White Lion under the ELOC Agreement. Our inability to access a portion or the full amount available under the ELOC Agreement, in the absence of any other financing sources,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certain securities under the Common Stock Purchase Agreement, the Commitment Warrant, and the Note Purchase Agreement is contingent upon us obtaining Stockholder Approval. If we do not obtain the Stockholder Approval, these securities may never become issuable and/or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becomes necessary for us to issue and sell to White Lion Common Stock in excess of the Exchange Cap under the Common Stock Purchase Agreement in order to receive aggregate gross proceeds equal to $10,000,000 under the Common Stock Purchase Agreement, then for so long as the Exchange Cap continues to apply to issuances and sales of Common Stock under the Common Stock Purchase Agreement, we must first obtain Stockholder Approval. In addition, no Tranche of the Convertible Notes may be funded until Stockholder Approval has been obtained. If we are unable to obtain the required Stockholder Approval, these securities will not be issuable and/or exercisable, and will have little to no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to use commercially reasonable efforts to duly call, give notice of, convene, and hold a stockholder meeting (the “Stockholder Meeting”) as soon as reasonably practicable, but in no event later than May 15, 2026, for the purposes of obtaining Stockholder Approval. If the Company fails to hold a Stockholder Meeting by May 15, 2026, it shall pay liquidated damages to White Lion, as more fully described in the Common Stock Purchase Agreement. In the event Stockholder Approval is not obtained at the first Stockholder Meeting, the Company is obligated to cause an additional Stockholder Meeting to be held every one hundred eighty (180) days during the period beginning on such date and continuing seven hundred twenty (720) days thereafter, until Stockholder Approval is obtained.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at different times will likely pay different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ELOC Agreement, we will have discretion, subject to market demand, to vary the timing, prices, and numbers of shares sold to the White Lion. If and when we do elect to sell shares of Common Stock to the White Lion under the ELOC Agreement, after the White Lion has acquired such shares, the White Lion may resell all or a portion of such shares at any time or from time to time in its discretion and at different prices. As a result, investors who purchase shares from the White Lion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White Lion as a result of future sales made by us to the White Lion at prices lower than the prices such investors paid for their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and issuance of our Common Stock to the Selling Securityholder will cause dilution to our existing stockholders, and the sale of the shares acquired by the Selling Securityholder, or the perception that such sales may occur, could cause the price of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could occur at any time, subject to the restrictions and limitations described below. If our shareholders sell, or the market perceives that our shareholders intend to sell, substantial amounts of shares of our Common Stock in the public market following this offering, the market price of shares of our Common Stock could decline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 can resell, under this prospectus, up to 51,000,000 shares. If all of the 51,000,000 shares offered by the Selling Securityholder under this prospectus were issued and outstanding as of the date hereof, such shares would represent approximately 174% of the total number of shares of Common Stock outstanding as of the date hereof. After the Selling Securityholder has acquired the shares, the Selling Securityholder may resell all, some, or none of those shares at any time or from time to time in its discretion. Therefore, sales to the Selling Securityholder by us could result in substantial dilution to the interests of other holders of our Common Stock. Additionally, sales of a substantial number of shares of our Common Stock in the public market by the Selling Securityholder and/or by our other existing stockholders, or the perception that those sales might occur, could depress the market price of our Common Stock and could impair our ability to raise capital through the sale of additional equity securities in the future at a time and at a price that we might otherwise wish to effect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we receive from the sale of shares to the Selling Stockholder and may not use them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proceeds we receive from the Selling Securityholder pursuant to sales of Common Stock under the Common Stock Purchase Agreement, if any, including for any of the purposes described in the section entitled “Use of Proceeds,” and you will not have the opportunity as part of your investment decision to assess whether our management is using the proceeds appropriately. Because of the number and variability of factors that will determine our use of our proceeds from the Selling Securityholder, their ultimate use may vary substantially from their currently intended use. The failure by our management to apply these funds effectively could result in financial losses that could have a material adverse effect on our business and cause the price of our Common Stock to decline. Pending their use, we may invest the proceeds from the Selling Securityholder in short-term, investment-grade, interest-bearing securities. These investments may not yield a favorable return to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Convertible Notes will be secured by substantially all of our assets, and a default could result in White Lion foreclosing on our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under the Convertible Notes will be secured by a security interest in all of our assets and personal property, including our intellectual property. If we default under the Convertible Notes, White Lion could foreclose on our assets, which could force us to curtail or cease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White Lion has the right to require us to apply a portion of our financing proceeds toward repayment of the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Note Purchase Agreement, White Lion has the right to require us to apply up to 10% of all cash proceeds received from the issuance of securities pursuant to the Common Stock Purchase Agreement, the exercise of the Commitment Warrant, or the issuance of any other securities of the Company, toward repayment of the Convertible Notes. This could reduce the amount of proceeds available to us for working capital and other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exercise price of the Commitment Warrant is subject to full ratchet anti-dilution adjustment, which could result in additional dilution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Commitment Warrant issued to White Lion includes a full ratchet anti-dilution provision, pursuant to which the exercise price of the Commitment Warrant will be reduced to the effective price per share of any new issuance of Common Stock or Common Stock equivalents below the then-current exercise price (subject to exceptions for exempt issuances). Because the exercise price is initially set at 99% of the closing sales price of the Common Stock on the trading day prior to the exercise date and is subject to downward adjustment, any future dilutive issuance by the Company could result in a reduction of the exercise price and a corresponding increase in the number of shares issuable upon exercise, resulting in additional dilution to our existing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and may identify additional material weaknesses in the future or fail to maintain an effective system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controls over financial reporting designed to provide reasonable assurance regarding the reliability of financial reporting and the preparation of financial statements for external purposes in accordance with U.S. GAAP. Our management is likewise required, on a quarterly basis, to evaluate the effectiveness of our internal controls and to disclose any changes and material weaknesses identified through such evaluation of those internal controls.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For the year ended December 31, 2025, we identified the material weaknesses in our internal control over financial reporting related to the following for the years ended December 31, 2025 and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Accounting Personnel and Financial Reporting Controls. </w:t>
      </w:r>
      <w:r>
        <w:rPr>
          <w:rFonts w:ascii="Times New Roman;Times;Serif" w:hAnsi="Times New Roman;Times;Serif"/>
          <w:b w:val="false"/>
          <w:i w:val="false"/>
          <w:caps w:val="false"/>
          <w:smallCaps w:val="false"/>
          <w:sz w:val="20"/>
        </w:rPr>
        <w:t>Management determined that the Company does not currently maintain sufficient accounting personnel and has not fully designed and implemented the processes and internal controls necessary to support accurate and timely financial reporting. These deficiencies (i) limit the Company’s ability to effectively review and approve certain material journal entries and properly adopt new accounting pronouncements, increasing the risk that a material misstatement of interim or annual financial statements may not be prevented or detected on a timely basis, and (ii) have resulted in an insufficient segregation of duties between the preparation, review, and approval of certain material reconciliations and other financial reporting controls.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material weaknesses noted above, for the year ended December 31, 2024, the Company reclassified its expense presentation by reallocating certain amounts previously reported as cost of goods sold to general and administrative, research and development, and sales and marketing expenses to better reflect the nature of the underlying costs. These reclassifications had no effect on total revenue, loss from operations, net loss, or shareholders’ equity (deficit) for any period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management identified that the Company did not initially accrue all Board of Director compensation earned during the year ended December 31, 2025. During the year-end audit process, management recorded the appropriate accrual and related Board of Director compensation expense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management identified presentation revisions in the statements of cash flows for the six months ended June 30, 2025 and the nine months ended September 30, 2025. Certain items were reclassified between operating and financing activities, including amounts related to short-term debt and proceeds from bridge financing arrangements, and certain components associated with the reverse recapitalization transaction were adjusted for proper presentation. These revisions affected the classification of cash flows between operating and financing activities, but had no impact on the total change in cash, net loss, or previously reported balance sheet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the quantitative and qualitative factors associated with these matters and concluded that the corrections were not material to any previously issued annual or interim financial statements. Accordingly, the Company has reflected these changes in the affected prior-period financial statements in this prospectus to reflect these reclassifications as immaterial reclassifications to previously issued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Fair Value Calculation Controls</w:t>
      </w:r>
      <w:r>
        <w:rPr>
          <w:rFonts w:ascii="Times New Roman;Times;Serif" w:hAnsi="Times New Roman;Times;Serif"/>
          <w:b w:val="false"/>
          <w:i w:val="false"/>
          <w:caps w:val="false"/>
          <w:smallCaps w:val="false"/>
          <w:sz w:val="20"/>
        </w:rPr>
        <w:t>. In addition, management identified a material weakness in the design of internal controls related to the review of the fair value calculation of SAFE notes performed by a third-party valuation specialist for the year ended December 31, 2024. The controls lacked the precision needed to detect inappropriate inputs that could materially impact valuation.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identified material weaknesses, our management concluded that our internal controls over financial reporting were not effective as of December 31, 2025 and 2024. The Company is actively working to develop and implement remediation plans related to the material weaknesses identified. Remediation efforts include enhancing the design and implementation of controls over the accounting for financial instruments and hiring additional qualified accounting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respond to the material weaknesses, we devoted significant effort and resources to the remediation and improvement of our internal controls over financial reporting, including enhancing the design and implementation of controls over the accounting for financial instruments and hiring additional qualified accounting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maintain such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ordinary shares is listed,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give no assurance that the measures we have taken will remediate the material weaknesses identified or that any additional material weaknesses will not arise in the future due to a failure to implement and maintain adequate internal controls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independent registered public accounting firm’s report contains an explanatory paragraph that expresses substantial doubt about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of $865,624 and working capital deficit of $1,730,095. Further, we have incurred and expect to continue to incur significant costs in pursuit of our revenue growth but we cannot assure you that our plans will be successful. These factors, among others, raise substantial doubt about our ability to continue as a going concern. See “Management’s Discussion and Analysis of Financial Condition and Results of Operations-Liquidity and Capital Resources-Funding Requirements and Going Concern.” The financial statements contained elsewhere in this prospectus do not include any adjustments that might result from our inability to consummate this offering or our inability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rapid growth makes it difficult to evaluate our future financial position and increases the risk that we will not continue to grow at or near historical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largely a pre-revenue company, with revenue of $5,804,369 and $172,661 for the fiscal years ended December 31, 2025 and 2024, respectively. As a result, our ability to forecast our future results of operations is subject to a number of uncertainties, including our ability to effectively plan for and model future growth. Many factors may contribute to declines in our revenue growth rate, including increased competition, slowing demand for our solution from existing and new customers, a failure by us to continue capitalizing on growth opportunities, termination of contracts by our existing customers, and the maturation of our business, among others. Our recent and historical growth should not be considered indicative of our future performance. Even if our revenue continues to increase over the long term, we expect that our revenue growth rate will decline in the future as a result of a variety of factors, including the maturation of our business. We have encountered in the past, and will encounter in the future, risks and uncertainties frequently experienced by growing companies in rapidly changing industries.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financial condition, and results of operations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associated with the growth of our business in new use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most of our revenue has been derived from sales relating to research and development activities, including proof of concept demonstrations. In 2025, we invested in driving market demand through expansion of sales and marketing activities. We plan to expand the use cases of our solution, including those where we may have limited operating experience, and may be subject to increased business, technology, and economic risks that could affect our financial results. Entering new use cases and expanding in the use cases in which we are already operating will continue to require significant resources, and there is no guarantee that such efforts will be successful or beneficial to us. Historically, sales to a new customer have often led to additional sales to the same customer or similarly situated customers. To the extent we expand into and within new use cases that are regulated, we will likely face additional regulatory scrutiny, risks, and burdens from the governments and agencies which regulate those markets and industries. It is uncertain whether we will be able to achieve penetration and organic growth with respect to any new use cases that we pursue. Any failure to do so may harm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manage our growth, our business and results of operations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expect to continue to experience rapid growth, which has placed, and may continue to place, significant demands on our management, operational, and financial resources. For example, our headcount has grown from our 2 founding employees as of the last business day of the fiscal year ended December 31, 2020 to 68 employees as of the last business day of the fiscal year ended December 31, 2025. In addition, we have begun to cultivate channel partners to expand our operations globally and sell our products to customers in Asia and Europe in the short term, and we plan to continue to expand our operations internationally in the future. We have also experienced significant growth in the number of customers, connected assets, transactions, and data supported by our solution and our associated infrastructure, which has placed additional demands on our resources and operations. Our organizational structure is becoming more complex, and we need to scale and adapt our operational, financial, and management controls, as well as our reporting systems and procedures, to manage this complexity. We will require significant expenditures and the allocation of management resources to grow and change in these areas. If we fail to successfully manage our anticipated growth, the quality of our solutions may suffer, which could negatively affect our brand and reputation, harm our ability to retain and attract customers, and adversely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new customers, our future revenue and results of operations will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in part, on our ability to attract new customers. Our ability to attract new customers will depend on the perceived benefits and pricing of our solution and the effectiveness of our sales and marketing efforts. Other factors, many of which are out of our control, may now or in the future impact our ability to attract new customers, including:</w:t>
      </w:r>
    </w:p>
    <w:p>
      <w:pPr>
        <w:pStyle w:val="TextBody"/>
        <w:bidi w:val="0"/>
        <w:spacing w:before="0" w:after="0"/>
        <w:ind w:left="0" w:right="0" w:firstLine="36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05"/>
        <w:gridCol w:w="200"/>
        <w:gridCol w:w="63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customers’ commitments to or preferences for their existing vendors</w:t>
            </w:r>
          </w:p>
        </w:tc>
      </w:tr>
    </w:tbl>
    <w:p>
      <w:pPr>
        <w:pStyle w:val="TextBody"/>
        <w:bidi w:val="0"/>
        <w:spacing w:before="0" w:after="0"/>
        <w:ind w:left="760" w:right="0" w:hanging="48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105"/>
        <w:gridCol w:w="200"/>
        <w:gridCol w:w="29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actual or perceived switching costs</w:t>
            </w:r>
          </w:p>
        </w:tc>
      </w:tr>
    </w:tbl>
    <w:p>
      <w:pPr>
        <w:pStyle w:val="TextBody"/>
        <w:bidi w:val="0"/>
        <w:spacing w:before="0" w:after="0"/>
        <w:ind w:left="760" w:right="0" w:hanging="48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105"/>
        <w:gridCol w:w="200"/>
        <w:gridCol w:w="84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customers’ inexperience with or reluctance to adopt our solutions in their physical operations;</w:t>
            </w:r>
          </w:p>
        </w:tc>
      </w:tr>
    </w:tbl>
    <w:p>
      <w:pPr>
        <w:pStyle w:val="TextBody"/>
        <w:bidi w:val="0"/>
        <w:spacing w:before="0" w:after="0"/>
        <w:ind w:left="760" w:right="0" w:hanging="48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105"/>
        <w:gridCol w:w="200"/>
        <w:gridCol w:w="66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help potential customers successfully deploy and use our solutions;</w:t>
            </w:r>
          </w:p>
        </w:tc>
      </w:tr>
    </w:tbl>
    <w:p>
      <w:pPr>
        <w:pStyle w:val="TextBody"/>
        <w:bidi w:val="0"/>
        <w:spacing w:before="0" w:after="0"/>
        <w:ind w:left="760" w:right="0" w:hanging="48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105"/>
        <w:gridCol w:w="200"/>
        <w:gridCol w:w="77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develop or expand relationships with existing partners or to attract new partners;</w:t>
            </w:r>
          </w:p>
        </w:tc>
      </w:tr>
    </w:tbl>
    <w:p>
      <w:pPr>
        <w:pStyle w:val="TextBody"/>
        <w:bidi w:val="0"/>
        <w:spacing w:before="0" w:after="0"/>
        <w:ind w:left="760" w:right="0" w:hanging="480"/>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05"/>
        <w:gridCol w:w="200"/>
        <w:gridCol w:w="32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expand into new markets;</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expand, retain, and motivate our engineering and research and development, sales and marketing, and other personnel;</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adoption of new, or the amendment of existing, laws, rules, or regulations that negatively impact the utility of, or that require difficult-to-implement changes to, our solutions; and</w:t>
            </w:r>
          </w:p>
        </w:tc>
      </w:tr>
    </w:tbl>
    <w:p>
      <w:pPr>
        <w:pStyle w:val="TextBody"/>
        <w:bidi w:val="0"/>
        <w:spacing w:before="0" w:after="0"/>
        <w:ind w:left="760" w:right="0" w:hanging="48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05"/>
        <w:gridCol w:w="200"/>
        <w:gridCol w:w="29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macroeconomic conditions.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efforts to attract new customers are not successful, our business, financial condition, and results of operations will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retain and expand our relationships with existing customers, our financial position and results of operations will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us to maintain or improve our results of operations, it is important that our customers renew their subscriptions to access our Dot Cloud SaaS platform when existing contract terms expire and that we expand our commercial relationships with our existing customers. Our contracts are typically for a subscription term of 3 to 5 years. However, our customers have no obligation to renew their subscriptions after the initial terms expire, and our customers might not renew their subscriptions for a similar contract period, with the same or greater economic terms, or at all. In the past, some of our customers have elected not to renew their subscriptions with us and it is difficult to accurately predict long-term customer retention, in part due to our limited experience with renewal cycles to date. Customers may choose not to renew their subscriptions for many reasons, including the belief that our solution is not required for their business needs or is otherwise not cost-effective, a desire to reduce discretionary spending, our discontinuation of a desired application or a belief that our competitors’ offerings provide better value. Additionally, our customers might not renew for reasons entirely out of our control, such as mergers and acquisitions affecting our customer base, the dissolution of their business or utilizing our solution or an economic downturn affecting their industry. A decrease in our renewal rate would have an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 of our growth strategy is to sell subscriptions to our Dot Cloud SaaS platform and expand use cases with our existing customers. Our ability to sell subscriptions to our Dot Cloud SaaS platform will depend in significant part on our ability to anticipate industry evolution, practices and standards. Additionally, we will need to continue to enhance existing solutions and introduce new solutions and features on a timely basis to keep pace with technological developments both within our industry and in related industries, and to remain compliant with any federal, state, local, or foreign regulations that apply to us or our customers. However, we may prove unsuccessful either in developing new solutions or in expanding the set of third-party applications and devices with which our solutions integrate, particularly as we expand our solutions into use cases that have not been our historical focus and as we continue to refine our efforts to hire, develop, and retain engineering talent. In addition, the success of any enhancement or new solution depends on several factors, including the timely completion, introduction and market acceptance of the enhancement or solution. Any new solutions we develop or acquire might not be introduced in a timely or cost-effective manner and might not achieve the broad market acceptance necessary to generate significant revenue, particularly with respect to use cases that have not been our historical focus. If any of our competitors implements new technologies before we are able to implement them or better anticipates the innovation and integration opportunities in related industries, our business may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part of our growth strategy is to sell additional subscriptions to existing customers as they increase their number of connected assets, such as vehicles, warehouses, and yards. However, our customers may not continue to grow and expand their operations, or may opt not to purchase additional subscriptions from us to cover their expanded operations. A decrease in our ability to sell additional subscriptions to our Dot Cloud SaaS platform to our existing customers could have an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estimates of market opportunity and forecasts of market growth included in this prospectus may prove to be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opportunity estimates and growth forecasts are subject to significant uncertainty and are based on assumptions and estimates that may not prove to be accurate. The estimates and forecasts in this prospectus relating to the size and expected growth of our target markets may prove to be inaccurate. Even if the markets in which we compete meet the size estimates and growth forecasted in this prospectus, we may not successfully penetrate these markets and our business could fail to grow at a similar pace, if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successfully execute our strategic initiatives or meet our long-term financial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part of our business strategy is to focus on long-term growth over short-term financial results. We expect to continue making significant expenditures on engineering talent, sales, hiring and marketing efforts and expenditures to develop new features, integrations, capabilities, and enhancements to our solution and further expand the use cases addressed by our solutions. We have been engaged in strategic initiatives to expand the scope of our core business to improve long-term stockholder value, to improve our cost structure and efficiency, and to increase our selling efforts and develop new business. We may not be able to successfully execute these or other strategic initiatives or execute these initiatives on our expected timetable. If we are not successful in expanding our use cases and obtaining operational efficiencies, our business, financial condition, and results of operations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dependence on a limited number of joint design manufacturers and suppliers of manufacturing services and critical components within our supply chain for our IoT devices may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devices are made using an outsourced manufacturing business model that utilizes joint design manufacturers. We depend on a limited number of joint design manufacturers to allocate sufficient manufacturing capacity to meet our needs, to produce devices, or components thereof, of acceptable quality at acceptable yields, and to deliver those devices or components to us on a timely basis. We are subject to the risk of shortages and long lead times in the supply of these devices and components. In addition, the lead times associated with certain components are lengthy and preclude rapid changes in quantities and delivery schedules. We may in the future experience component shortages, and the predictability of the availability of these components may be limited. We cannot assure you that our inventory will be sufficient for our needs or that future disruptions to our supply of devices or materials will not occur. Any delay in the shipment of devices or any other necessary materials delays our ability to recognize revenue for subscriptions purchased by our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of our suppliers, joint design manufacturers, and logistics providers may have more established relationships with larger volume device manufacturers, and as a result of such relationships, such suppliers may choose to limit or terminate their relationship with us. Developing suitable alternate sources of supply for these devices and components may be time-consuming, difficult, and costly, and we may not be able to source these devices and components on terms that are favorable to us, or at all, which may adversely affect our ability to meet our requirements or provide our customers with needed devices in a timely or cost-effective manner. Because our customers often must install devices before being able to fully utilize our Dot Cloud SaaS platform, any interruption or delay in the supply of any of these devices or components, or the inability to obtain these devices or components from alternate sources at acceptable prices and within a reasonable amount of time, would harm our ability to onboard new customers. In addition, increased device or component costs would negatively impact our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dependence on a key supplier in Israel and the possibility of having to switch suppliers may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key component for one of our products that is made and supported in Israel. While this supplier has remained stable for us to date, there is a risk that the situation may change. We have developed an alternative path that we can use to obtain similar functionality, but switching costs include delays in delivery and some feature disruption in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develop and timely introduce new solutions and features for our Dot Cloud SaaS platform that achieve market acceptance, keep pace with technological developments, and meet emerging regulatory requirements, our business, financial condition, and results of operations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increase revenue from existing customers depends in large part on our ability to enhance and improve our existing solutions and to introduce compelling new solutions and features that reflect the changing nature of our customers’ needs and the regulations to which they are subject. The success of any enhancement to our Dot Cloud SaaS platform depends on several factors, including timely completion and delivery, competitive pricing, adequate quality testing, integration with existing technologies, and overall market acceptance. Factors outside of our control, such as developing laws and regulations, regulatory orders, competitive product offerings, and changes in demand for our solution may also materially impact the successful implementation of new solutions. Any new solution that we develop may not be introduced in a timely or cost-effective manner, may contain bugs or other defects, or may not achieve the market acceptance necessary to generate significant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development of new solutions can be difficult, time-consuming and costly. There are inherent risks and uncertainties associated with offering new solutions, especially when new markets are not fully developed, related technology standards are not mature, or when the laws and regulations regarding a new solution are evolving. If we are unable to successfully develop and timely introduce new solutions, enhance our existing Dot Cloud SaaS platform to meet customer requirements, or otherwise gain market acceptance, our business, financial condition, and results of operations would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sales pipeline is immature, and as such, revenue forecasts and projections are likely to be unstable through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typical sales cycles to be nine to twelve months for most of our opportunities and are only six months into an aggressive pivot to active sales and marketing. As such, revenue forecasts and projections are likely to be unstable through fiscal year 2026, as we mature our best opportunities and add depth to our pipeline. While we will provide our best forecast and communicate changes as they occur, investors should be warned that this instability in revenue is the nature of emerging from a startup mode into a more mature growth 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length of our sales cycle can be unpredictable, particularly with respect to sales to large customers, and our sales efforts may require considerable time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exactly when, or even if, we will make a sale to a potential customer or if we can increase sales to our existing customers. Customers with substantial or complex organizations may choose to deploy our solutions in large increments on a periodic basis. Accordingly, customers may purchase subscriptions for significant dollar amounts on an irregular and unpredictable basis. Because of our limited operating history and the nature of our business, we cannot predict the timing or cost of these sales and deployment cycles. Variations in the sales cycles among our customers based on the size and complexity of their operations, as well as the possibility that customers may purchase new subscriptions sporadically with short lead times, which may adversely impact our ability to anticipate the timing and amount of revenue and contract value from new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part of our strategy is to target sales to larger customers. Sales to larger customers involve risks that may not be present or that are present to a lesser extent with sales to smaller organizations, such as longer sales cycles (which typically last several months and in some cases have exceeded one year), more complex customer product requirements and expectations related to invoicing and payment terms, substantial upfront sales costs, and less predictability in completing some of our sales. For example, large customers may require considerable time to evaluate and test our solution prior to purchasing a subscription. A number of factors influence the length and variability of our sales cycle, including the need to educate potential customers about the uses and benefits of our solution, the discretionary nature of purchasing and budget cycles, the competitive nature of evaluation and purchasing approval processes, the customer’s contemplated use case, the specific deployment plan of each customer, the complexity of the customer’s organization, and the difficulty of such deployment, as well as whether a sale is made directly by us or through other partners. Moreover, large customers often begin to deploy our solution on a limited basis but nevertheless may require a greater level of support from our customer support personnel and negotiate pricing discounts, which increases our upfront investment in the sales effort with no guarantee that sales to these customers will justify our substantial upfront investment. If we fail to effectively manage these risks associated with sales cycles, sales timing uncertainty, sales to large customers and collection of payment from our customers, our business, financial condition, and results of operations may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adapt and respond effectively to rapidly changing technology, evolving industry standards, changing regulations, or changing customer needs, requirements or preferences, our Dot Cloud SaaS platform may become less competitive.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industries in which we participate are subject to rapid technological change. The introduction of new technologies will continue to have a significant effect on competitive conditions to which we are subject. In order to continue to provide value for our customers, we must offer innovative solutions that allow our customers to track and manage their equipment, employees, sites and other connected assets on a timely basis. Certain technologies and industry developments may negatively impact our ability to compete within certain industry segments. If we are unable to develop new solutions that provide utility to our customers and provide enhancements and new features for our existing solutions that keep pace with rapid technological and regulatory change, our revenues and results of operations could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keep pace with technological and competitive developments, we have in the past invested, and may continue to invest, in complementary businesses, technologies, products, services, and other assets that expand the solutions that we can offer our customers. We may make these investments without being certain that they will result in products or enhancements that will be accepted by existing or prospective customers or that will achieve market acceptance. If we are unable to successfully enhance our Dot Cloud SaaS platform to meet evolving customer requirements, increase adoption and use cases of our solution, and develop new solutions and features, then our business, financial condition, and results of operations would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industry standards and technology developed and maintained outside of our control. For example, many of our solutions depend on cellular, GPS, and Wi-Fi technology and are built upon such technologies. We do not control the development of such technologies, and so it may be possible in the future that the components of the underlying technologies that interface with or are built into our solution develop in ways that are not beneficial to our growth and technological capabilities. If these technologies do not continue to be improved or are replaced with alternative technologies that we do not effectively adapt to, our ability to innovate may be diminished and our market appeal and value to customers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intense and increasing competition, and we may not be able to compete effectively, which could reduce demand for our solution and adversely affect our business, revenue growth, and market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the solutions and use cases for which we compete are new and rapidly evolving. Our historical competition has been specific to the individual solution sets that we target, or specific to operational groupings. For example, certain of our solution compete with historical RFID and Barcode companies such as Zebra, Honeywell, Smartrac and HID Global.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these markets is based on several factors, including the comprehensiveness of a solution; feature set breadth and extensibility; analytical capability; ease of adoption; platform reliability, security and scalability; customer support; ability to realize cost savings; brand awareness and reputation; and the strength of sales, marketing and channel partnerships.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competitors may have greater financial resources, greater brand recognition, larger sales forces and marketing budgets than us, as well as broader distribution networks. Large corporations, in particular, may be able to utilize their distribution networks and existing relationships to offer new solutions, in addition to solutions in other verticals already being provided to customers. We expect additional competition as our market grows and rapidly changes, and we may choose to enter or expand into new markets as well. We expect competition to increase as other established and emerging companies enter the markets in which we compete, as customer requirements evolve and as new products and services and technologies are introduced. Certain of our current and potential competitors have longer operating histories, significantly greater financial, technical, marketing, distribution, professional services, or other resources and greater name recognition than we do. In addition, certain of our current and potential competitors have strong relationships with current and potential customers and extensive knowledge of industries with physical operations. As a result, our current and potential competitors may be able to respond more quickly and effectively than we can to new or changing opportunities, technologies, standards, or customer requirements or devote greater resources than we can to the development, promotion, and sale of their products and services. Moreover, certain of these companies are bundling their products and services into larger deals or subscription renewals, often at significant discounts as part of a larger sale. In addition, some current and potential competitors may offer products or services that address one or a limited number of functions at lower prices or with greater depth than our solution. Our current and potential competitors may develop and market new technologies with comparable functionality to our solution. As a result, we may experience reduced gross margins, longer sales cycles, and loss of market share. This could lead us to decrease prices, implement alternative pricing structures, or introduce products and services available for free or a nominal price in order to remain competitive. We may not be able to compete successfully against current and future competitors, and our business, financial condition, and results of operations will be harmed if we fail to meet these competitive pressures.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current and future competitors may also make strategic acquisitions or establish cooperative relationships among themselves or with others, including our current or future channel partners, OEM partners, and other strategic technology companies. By doing so, these competitors may increase their ability to meet the needs of our existing or potential customers. In addition, our current or prospective indirect sales channel partners may establish cooperative relationships with our current or future competitors. These relationships may limit our ability to sell or certify our solution through specific distributors, technology providers, database companies, and distribution channels and allow our competitors to rapidly gain significant market share. These developments could limit our ability to obtain revenue from existing and new customers. If we are unable to compete successfully against current and future competitors, our business, financial condition, and results of operations would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develop devices that are compatible with third-party hardware, software and infrastructure, including the many evolving wireless industry standards, our ability to introduce and sell new subscriptions to access our Dot Cloud SaaS platform could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support customers’ adoption of our Dot Cloud SaaS platform, we develop devices that are compatible with a wide variety of hardware, software and infrastructure. Not only must we ensure our devices are compatible with applications and technologies developed by our partners and vendors, but we must also ensure that our devices can interface with third-party hardware, software or infrastructure that our customers may choose to adopt. To the extent that a third party were to develop software applications or devices that compete with ours, that provider may choose not to support our solution. In particular, our ability to accurately anticipate evolving wireless technology standards and ensure that our devices comply with these standards in relevant respects is critical to the functionality of our devices. Any failure of our devices to be compatible or comply with the hardware, software, or infrastructure — including wireless communications standards — utilized by our customers could prevent or delay their implementation of our Dot Cloud SaaS platform and require costly and time-consuming engineering changes. Additionally, if an insufficient number of wireless operators or subscribers adopt the standards to which we design our devices, our ability to introduce and sell subscriptions to our Dot Cloud SaaS platform would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competitive position of our Dot Cloud SaaS platform depends in part on its ability to operate with a wide variety of data sources and infrastructure, and if we are not successful in maintaining and expanding the compatibility of our solutions with such data sources and infrastructure, our business, financial condition, and results of operations could be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 position of our Dot Cloud SaaS platform depends in part on its ability to operate with a wide array of physical sensors and devices — including devices manufactured by us and by third parties, other software and database technologies, and communications, networking, computing and other infrastructure. As such, we must continuously modify and enhance our Dot Cloud SaaS platform to be compatible with evolving hardware, software, and infrastructure that are used by our current and potential partners, vendors and customers. In the future, one or more technology companies may choose not to support the interoperation of their hardware, software, or infrastructure with solutions such as ours, or our solutions may not otherwise support the capabilities needed to operate with such hardware, software, or infrastructure. We intend to facilitate the compatibility of our Dot Cloud SaaS platform with a wide variety of hardware, software, and infrastructure by maintaining and expanding our business and technical relationships. If we are not successful in achieving this goal, our business, financial condition, and results of operations could be adversely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grow our business is dependent in part on strategic relationships we develop and maintain with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ability to increase our sales depends in part on maintaining and strengthening relationships with parties such as channel partners, OEM partners, and other strategic technology companies. Once a relationship is established, we likely will dedicate significant time and resources to it in an effort to advance our business interests, and there is no assurance that any strategic relationship will achieve our business purposes or that the resources we use to develop the relationship will be cost-effective. Parties with whom we establish strategic relationships also work with companies that compete with us. We have limited, if any, control as to whether these parties devote adequate resources to our strategic relationships. Further, companies with whom we maintain strategic relationships may de-emphasize their dealings with us or become competitors in the future. We also have limited, if any, control as to other business activities of these parties and we could experience reputational harm because of our association with such parties if they fail to execute on business initiatives, are accused of breaking the law or suffer reputational harm for other reasons. All of these factors could materially and adversely impact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subscription or pricing models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price for subscriptions to access our Dot Cloud SaaS platform may decline for a variety of reasons, including competitive pricing pressures, discounts, anticipation of the introduction of new solutions and features, changes in pricing models for existing solutions and access to our solutions (including changes as to the timing of customers’ payments over the course of their subscriptions) or promotional programs. As we expand our offerings, new competitors introduce new solutions or services that compete with ours, or we enter into new international markets, we may be unable to attract new customers using the same pricing models as we have historically used. Larger competitors, including new entrants to our market, may reduce the price of offerings that compete with ours or may bundle them with other offerings and provide them for free. Any decrease in the sales prices for access to our Dot Cloud SaaS platform, without a corresponding decrease in costs or increase in sales volume, would adversely affect our revenue and gross profit.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have difficulty determining the appropriate price structure for new solutions. Regardless of the pricing model used, larger customers may demand higher price discounts than have been given in the past, or are given to other customers. As a result, we may be required to reduce our prices, offer shorter contract durations or offer alternative pricing models. If we do not maintain our prices and gross profits at levels that will allow us to achieve and maintain profitability, our business, financial condition, and results of operations will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results of operations and our business metrics are likely to fluctuate significantly on a quarterly basis in future periods and may not fully reflect the underlying performance of our business, which makes our future results difficult to predict and could cause our results of operations to fall below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and business metrics have fluctuated from quarter-to-quarter in the past and may continue to vary significantly in the future so that period-to-period comparisons of our results of operations and business metrics may not be meaningful. Accordingly, our financial results in any one quarter should not be relied upon as indicative of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results of operations and business metrics may fluctuate as a result of a variety of factors, many of which are outside of our control, may be difficult to predict, and may or may not fully reflect the underlying performance of our business. Among the factors that may cause fluctuations in our quarterly financial results and our business metrics are those listed below:</w:t>
      </w:r>
    </w:p>
    <w:p>
      <w:pPr>
        <w:pStyle w:val="TextBody"/>
        <w:bidi w:val="0"/>
        <w:spacing w:before="0" w:after="0"/>
        <w:ind w:left="0" w:right="0" w:firstLine="360"/>
        <w:jc w:val="both"/>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105"/>
        <w:gridCol w:w="200"/>
        <w:gridCol w:w="53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new customers, particularly large customers;</w:t>
            </w:r>
          </w:p>
        </w:tc>
      </w:tr>
    </w:tbl>
    <w:p>
      <w:pPr>
        <w:pStyle w:val="TextBody"/>
        <w:bidi w:val="0"/>
        <w:spacing w:before="0" w:after="0"/>
        <w:ind w:left="760" w:right="0" w:hanging="48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105"/>
        <w:gridCol w:w="200"/>
        <w:gridCol w:w="61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retain and expand our relationships with existing customers;</w:t>
            </w:r>
          </w:p>
        </w:tc>
      </w:tr>
    </w:tbl>
    <w:p>
      <w:pPr>
        <w:pStyle w:val="TextBody"/>
        <w:bidi w:val="0"/>
        <w:spacing w:before="0" w:after="0"/>
        <w:ind w:left="760" w:right="0" w:hanging="48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105"/>
        <w:gridCol w:w="200"/>
        <w:gridCol w:w="66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successfully expand our business domestically and internationally;</w:t>
            </w:r>
          </w:p>
        </w:tc>
      </w:tr>
    </w:tbl>
    <w:p>
      <w:pPr>
        <w:pStyle w:val="TextBody"/>
        <w:bidi w:val="0"/>
        <w:spacing w:before="0" w:after="0"/>
        <w:ind w:left="760" w:right="0" w:hanging="48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05"/>
        <w:gridCol w:w="200"/>
        <w:gridCol w:w="63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gain new channel partners and retain existing channel partners;</w:t>
            </w:r>
          </w:p>
        </w:tc>
      </w:tr>
    </w:tbl>
    <w:p>
      <w:pPr>
        <w:pStyle w:val="TextBody"/>
        <w:bidi w:val="0"/>
        <w:spacing w:before="0" w:after="0"/>
        <w:ind w:left="760" w:right="0" w:hanging="48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05"/>
        <w:gridCol w:w="200"/>
        <w:gridCol w:w="63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and retain key employees and other qualified personnel;</w:t>
            </w:r>
          </w:p>
        </w:tc>
      </w:tr>
    </w:tbl>
    <w:p>
      <w:pPr>
        <w:pStyle w:val="TextBody"/>
        <w:bidi w:val="0"/>
        <w:spacing w:before="0" w:after="0"/>
        <w:ind w:left="760" w:right="0" w:hanging="480"/>
        <w:jc w:val="both"/>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105"/>
        <w:gridCol w:w="200"/>
        <w:gridCol w:w="65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the growth rate of the overall market that our solution addresses;</w:t>
            </w:r>
          </w:p>
        </w:tc>
      </w:tr>
    </w:tbl>
    <w:p>
      <w:pPr>
        <w:pStyle w:val="TextBody"/>
        <w:bidi w:val="0"/>
        <w:spacing w:before="0" w:after="0"/>
        <w:ind w:left="760" w:right="0" w:hanging="480"/>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5"/>
        <w:gridCol w:w="200"/>
        <w:gridCol w:w="37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effectively manage our growth;</w:t>
            </w:r>
          </w:p>
        </w:tc>
      </w:tr>
    </w:tbl>
    <w:p>
      <w:pPr>
        <w:pStyle w:val="TextBody"/>
        <w:bidi w:val="0"/>
        <w:spacing w:before="0" w:after="0"/>
        <w:ind w:left="760" w:right="0" w:hanging="48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105"/>
        <w:gridCol w:w="200"/>
        <w:gridCol w:w="32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the mix of our revenue;</w:t>
            </w:r>
          </w:p>
        </w:tc>
      </w:tr>
    </w:tbl>
    <w:p>
      <w:pPr>
        <w:pStyle w:val="TextBody"/>
        <w:bidi w:val="0"/>
        <w:spacing w:before="0" w:after="0"/>
        <w:ind w:left="760" w:right="0" w:hanging="480"/>
        <w:jc w:val="both"/>
        <w:rPr>
          <w:caps w:val="false"/>
          <w:smallCaps w:val="false"/>
        </w:rPr>
      </w:pPr>
      <w:r>
        <w:rPr>
          <w:caps w:val="false"/>
          <w:smallCaps w:val="false"/>
        </w:rPr>
        <w:t> </w:t>
      </w:r>
    </w:p>
    <w:p>
      <w:pPr>
        <w:pStyle w:val="TextBody"/>
        <w:bidi w:val="0"/>
        <w:spacing w:before="0" w:after="0"/>
        <w:ind w:left="7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and timing of operating expenses related to the maintenance and expansion of our business and operations, including continued investments in sales and marketing, research and development and general and administrative resources;</w:t>
            </w:r>
          </w:p>
        </w:tc>
      </w:tr>
    </w:tbl>
    <w:p>
      <w:pPr>
        <w:pStyle w:val="TextBody"/>
        <w:bidi w:val="0"/>
        <w:spacing w:before="0" w:after="0"/>
        <w:ind w:left="760" w:right="0" w:hanging="48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105"/>
        <w:gridCol w:w="200"/>
        <w:gridCol w:w="54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Network outages or performance degradation of our cloud service;</w:t>
            </w:r>
          </w:p>
        </w:tc>
      </w:tr>
    </w:tbl>
    <w:p>
      <w:pPr>
        <w:pStyle w:val="TextBody"/>
        <w:bidi w:val="0"/>
        <w:spacing w:before="0" w:after="0"/>
        <w:ind w:left="760" w:right="0" w:hanging="480"/>
        <w:jc w:val="both"/>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05"/>
        <w:gridCol w:w="200"/>
        <w:gridCol w:w="39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security or cybersecurity breaches;</w:t>
            </w:r>
          </w:p>
        </w:tc>
      </w:tr>
    </w:tbl>
    <w:p>
      <w:pPr>
        <w:pStyle w:val="TextBody"/>
        <w:bidi w:val="0"/>
        <w:spacing w:before="0" w:after="0"/>
        <w:ind w:left="760" w:right="0" w:hanging="480"/>
        <w:jc w:val="both"/>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105"/>
        <w:gridCol w:w="200"/>
        <w:gridCol w:w="42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industry and market conditions;</w:t>
            </w:r>
          </w:p>
        </w:tc>
      </w:tr>
    </w:tbl>
    <w:p>
      <w:pPr>
        <w:pStyle w:val="TextBody"/>
        <w:bidi w:val="0"/>
        <w:spacing w:before="0" w:after="0"/>
        <w:ind w:left="760" w:right="0" w:hanging="480"/>
        <w:jc w:val="both"/>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105"/>
        <w:gridCol w:w="200"/>
        <w:gridCol w:w="82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law and regulations affecting our and our customers’ businesses or product requirements;</w:t>
            </w:r>
          </w:p>
        </w:tc>
      </w:tr>
    </w:tbl>
    <w:p>
      <w:pPr>
        <w:pStyle w:val="TextBody"/>
        <w:bidi w:val="0"/>
        <w:spacing w:before="0" w:after="0"/>
        <w:ind w:left="760" w:right="0" w:hanging="48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105"/>
        <w:gridCol w:w="200"/>
        <w:gridCol w:w="94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Increases or decreases in the number of subscriptions or pricing changes upon any renewals of customer agreements;</w:t>
            </w:r>
          </w:p>
        </w:tc>
      </w:tr>
    </w:tbl>
    <w:p>
      <w:pPr>
        <w:pStyle w:val="TextBody"/>
        <w:bidi w:val="0"/>
        <w:spacing w:before="0" w:after="0"/>
        <w:ind w:left="760" w:right="0" w:hanging="48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105"/>
        <w:gridCol w:w="200"/>
        <w:gridCol w:w="49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pricing policies or those of our competitors;</w:t>
            </w:r>
          </w:p>
        </w:tc>
      </w:tr>
    </w:tbl>
    <w:p>
      <w:pPr>
        <w:pStyle w:val="TextBody"/>
        <w:bidi w:val="0"/>
        <w:spacing w:before="0" w:after="0"/>
        <w:ind w:left="760" w:right="0" w:hanging="480"/>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105"/>
        <w:gridCol w:w="200"/>
        <w:gridCol w:w="50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budgeting cycles and purchasing practices of customers;</w:t>
            </w:r>
          </w:p>
        </w:tc>
      </w:tr>
    </w:tbl>
    <w:p>
      <w:pPr>
        <w:pStyle w:val="TextBody"/>
        <w:bidi w:val="0"/>
        <w:spacing w:before="0" w:after="0"/>
        <w:ind w:left="760" w:right="0" w:hanging="48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105"/>
        <w:gridCol w:w="200"/>
        <w:gridCol w:w="71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Decisions by potential customers to purchase alternative solutions from other vendors;</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Insolvency or credit difficulties confronting our customers, which could adversely affect their ability to purchase or pay for a subscription to use our solution;</w:t>
            </w:r>
          </w:p>
        </w:tc>
      </w:tr>
    </w:tbl>
    <w:p>
      <w:pPr>
        <w:pStyle w:val="TextBody"/>
        <w:bidi w:val="0"/>
        <w:spacing w:before="0" w:after="0"/>
        <w:ind w:left="760" w:right="0" w:hanging="48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05"/>
        <w:gridCol w:w="200"/>
        <w:gridCol w:w="57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and potential outcomes of future litigation or other disputes;</w:t>
            </w:r>
          </w:p>
        </w:tc>
      </w:tr>
    </w:tbl>
    <w:p>
      <w:pPr>
        <w:pStyle w:val="TextBody"/>
        <w:bidi w:val="0"/>
        <w:spacing w:before="0" w:after="0"/>
        <w:ind w:left="760" w:right="0" w:hanging="48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105"/>
        <w:gridCol w:w="200"/>
        <w:gridCol w:w="61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accounting pronouncements or changes in our accounting policies;</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overall effective tax rate, including impacts caused by any reorganization in our corporate tax structure and any new legislation or regulatory developments;</w:t>
            </w:r>
          </w:p>
        </w:tc>
      </w:tr>
    </w:tbl>
    <w:p>
      <w:pPr>
        <w:pStyle w:val="TextBody"/>
        <w:bidi w:val="0"/>
        <w:spacing w:before="0" w:after="0"/>
        <w:ind w:left="760" w:right="0" w:hanging="48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105"/>
        <w:gridCol w:w="200"/>
        <w:gridCol w:w="42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stock-based compensation expense;</w:t>
            </w:r>
          </w:p>
        </w:tc>
      </w:tr>
    </w:tbl>
    <w:p>
      <w:pPr>
        <w:pStyle w:val="TextBody"/>
        <w:bidi w:val="0"/>
        <w:spacing w:before="0" w:after="0"/>
        <w:ind w:left="760" w:right="0" w:hanging="48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105"/>
        <w:gridCol w:w="200"/>
        <w:gridCol w:w="80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 protection measures (such as tariffs and duties) and import or export licensing requirements;</w:t>
            </w:r>
          </w:p>
        </w:tc>
      </w:tr>
    </w:tbl>
    <w:p>
      <w:pPr>
        <w:pStyle w:val="TextBody"/>
        <w:bidi w:val="0"/>
        <w:spacing w:before="0" w:after="0"/>
        <w:ind w:left="760" w:right="0" w:hanging="48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105"/>
        <w:gridCol w:w="200"/>
        <w:gridCol w:w="40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foreign currency exchange rates;</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timing and success in introducing new features and Applications to the market, including integrations of our solution with additional third-party software and devices;</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actions of our competitors or any other change in the competitive dynamics of our industry, including consolidation among competitors, customers or strategic partners;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successfully manage and realize the anticipated benefits of any future acquisitions of businesses, solutions, or technologies;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of expenses related to the development or acquisition of businesses, solutions, or technologies and potential future charges for impairment of goodwill from acquired companies; or</w:t>
            </w:r>
          </w:p>
        </w:tc>
      </w:tr>
    </w:tbl>
    <w:p>
      <w:pPr>
        <w:pStyle w:val="TextBody"/>
        <w:bidi w:val="0"/>
        <w:spacing w:before="0" w:after="0"/>
        <w:ind w:left="760" w:right="0" w:hanging="48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105"/>
        <w:gridCol w:w="200"/>
        <w:gridCol w:w="38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 factors described in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achieve and sustain a level of liquidity sufficient to support our operations and fulfill our obligations, our business, financial condition, and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actively monitor and manage our cash and cash equivalents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platform development, difficulties in executing our business plan and fulfilling our obligations, and other operational challenges. Any of these developments could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exposed to risks related to third-party financing of our customers’ subscriptions to our Dot Cloud SaaS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some of our customers have relied on third parties to finance their purchase of subscriptions to our Dot Cloud SaaS platform. This need to arrange third-party credit may lengthen our sales cycles or otherwise lengthen the amount of time required to negotiate customer agreements. Our channel may provide customers seeking financing with contact information for lenders that are known to them through their financing of other customers’ subscriptions. These arrangements can create challenging dynamics for us when disputes arise between a customer and a lender to whom we have introduced a customer. In the event that financing is not available to those of our customers who require it, on commercially reasonable terms or at all, we could experience reduced sales, extended sales cycles, and increased churn. In the event of a dispute between a customer and a lender, we could suffer reputational harm and damage to our relationships with customers and those that provide financing to our customers. The occurrence of any of these would adversely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and expand our business if we are not able to hire, retain and manage qualified personnel, and in particular, our key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the success of any future acquisitions depends in part on our retention and integration of key personnel from the acquired company or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may enter into employment agreements with members of our senior management and other key personnel, these arrangements are at-will and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rely in part on direct sales employees to sell our products in the United States and internationally. We are focused on increasing the size and effectiveness of our sales force, marketing activities, sales management team and corporate infrastructure, as well as exploring further relationships with third-party resellers. At present, we intend to significantly increase the size of our current direct sales organization and to more efficiently leverage our expanded sales force to increase sales coverage for our solution and to support significant channel growth. We cannot assure you that we will be able to attract and retain the additional personnel necessary to grow and expand our business and operations. Further, we expect that the onboarding of new sales and marketing personnel will take considerable time to enable new employees to ramp up to full productivity. If we are unable to expand our sales force at sufficiently high levels and onboard new sales personnel successfully, our ability to attract new customers may be harmed, and our business, financial condition and results of operations would be adversely affected. In addition, any failure to adequately train our employees on how to communicate the uses and benefits of our solution to potential and existing customers may prevent us from increasing our market share and revenue. If we fail to identify, attract, retain and motivate these highly skilled personnel, we will be unable to achieve our growth expectations, and our business, financial condition, and results of operations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achieve customer renewals and increase sales of our products is dependent on the quality of our customer success and support teams, and our failure to offer high quality support would have an adverse effect on our business, reputation,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depend on our customer support team to resolve issues and our customer success team to realize the full benefits relating to our Dot Cloud SaaS platform. If we do not succeed in helping our customers quickly resolve post-deployment issues or provide effective ongoing support and education on our Dot Cloud SaaS platform, our ability to sell additional subscriptions to, or renew subscriptions with, existing customers or expand the value of existing customers’ subscriptions would be adversely affected and our reputation with potential customers could be damaged. Many large customers have more complex IT environments and require higher levels of support than smaller customers. If we fail to meet the requirements of these larger customers, it may be more difficult to grow sales with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it can take several months to recruit, hire, and train qualified engineering-level customer support employees. We may not be able to hire such employees fast enough to keep up with demand, particularly if the sales of our products exceed our internal forecasts. To the extent that we are unsuccessful in hiring, training, and retaining adequate customer support employees, our ability to provide adequate and timely support to our customers, and our customers’ satisfaction with our products, will be adversely affected. Our failure to provide and maintain high-quality support services would have an adverse effect on our business, reputation,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maintain and enhance our brand, our business, financial condition, and results of operations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maintaining and enhancing our reputation as a differentiated and category-defining company is critical to our relationships with our existing customers and to our ability to attract new customers. We also believe that the importance of brand recognition will increase as competition in our market increases, and that brand and reputation are particularly important in the physical operations industry given the potential impact of any failure of our solution on the physical operations of our customers. The successful promotion of our brand attributes will depend on a number of factors, including our and our channel partners’ marketing efforts, our ability to continue to develop high-quality solutions and our ability to successfully differentiate our solutions and devices from those of competitors. In addition, independent industry analysts may provide reviews of our solution and our competitors’ products, which could influence the perception of the relative value of our Dot Cloud SaaS platform in the marketplace. If these reviews are negative, or less positive as compared to those of our competitors’ products, our brand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promotion of our brand requires us to make substantial expenditures, and we anticipate that the expenditures will increase as our market becomes more competitive, as we expand into new markets, and as more sales are generated through our channel partners. Our brand promotion activities may not generate customer awareness or yield increased revenue, and even if they do, any increased revenue may not offset the expenses we incur in building our brand. If we do not successfully maintain and enhance our brand, our business may not grow, we may have reduced pricing power relative to competitors, and we could lose customers or fail to attract potential customers, any of which would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maintain our company culture as we grow, our success and our business and competitive position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success to date has been driven in part by our company’s cultural principles of focusing on customer success, building for the long term, adopting a growth mindset, being inclusive and winning as a team. As we grow and develop the infrastructure of a public company, we may find it difficult to maintain these important aspects of our culture. Any failure to preserve our culture could negatively affect our ability to retain and recruit personnel, which is critical to our growth, and to effectively focus on and pursue our corporate objectives. As a result, if we fail to maintain our company culture, our business and competitive position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subscription agreements typically contain service-level commitments, and our agreements with larger customers may carry higher service-level commitments than those provided to customers generally.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We offer multiple tiers of subscriptions to our products and, as such, our service-level commitments will increase if more customers choose higher tier subscriptions. Any service-level failures could also damage our reputation, which could also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real or perceived defect, security vulnerability, error, or performance failure in our Dot Cloud SaaS platform could cause us to lose revenue, damage our reputation, and expose us to liability, and our product liability insurance may not adequately protect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Dot Cloud SaaS platform is inherently complex and, despite extensive testing and quality control, has in the past contained and may in the future contain defects or errors, especially when first introduced, or not perform as contemplated. These defects, security vulnerabilities, errors, or performance failures could cause damage to our reputation, loss of customers or revenue, order cancellations, service terminations, or lack of market acceptance of our software. Our customers within the physical operations industry are particularly sensitive to the reliability of our products because a failure of a vehicle or piece of machinery connected to our solution could have a significant impact on their business or employees, including leading to death or serious bodily injury. As the use of our solution, including features and solutions that were recently developed, continues to expand to even more sensitive, secure, or mission-critical uses by our customers, we may be subject to increased scrutiny, potential reputational risk, or potential liability should our solution fail to perform as intended in such deployments. We have in the past needed, and may in the future need, to issue corrective releases to fix these defects, security vulnerabilities, errors or performance failures, which could require us to allocate significant research and development and customer support resources to address these problems. When required to correct device bugs or to implement proactive firmware updates to our devices, we have implemented over-the-air firmware updates to devices that are deployed in the field. If such updates do not perform as anticipated, they may prolong interruptions and performance problems and otherwise impact our reputation and relationship with our customers. Additionally, an improperly configured or deployed update may cause performance issues or disable certain devices in the field, as has occurred in the past. Such an error would require us to fix or replace such devices and may harm our relationship with the impacted customer or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data that we license from third parties for potential use in our solution may contain errors or defects, which could negatively impact the analytics that our customers perform on or with such data. This may have a negative impact on how our solution is perceived by our current and potential customers and could materially damage our reputation and brand.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 of liability provisions that may be contained in our customer, user, third-party vendor, service provider, and partner agreements may not be enforceable or adequate or effective as a result of existing or future applicable laws or unfavorable judicial decisions, and they may not function to limit our liability arising from regulatory enforcement or otherwise. The sale and support of our solution entail the risk of liability claims, which could be substantial in light of the use of our solution in enterprise-wide environments.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insurance against this liability may not be adequate to cover a potential claim and may be subject to exclusions, including the possibility that the insurer will deny coverage as to any future claim or exclude from our coverage such claims in policy renewals. The denial of our claims by our insurers or the successful assertion of claims by others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reputation. Further, there are no assurances that adequate product liability insurance will continue to be available to us in the future on commercially reasonable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Challenges in implementation or incorrect use of, or our customers’ failure to update, our solution could result in customer dissatisfaction and negatively affect our business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 is often operated in large scale, distributed IT environments, including across a wide array of devices and connected assets. Implementing our solutions in such environments can be a complex and lengthy process, particularly for certain of our customers who are less experienced with respect to the implementation of cloud-based platforms such as ours. Our customers and some partners require training and experience in the proper use of and the benefits that can be derived from our solution to maximize its potential. If users of our Dot Cloud SaaS platform do not implement, use, or update our Dot Cloud SaaS platform correctly or as intended, then inadequate performance and/or security vulnerabilities may result. Because our customers rely on our software and hardware to manage a wide range of operations, the incorrect implementation, use of, or our customers’ failure to update, our software and hardware or our failure to train customers on how to use our solution productively may result in customer dissatisfaction and negative publicity and may adversely affect our reputation and brand. Our failure to effectively provide training and implementation services to our customers could result in lost opportunities for follow-on sales to these customers and decreased subscriptions by new customers, which would adversely affect our business and growth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in the future seek to acquire or invest in businesses, joint ventures, and technologies that we believe could complement or expand our Dot Cloud SaaS platform, enhance our technology, or otherwise offer growth opportunities. Further, our anticipated proceeds from this offering increase the likelihood that we will devote resources to exploring larger and more complex acquisitions and investments than we have previously attempted.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their software is not easily adapted to work with our solution,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financial position, costs, and financial flexibility.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capital to fund our business and support our growth, and any inability to generate or obtain such capital may adversely affect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support our growth and respond to business challenges, such as developing new solutions or devices to stay competitive, acquiring new technologies, and improving our infrastructure, we have made significant financial investments in our business and we intend to continue to make such investments. As a result, we may or debt financings to provide the funds required for these investments and other business endeavors. If we raise additional funds through equity or convertible debt issuances, our existing stockholders may suffer significant dilution and these securities could have rights, preferences, and privileges that are superior to that of holders of our Common Stock. If we obtain additional funds through debt financing, the terms of such indebtedness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and financial condition may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generate sufficient cash to service our indebtedness, and the terms of our new senior secured convertible facility could materially and adversely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service, refinance, or otherwise meet our indebtedness depends on our financial condition, operating performance, access to capital markets, and broader economic and market conditions, many of which are beyond our control. There can be no assurance that our cash flows will be sufficient to satisfy scheduled payments as they come due.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we entered into a senior secured convertible facility with upfront fees and immediate monthly amortization. Monthly installments must be funded primarily through draws on our equity line of credit and failure or inability to draw is an event of default. Issuances and sales under the equity line could increase selling pressure on our Common Stock and reduce our liquidity. Access to additional tranches is at the lender’s election and conditioned on continued exchange listing and specified price and volume thresholds, and therefore may not be available when needed.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 event of default and the effectiveness of a resale registration statement, the facility becomes convertible at a discounted, market-price-based formula, and we have issued (and may issue additional) warrants in connection with tranche fundings. Conversions and warrant exercises could be dilutive and push our stock price down. There can be no assurance that the market will absorb any such issuances without adverse price impact or that we will maintain the listing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facility is secured by first-priority liens on substantially all of our assets and a pledge of subsidiary equity and provides accelerated remedies upon default, which could increase our obligations and facilitate enforcement. The facility also contains restrictive covenants that limit additional debt, liens, and securities issuances and require certain extraordinary receipts to prepay the loans, which could constrain our ability to raise capital or execute our strategy. In addition, legal, contractual, tax, or covenant restrictions may limit our subsidiaries’ ability to upstream cash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foregoing, individually or in the aggregate, could have a material adverse effect on our business, financial condition, results of operations, and cash flows, increase our cost of capital, reduce our financial flexibility, and negatively affect the market price and liquidity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product liability, warranty and recall claims that may increase the costs of doing business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the risk of product liability or warranty claims if our Dot Cloud SaaS platform or our devices fail, or are alleged to fail, to perform as expected, or if they result, or are alleged to result, in bodily injury or property damage. Certain technologies incorporated into our devices may increase the risk profile of these products. This risk may be heightened as we launch our first family of hardware products, since newly introduced products are more susceptible to quality issues during the initial launch and stabilization period. Although our experienced team is focused on mitigating potential product quality concerns, issues may arise despite these efforts.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maintain insurance coverage that we believe is appropriate for these risks, significant product liability claims could exceed our coverage limits, and insurance may not remain available on commercially reasonable terms, if at all. We may incur substantial costs to defend against product liability or warranty claims, and we cannot assure that we will not experience material losses in the future. In addition, if any of our devices are found, or alleged, to be defective, we may be required to conduct recalls, provide replacements or repairs, issue refunds, or otherwise address customer claims. The costs associated with warranties, repairs, replacements, recalls, or customer reimbursements could exceed our historical experience and materially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currency exchange rates fluctuate substantially in the future, the results of our operations, which are reported in U.S. dollars,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expand our international operations, we become more exposed to the effects of fluctuations in currency exchange rates. Our international customer contracts are denominated in currencies other than the U.S. dollar. Changes in currency exchange rates over the course of customers’ contract terms may impact the amount of revenue we recognize from a customer from period to period, even in the absence of changes to that customer’s subscriptions. Additionally, currency fluctuations in certain countries and regions may negatively impact actual prices that customers and partners are willing to pay in those countries and regions. Further, we incur expenses for employee compensation and other operating expenses at our non-U.S. locations in the local currency. Fluctuations in the exchange rates between the U.S. dollar and other currencies could result in the dollar equivalent of such expenses being higher, which could have a negative impact on our results of operations. Although we may in the future decide to undertake foreign exchange hedging transactions to cover a portion of our foreign currency exchange exposure, we currently do not hedge our exposure to foreign currency exchange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Managing the supply of our devices is complex. Insufficient supply and inventory may result in lost sales opportunities or delayed revenue, while excess inventory may harm our gross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third-party manufacturers and suppliers procure components for our devices based on our forecasts, and we generally do not hold significant inventory for extended periods of time. These forecasts are based on estimates of future demand for our products, which can be adjusted based on historical trends and analysis and for overall market conditions, and we cannot guarantee the accuracy of our forecasts. In order to reduce manufacturing lead times and plan for adequate component supply, from time to time we may issue forecasts for components and products that are non cancelable and nonreturnable.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inventory management systems and related supply chain visibility tools may be inadequate to enable us to forecast accurately and effectively manage supply of our devices. Supply management remains an increased area of focus as we balance the need to maintain supply levels that are sufficient to ensure competitive lead times against the risk of obsolescence because of rapidly changing technology and end-customer requirements. If we ultimately determine that we have excess supply, we may have to record a reserve for excess manufacturing costs or reduce our prices and write-down inventory, either of which in turn could result in lower gross margins. Alternatively, insufficient supply levels may lead to shortages that result in delayed revenue or loss of sales opportunities altogether as potential end customers are unable to access our Dot Cloud SaaS platform and, as a result, turn to competitors’ products that are readily available. Additionally, any increases in the time required to manufacture our devices or ship these devices could result in supply shortfalls. If we are unable to effectively manage our supply and inventory, our results of operations could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materially and adversely impacted by U.S. and global market and economic conditions adverse to industries that depend on physical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our revenue from selling subscriptions to our solutions to industries that depend on physical operations. These industries include transportation, wholesale and retail trade, healthcare, transportation, aviation, construction, field services, logistics, utilities and energy, government, manufacturing, and others. Given the concentration of our business activities in these industries, we will be particularly exposed to certain economic downturns affecting these industries, in particular with respect to our fleet-focused solutions. U.S. and global market and economic conditions have been, and continue to be, disrupted and volatile. General business and economic conditions that could affect us and our customers include fluctuations in economic growth, debt and equity capital markets, liquidity of the global financial markets, the availability and cost of credit, investor and consumer confidence, and the strength of the economies in which we and our customers operate. A poor economic environment could result in significant decreases in demand for our Dot Cloud SaaS platform, including the delay or cancellation of current or anticipated customer engagements.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challenges and volatile economic conditions have presented and may in the future present difficulties in our ability to timely collect accounts receivables from our customers due to their deteriorating financial condition. In addition, our existing customers may be acquired by or merged into other entities that use our competitors’ products, they may decide to terminate their relationships with us for other reasons, or they may go out of business, each of which would have an adverse effect on our future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disruptions could have serious adverse consequences on our future revenue and financial condition and result in losses that may not be covered by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particularly our operations in Puerto Rico, could be subject to the impact of natural or man-made disasters or other business disruptions, which include, but are not limited to, earthquakes, hurricanes, typhoons, floods, water shortages, wildfires and fires, blizzards and other extreme weather conditions as well as power outages, telecommunications, transportation or infrastructure failure, cybersecurity incidents or physical security breaches related to such catastrophes, public health crises, such as pandemics and epidemics, and geopolitical conflicts, including acts of terrorism, war and civil disorder. We carry insurance against certain risks and in such amounts as we believe are customary for businesses of our kind. However, as the costs and availability of insurance change, we may decide not to be covered against certain losses, including losses resulting from such natural and man-made disasters or environmental liabilities where, in the judgment of management, the insurance is not warranted due to cost or availability of coverage or the remoteness of perceived risk. Furthermore, there are certain types of losses that are generally not insured because they are either uninsurable or not economically insurable. Moreover, the cost of insurance has increased significantly, including as a result of the impact of climate change and inflation, and we may not be able to obtain sufficient coverage at a reasonable cost to protect us against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operations are international in scope, and we plan further geographic expansion, creating a variety of operational challenges.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of our growth strategy involves the further expansion of our operations and customer base internationally.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We intend to increase the scope of our international activities as we continue to pursue opportunities in existing and new international markets, which will require significant dedication of management attention and financial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international business and operations involve a variety of risks, including:</w:t>
      </w:r>
    </w:p>
    <w:p>
      <w:pPr>
        <w:pStyle w:val="TextBody"/>
        <w:bidi w:val="0"/>
        <w:spacing w:before="0" w:after="0"/>
        <w:ind w:left="0" w:right="0" w:firstLine="360"/>
        <w:jc w:val="left"/>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105"/>
        <w:gridCol w:w="200"/>
        <w:gridCol w:w="92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slower than anticipated availability and adoption of cloud and hybrid infrastructures by international businesses;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 specific country’s or region’s political, economic, or legal and regulatory environment, including Brexit, pandemics, tariffs, export quotas, custom duties, trade disputes, tax laws and treaties, particularly due to economic tensions and trade negotiations or other trade restrictions, trade wars, or long-term environmental risks;</w:t>
            </w:r>
          </w:p>
        </w:tc>
      </w:tr>
    </w:tbl>
    <w:p>
      <w:pPr>
        <w:pStyle w:val="TextBody"/>
        <w:bidi w:val="0"/>
        <w:spacing w:before="0" w:after="0"/>
        <w:ind w:left="760" w:right="0" w:hanging="48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105"/>
        <w:gridCol w:w="200"/>
        <w:gridCol w:w="53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need to adapt and localize our solution for specific countries;</w:t>
            </w:r>
          </w:p>
        </w:tc>
      </w:tr>
    </w:tbl>
    <w:p>
      <w:pPr>
        <w:pStyle w:val="TextBody"/>
        <w:bidi w:val="0"/>
        <w:spacing w:before="0" w:after="0"/>
        <w:ind w:left="760" w:right="0" w:hanging="48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105"/>
        <w:gridCol w:w="200"/>
        <w:gridCol w:w="96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greater difficulty collecting accounts receivable, longer sales and payment cycles, and different pricing environments;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evolving, potentially inconsistent and often more stringent regulations relating to privacy, data protection and data security and the unauthorized use of, or access to, commercial, biometric, and/or personal information, particularly in Europe;</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differing labor regulations, including with respect to wage and hour laws, that make it harder to do business in certain regions such as Europe;</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difficulties in managing a business in new markets with diverse cultures, languages, customs, legal systems, alternative dispute systems, and regulatory systems;</w:t>
            </w:r>
          </w:p>
        </w:tc>
      </w:tr>
    </w:tbl>
    <w:p>
      <w:pPr>
        <w:pStyle w:val="TextBody"/>
        <w:bidi w:val="0"/>
        <w:spacing w:before="0" w:after="0"/>
        <w:ind w:left="760" w:right="0" w:hanging="48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105"/>
        <w:gridCol w:w="200"/>
        <w:gridCol w:w="90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travel, real estate, infrastructure, legal and compliance costs associated with international operations;</w:t>
            </w:r>
          </w:p>
        </w:tc>
      </w:tr>
    </w:tbl>
    <w:p>
      <w:pPr>
        <w:pStyle w:val="TextBody"/>
        <w:bidi w:val="0"/>
        <w:spacing w:before="0" w:after="0"/>
        <w:ind w:left="760" w:right="0" w:hanging="48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105"/>
        <w:gridCol w:w="200"/>
        <w:gridCol w:w="59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financial accounting and reporting burdens and complexities;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currency exchange rate fluctuations and the resulting effect on our revenue and expenses, and the cost and risk of entering into hedging transactions if we chose to do so in the future;</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limitations on our ability to reinvest earnings from operations in one country to fund the capital needs of our operations in other countries;</w:t>
            </w:r>
          </w:p>
        </w:tc>
      </w:tr>
    </w:tbl>
    <w:p>
      <w:pPr>
        <w:pStyle w:val="TextBody"/>
        <w:bidi w:val="0"/>
        <w:spacing w:before="0" w:after="0"/>
        <w:ind w:left="760" w:right="0" w:hanging="48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05"/>
        <w:gridCol w:w="200"/>
        <w:gridCol w:w="34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and different sources of competition;</w:t>
            </w:r>
          </w:p>
        </w:tc>
      </w:tr>
    </w:tbl>
    <w:p>
      <w:pPr>
        <w:pStyle w:val="TextBody"/>
        <w:bidi w:val="0"/>
        <w:spacing w:before="0" w:after="0"/>
        <w:ind w:left="760" w:right="0" w:hanging="48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105"/>
        <w:gridCol w:w="200"/>
        <w:gridCol w:w="83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laws and business practices favoring local competitors or general market preferences for local vendors;</w:t>
            </w:r>
          </w:p>
        </w:tc>
      </w:tr>
    </w:tbl>
    <w:p>
      <w:pPr>
        <w:pStyle w:val="TextBody"/>
        <w:bidi w:val="0"/>
        <w:spacing w:before="0" w:after="0"/>
        <w:ind w:left="760" w:right="0" w:hanging="480"/>
        <w:jc w:val="left"/>
        <w:rPr>
          <w:caps w:val="false"/>
          <w:smallCaps w:val="false"/>
        </w:rPr>
      </w:pPr>
      <w:r>
        <w:rPr>
          <w:caps w:val="false"/>
          <w:smallCaps w:val="false"/>
        </w:rPr>
        <w:t> </w:t>
      </w:r>
    </w:p>
    <w:p>
      <w:pPr>
        <w:pStyle w:val="TextBody"/>
        <w:bidi w:val="0"/>
        <w:spacing w:before="0" w:after="0"/>
        <w:ind w:left="7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limited or insufficient intellectual property protection or difficulties obtaining, maintaining, protecting, or enforcing our intellectual property rights, including our trademarks and patents, or obtaining necessary intellectual property licenses from third parties;</w:t>
            </w:r>
          </w:p>
        </w:tc>
      </w:tr>
    </w:tbl>
    <w:p>
      <w:pPr>
        <w:pStyle w:val="TextBody"/>
        <w:bidi w:val="0"/>
        <w:spacing w:before="0" w:after="0"/>
        <w:ind w:left="760" w:right="0" w:hanging="48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105"/>
        <w:gridCol w:w="200"/>
        <w:gridCol w:w="34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instability or terrorist activities;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pandemics or epidemics that could result in decreased economic activity in certain markets, decreased use of our products and services, or in our decreased ability to import, export, or sell our products and services to existing or new customers in international markets;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exposure to liabilities under anti-corruption and anti-money laundering laws, including the U.S. Foreign Corrupt Practices Act (FCPA), U.S. domestic bribery laws, the UK Bribery Act, and similar laws and regulations in other jurisdictions;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burdens of complying with U.S. and non-U.S. export control laws and regulations, including Export Administration Regulations (EAR); or</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burdens of complying with laws and regulations related to taxation; and regulations, adverse tax burdens, and foreign exchange controls that could make it difficult to repatriate earnings and cash.</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invest substantial time and resources to further expand our international operations and are unable to do so successfully and in a timely manner, our business and results of operations will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wholly-owned subsidiary in Puerto Rico has been granted certain incentives under Act 60 (described below), and the validity of these incentives are conditioned on our continuous compliance with the terms and conditions of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Puerto Rican subsidiary has been granted various incentives under Act 60, including a reduced 1% income tax rate on its industrial development income and a 15 year exemption term from (i) December 23, 2024 for income tax purposes, (ii) January 1, 2024 for real and personal property tax purposes, and (iii) January 1, 2025 for municipal license tax purposes. The validity of these tax incentives is conditioned on our Puerto Rican subsidiary’s continuous compliance with the terms and conditions of the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entered into, or expect to enter into, various arrangements with our subsidiary in Puerto Rico regarding the intercompany provision of services. Applicable taxing authorities could challenge the prices for these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or intend to enter into, several contractual arrangements with our Puerto Rican subsidiary. We have made, or intend to make, loans to our Puerto Rican subsidiary and charge market-rate interest on those loans. Our Puerto Rican subsidiary is expected to pay us for corporate services and to pay us royalties in exchange for the use of certain intellectual property. We intend to use valid pricing methodologies to establish arm’s length prices for these arrangements. However, a taxing authority could challenge whether the terms of these arrangements are arm’s length and could require us to make a “transfer pricing” adjustment and assess us for additional taxes. Additionally, under applicable United States tax laws, income of the Puerto Rican subsidiary may be taxable to us on a current basis, even if cash is not distributed from the subsidiary. If our “transfer pricing” is challenged, it could increase the amount of such taxable income. Similar concerns should be expected to apply to our planned subsidiaries in Europe and India, if and when established.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Regulatory or Compliance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applicable tax laws, regulations or administrative interpretations thereof may materially adversely affect our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adversely affected by changes in applicable tax laws, regulations, or administrative interpretations thereof. Changes could be enacted in the future to increase the corporate tax rate, limit further the deductibility of interest or effect other changes that could have a material adverse effect on the Company’s business, results of operations and financial condition. In addition, our effective tax rate and tax liability are based on the application of current income tax laws, regulations, and treaties. These laws, regulations and treaties are complex, and the manner in which they apply to us and our diverse set of business arrangements is often open to interpretation. Significant management judgment is required in determining the Company’s provision for income taxes, its deferred tax assets and liabilities and any valuation allowance recorded against its net deferred tax assets. The tax authorities could challenge our interpretation of laws, regulations, and treaties, resulting in additional tax liability or adjustment to its income tax provision that could increase its effective tax rate. Changes to tax laws may also adversely affect our ability to attract and retain key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anti-corruption and anti-money laundering laws, including the FCPA and similar laws associated with our activities outside of the United States, could subject us to penalties and other adverse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 global business and may have direct or indirect interactions with officials and employees of government agencies or state-owned or affiliated entities. We are subject to the Foreign Corrupt Practices Act, or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parties or representatives fail to comply with these laws and governmental authorities in the United States and elsewhere could seek to impose substantial civil and/or criminal fines and penalties which could have a material adverse effect on our business, reputation,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begun to implement an anti-corruption compliance program and policies, procedures and training designed to foster compliance with these laws; however, our employees, contractors, and agents, and companies to which we outsource some of our business operations, may take actions in violation of our policies or applicable law. Any such violation could have an adverse effect on our reputation, business, operating results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federal government or independent standards organizations may implement significant regulations or standards that could adversely affect our ability to produce or market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transmit radio frequency waves, the transmission of which is governed by the rules and regulations of the Federal Communications Commission (FCC), as well as other federal and state agencies. Our ability to design, develop and sell our products will continue to be subject to these rules and regulations, as well as many other federal, state, local and foreign rules and regulations, for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Dot Cloud SaaS platform may become subject to independent industry standards. The implementation of unfavorable regulations or industry standards, or unfavorable interpretations of existing regulations by courts or regulatory bodies, could require us to incur significant compliance costs, cause the development of the affected products to become impractical, or otherwise adversely affect our ability to produce or market our solution. The adoption of new industry standards applicable to our products may require us to engage in rapid product development efforts that would cause us to incur higher expenses than we anticipated. In some circumstances, we may not be able to comply with such standards, which could materially and adversely affect our ability to generate revenues through the sale of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laws and regulations applicable to our business could subject us to fines and penalties and could also cause us to lose customers or otherwise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regulation by various federal, state, local, and foreign governmental agencies, including agencies responsible for monitoring and enforcing compliance with various legal obligations, covering topics including privacy and data protection, telecommunications, intellectual property, employment and labor, workplace safety, the environment, consumer protection, governmental trade sanctions, import and export controls, anti-corruption and anti-bribery, securities, and tax. In certain jurisdictions, these regulatory requirements may be more stringent than in the United States. These laws and regulations impose added costs on our business. Noncompliance with applicable regulations or requirements could subject us to:</w:t>
      </w:r>
    </w:p>
    <w:p>
      <w:pPr>
        <w:pStyle w:val="TextBody"/>
        <w:bidi w:val="0"/>
        <w:spacing w:before="0" w:after="0"/>
        <w:ind w:left="0" w:right="0" w:firstLine="36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105"/>
        <w:gridCol w:w="200"/>
        <w:gridCol w:w="42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investigations, enforcement actions, and sanctions;</w:t>
            </w:r>
          </w:p>
        </w:tc>
      </w:tr>
    </w:tbl>
    <w:p>
      <w:pPr>
        <w:pStyle w:val="TextBody"/>
        <w:bidi w:val="0"/>
        <w:spacing w:before="0" w:after="0"/>
        <w:ind w:left="760" w:right="0" w:hanging="48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105"/>
        <w:gridCol w:w="200"/>
        <w:gridCol w:w="40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mandatory changes to our solutions and services;</w:t>
            </w:r>
          </w:p>
        </w:tc>
      </w:tr>
    </w:tbl>
    <w:p>
      <w:pPr>
        <w:pStyle w:val="TextBody"/>
        <w:bidi w:val="0"/>
        <w:spacing w:before="0" w:after="0"/>
        <w:ind w:left="760" w:right="0" w:hanging="48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105"/>
        <w:gridCol w:w="200"/>
        <w:gridCol w:w="36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disgorgement of profits, fines, and damages;</w:t>
            </w:r>
          </w:p>
        </w:tc>
      </w:tr>
    </w:tbl>
    <w:p>
      <w:pPr>
        <w:pStyle w:val="TextBody"/>
        <w:bidi w:val="0"/>
        <w:spacing w:before="0" w:after="0"/>
        <w:ind w:left="760" w:right="0" w:hanging="48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105"/>
        <w:gridCol w:w="200"/>
        <w:gridCol w:w="35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civil and criminal penalties or injunctions;</w:t>
            </w:r>
          </w:p>
        </w:tc>
      </w:tr>
    </w:tbl>
    <w:p>
      <w:pPr>
        <w:pStyle w:val="TextBody"/>
        <w:bidi w:val="0"/>
        <w:spacing w:before="0" w:after="0"/>
        <w:ind w:left="760" w:right="0" w:hanging="48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105"/>
        <w:gridCol w:w="200"/>
        <w:gridCol w:w="47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claims for damages by our customers or channel partners;</w:t>
            </w:r>
          </w:p>
        </w:tc>
      </w:tr>
    </w:tbl>
    <w:p>
      <w:pPr>
        <w:pStyle w:val="TextBody"/>
        <w:bidi w:val="0"/>
        <w:spacing w:before="0" w:after="0"/>
        <w:ind w:left="760" w:right="0" w:hanging="48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05"/>
        <w:gridCol w:w="200"/>
        <w:gridCol w:w="20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termination of contracts;</w:t>
            </w:r>
          </w:p>
        </w:tc>
      </w:tr>
    </w:tbl>
    <w:p>
      <w:pPr>
        <w:pStyle w:val="TextBody"/>
        <w:bidi w:val="0"/>
        <w:spacing w:before="0" w:after="0"/>
        <w:ind w:left="760" w:right="0" w:hanging="48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105"/>
        <w:gridCol w:w="200"/>
        <w:gridCol w:w="32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of intellectual property rights; and</w:t>
            </w:r>
          </w:p>
        </w:tc>
      </w:tr>
    </w:tbl>
    <w:p>
      <w:pPr>
        <w:pStyle w:val="TextBody"/>
        <w:bidi w:val="0"/>
        <w:spacing w:before="0" w:after="0"/>
        <w:ind w:left="760" w:right="0" w:hanging="48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05"/>
        <w:gridCol w:w="200"/>
        <w:gridCol w:w="62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temporary or permanent debarment from sales to government organizations.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governmental sanctions are imposed, or if we do not prevail in any possible civil or criminal litigation, our business, financial condition, and results of operations could be adversely affected. In addition, responding to any action will likely result in a significant diversion of our management’s attention and resources and an increase in professional fees. Enforcement actions and sanctions could materially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companies in the technology industry have recently experienced increased regulatory scrutiny. Any reviews by regulatory agencies or legislatures may result in substantial regulatory fines, changes to our business practices, and other penalties, which could negatively affect our business and results of operations. Changes in social, political, and regulatory conditions or in laws and policies governing a wide range of topics may cause us to change our business practices. Further, our expansion into a variety of new use cases for our solutions could also raise a number of new regulatory issues. These factors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comply with the requirements of applicable environmental legislation and regulation could have a material adverse effect on our revenue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For example, the European Union has issued two directives relating to chemical substances in electronic products. The Waste Electrical and Electronic Equipment Directive (WEEE) makes producers of certain electrical and electronic equipment financially responsible for the collection, reuse, recycling, treatment and disposal of equipment placed in the European Union market. The Restrictions of Hazardous Substances Directive (RoHS) bans the use of certain hazardous materials in electrical and electronic equipment which are put on the market in the European Union. In the future, various countries, including the United States or other state or local governments, may adopt further environmental compliance programs and requirements. If we fail to comply with these regulations in connection with the manufacture of our devices, we may face regulatory fines, changes to our business practices, and other penalties, and may not be able to sell our devices in jurisdictions where these regulations apply, which could have a material adverse effect on our revenue and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stringent and changing laws, regulations, standards, and contractual obligations related to privacy, data protection, and data security. Any actual or perceived failure to comply with such obligations could harm our business. We receive, collect, store, process, transfer, and use personal information and other data relating to users of our solutions, our employees and contractors, and other persons. For example, certain of our solutions collect and store facial recognition data, which is subject to heightened sensitivity and regulation. We have legal and contractual obligations regarding the protection of confidentiality and appropriate use of certain data, including facial recognition data and other personal information. We are subject to numerous federal, state, local, and international laws, directives, and regulations regarding privacy, data protection, and data security and the collection, storing, sharing, use, processing, transfer, disclosure, and protection of personal information and other data, the scope of which are changing, subject to differing interpretations, and may be inconsistent across jurisdictions or conflict with other legal and regulatory requirements. We are also subject to certain contractual obligations to third parties related to privacy, data protection and data security. We strive to comply with our applicable policies and applicable laws, regulations, contractual obligations, and other legal obligations relating to privacy, data protection, and data security to the extent possible.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security or disclosure of data, or their interpretation, or any changes regarding the manner in which the consent of users or other data subjects for the collection, use, retention or disclosure of such data must be obtained, could increase our costs and require us to modify our solutions, possibly in a material manner, which we may be unable to complete, and may limit our ability to store and process user data or develop new solutions and features.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that there will continue to be new laws, regulations, and industry standards concerning privacy, data protection, and information security proposed and enacted in various jurisdictions. For example, the data protection landscape in Europe is currently evolving, resulting in possible significant operational costs for internal compliance and risks to our business. The European Union adopted the General Data Protection Regulation (GDPR), which became effective in May 2018, and contains numerous requirements and changes from previously existing European Union laws, including more robust obligations on data processors and heavier documentation requirements for data protection compliance programs by companies. Among other requirements, the GDPR regulates the transfer of personal data subject to the GDPR to third countries that have not been found to provide adequate protection to such personal data, including the United States. Failure to comply with the GDPR could result in penalties for noncompliance. The United Kingdom enacted legislation that substantially implements the GDPR and provides for substantial penalties in a manner similar to the GDPR. It is unclear how United Kingdom data protection laws or regulations will develop in the medium to longer term and how data transfers to and from the United Kingdom will be regulated. Further, some countries also are considering or have enacted legislation requiring local storage and processing of data that could increase the cost and complexity of delivering our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United States privacy laws are potentially relevant to our business, including the Federal Trade Commission Act, Controlling the Assault of Non-Solicited Pornography and Marketing Act (CAN-SPAM Act), and the Telephone Consumer Protection Act. Any actual or perceived failure to comply with these laws could result in a costly investigation or litigation resulting in potentially significant liability, loss of trust by our users, and a material and adverse impact on our reputation and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June 2018, California passed the California Consumer Privacy Act (CCPA), which provides new data privacy rights for California consumers and new operational requirements for covered companies. Specifically, the CCPA provides that covered companies must provide new disclosures to California consumers and afford such consumers new data privacy rights that include the right to request a copy from a covered company of the personal information collected about them, the right to request deletion of such personal information, and the right to request to opt-out of certain sales of such personal information. The CCPA became operative on January 1, 2020. The California Attorney General can enforce the CCPA, including seeking an injunction and civil penalties for violations. The CCPA also provides a private right of action for certain data breaches that is expected to increase data breach litigation. The CCPA may require us to modify our data practices and policies and to incur substantial costs and expenses in an effort to comply. A new privacy law, the California Privacy Rights Act (CPRA), was approved by California voters in the November 3, 2020 election and went into effect on January 1, 2023. The CPRA significantly modified the CCPA, resulting in further uncertainty and requiring us to incur additional costs and expenses in an effort to comply. A number of other states, such as Illinois, Texas, Washington, Virginia and Colorado, have implemented, or are considering implementing, their own versions of privacy legislation, which could increase our potential liability and cause us to incur substantial costs and expenses in an effort to comply and otherwise adversely affect our business. Some of those laws, including Illinois’ Biometric Information Privacy Act, also provide consumers with a private right of action for certain violations and large potential statutory damages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solution.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laws, regulations, or contractual provisions applicable to our business could cause us to lose government customers or our ability to contract with the U.S. and other governments.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which may prove costly to our business financially, divert management time, or limit our ability to continue selling subscriptions to our solution to our government customers. These laws and regulations may impose other added costs on our business, and failure to comply with these or other applicable regulations and requirements, including non-compliance in the past, could lead to claims for damages from our channel partners, penalties, and termination of contracts and suspension or debarment from government contracting for a period of time with government agencies. Any such damages, penalties, disruption, or limitation in our ability to do business with a government could materially and adversely impact our business, results of operations, financial condition, public perception, and growth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required to comply with governmental export control, economic sanctions and import laws and regulations. Our failure to comply with these laws and regulations could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Exports, reexports and certain transfers of our solution, including the underlying technology and source code and products, may be subject to governmental, including United States and European Union, export control and economic sanctions laws and regulations. Certain of our products, technologies, and services are, and may in the future be, subject to the EAR. U.S. export control laws and regulations and economic sanctions include various restrictions and license requirements, including prohibiting the shipment of certain products, technology, software and services to U.S. embargoed or sanctioned countries, governments, and persons. Complying with export control, economic sanctions and import laws and regulations for a particular sale may be time-consuming and may result in the delay or loss of sales opportunities. While we take precautions to prevent our platform, products, services, technology and software from being exported, reexported or transferred in violation of these laws,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privileges.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export control laws and regulations impose licensing, filing and reporting requirements on encryption and products, technologies and software that incorporate or use certain encryption. We incorporate encryption technology into certain of our products and our products, software and technology may require export authorization including by license, a license exception or other appropriate government authorization for export, reexport or transfer outside of the United States.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We cannot assure you that inadvertent violations of such laws have not occurred or will not occur in connection with the distribution of our products and services despite the precautions we take. Governmental regulation of encryption technology and regulation of imports or exports, or our failure to obtain any required import or export approval for our products, technology, software, services or platform could harm our international sales and adversely affect our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our channel or other partners fail to obtain any appropriate import, export, or re-export licenses or permits, we may also be harmed, become the subject of government investigations or penalties, and incur reputational harm. In addition, access to our supply chain in China may be further restricted by future U.S. actions taken against China, such as Chinese suppliers being targeted by U.S. sanctions or being added to lists of denied persons maintained by the U.S. Department of Commerce Bureau of Industry and Security (BIS). Changes in our platform, products, services, technology and software or changes in export and import regulations may create delays in the introduction of our Dot Cloud SaaS platform in international markets, prevent our customers with international operations from deploying our platform globally or, in some cases, prevent the export or import of our platform to certain countries, governments, or persons altogether. Any change in export or import laws or regulations, economic sanctions, or related legislation, shift in the enforcement or scope of existing laws and regulations, or change in the countries, governments, persons, or technologies targeted by such laws and regulations, could result in decreased use of our platform by, or in our decreased ability to export or sell subscriptions to our platform to, existing or potential customers with international operations. Any decreased use of our platform, products, services, technology and software or limitation on our ability to export or sell our platform would likely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related to conflict minerals may cause us to incur additional expenses and could limit the supply and increase the costs of certain metals used in the manufacturing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requirements under the Dodd-Frank Wall Street Reform and Consumer Protection Act of 2010 that require us to conduct due diligence on and disclose whether or not our products contain conflict minerals as defined under these provisions. The implementation of these requirements could adversely affect the sourcing, availability, and pricing of the materials used in the manufacture of components used in our devices. In addition, we incur additional costs to comply with the disclosure requirements, including costs related to conducting diligence procedures to determine the sources of minerals that may be used in or necessary for the production of our devices and, if applicable, potential changes to devices, processes, or sources of supply as a consequence of such due diligence activities. It is also possible that we may face reputational harm if we determine that certain of our devices contain minerals not determined to be conflict-free or if we are unable to alter our products, processes, or sources of supply to avoid such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 changes in the use of artificial intelligence are unpredictable and therefore we are not able to accurately predict how potential regulatory changes in artificial intelligence space may affect our current and future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Artificial intelligence (“AI”) is enabled by or integrated into some of our existing solutions and may play an increased role in our future offerings. The use of AI is a topic that has attracted the attention of lawmakers and regulators recently. It is hard to predict, especially in a presidential election year, what changes may come in this area in the near future. We encourage all investors to be vigilant to public policy developments in this area and will report on applicable constraints as they potentially emerge.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fines, penalties, or other costs, either directly or vicariously, if any of our partners, resellers, contractors, vendors or other third parties fail to adhere to their compliance obligations under our policies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 number of third parties to perform services or act on our behalf in areas like sales, network infrastructure, administration, research, and marketing. It may be the case that one or more of those third parties fail to adhere to our policies or violate applicable federal, state, local, and international laws, including but not limited to, those related to corruption, bribery, economic sanctions, and export/import controls. Despite the significant efforts in asserting and maintaining control and compliance by these third parties, we may be held fully liable for third parties’ actions as fully as if they were a direct employee of ours. Such liabilities may create harm to our reputation, inhibit our plans for expansion, or lead to extensive liability either to private parties or government regulators, which could adversely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Cybersecurity and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incidents or real or perceived errors, failures or bugs in our systems or our website could impair our operations, result in loss of personal customer information, damage our reputation, and brand, and harm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fundamentally in the data business, and as such have taken steps to use leading edge encryption and security measures in our IT deployments. However, the risk is real that our systems could be penetrated and cause business disruption and damage our brand in the marketplace.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experience a security breach or incident affecting our customers’ assets or data, our data or devices, our Dot Cloud SaaS platform, or other systems, our Dot Cloud SaaS platform may be perceived as not being secure, our reputation may be harmed and our business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we process, store, and transmit our customers’ information and data as well as our own, including in our Dot Cloud SaaS platform, networks, and other systems, and we rely on third parties that are not directly under our control to do so as well. We and many of our third-party partners, including our service providers, have security measures and disaster response plans in place to help protect our customers’ data, our data, our solution, and other systems against unauthorized access. However, we cannot assure you that these security measures and disaster response plans will be adequate or effective against all security threats, including those from malicious insiders, ransomware and other malware, denial of service and other attacks, and natural disasters and other sources of disruptions to the operation of our Dot Cloud SaaS platform or our or our third-party partners’ other operations, including power outages and telecommunications and other failures. Our or our third-party partners’ systems and security measures may be breached or otherwise fail as a result of malicious insiders or third-party action, including intentional misconduct by computer hackers, phishing and other means of social engineering, including fraudulent inducement of employees or customers to disclose sensitive information such as usernames or passwords, and employee error or malfeasance. Advances in computer capabilities, new technological discoveries or other developments may result in cyberattacks becoming more sophisticated and more difficult to detect. Any such breach or failure could result in the loss, corruption, or unavailability of data or someone acquiring our or our customers’ data or obtaining unauthorized access to our customers’ data, our data, our Dot Cloud SaaS platform, or other systems. Because a security breach could materialize and techniques used by malicious actors continue to evolve, we and our third-party partners may be unable to anticipate security breaches and implement adequate preventative measures. We incur significant costs in our efforts to detect and prevent security breaches and other security-related incidents and we expect to incur additional costs in connection with improvements to our systems and processes to prevent further breaches and incidents. In the event of a future breach or incident, we could be required to expend additional significant capital and other resources in an effort to prevent further breaches or incidents, which may require us to divert substantial resources. Moreover, we could be required or otherwise find it appropriate to expend significant capital and other resources to respond to, notify third parties of, and otherwise address the incident or breach and its root cause. Each of these could require us to divert substantial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also conduct attacks designed to temporarily deny customers access to our Dot Cloud SaaS platform or to disrupt or otherwise impede such access or our solutions’ performance. Any actual or perceived security breach or incident affecting our Dot Cloud SaaS platform or operations, or data we or our service providers process or maintain, denial of service attack or other disruption to our Dot Cloud SaaS platform could result in a loss of customer confidence in the security or integrity of our solution and damage to our brand and reputation, reduce the demand for our solution, disrupt our normal business operations, require us to spend material resources to correct the breach or incident and otherwise respond to it, expose us to legal liabilities including claims and litigation by private parties, regulatory investigations and other proceedings, and indemnity obligations, and materially and adversely affect our financial condition and results of operations. These risks will increase as we continue to grow the scale and functionality of our Dot Cloud SaaS platform and as we process, store, and transmit increasingly large amounts of information and data, which may include proprietary or confidential data or personal or identifying information. Our liability in connection with any security breaches, incidents, cyberattacks or other disruptions to our solution or operations may not be adequately covered by insurance, and such events may result in an increase in our costs for insurance or insurance not being available to us on economically feasible terms, or at all. Insurers may also deny us coverage as to any future claim. Any of these results could harm our growth prospects, financial condition, business and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Abuse or misuse of our internal platform controls and system tools could cause significant harm to our business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provide real-time support to our customers, we have created internal platform controls and system tools that are used by our employees to diagnose and correct customer issues. If our employees were to intentionally abuse these platform controls and system tools, for example, by interfering with or altering our devices or our customers’ connected assets and accessing our customers’ data, or otherwise violate company policies, our customers could be significantly harmed. For example, our employees have historically had access to customers’ data, and although we have implemented greater access controls over time, such controls may not ensure that our employees’ use of customers’ data is in all cases appropriate. Any abuse or misuse by our employees of our internal platform controls and system tools, even if inadvertent, could result in potential legal liability and reputational damage to both our customers and us. Accordingly, any improper conduct, abuse or misuse, intentional or otherwise, of our platform controls and system tools could significantly and adversely harm our business and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disruptions or performance problems associated with our technology and infrastructure, including interruptions, delays, or failures in service from our third-party data center hosting facilities and other third-party services,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adoption of our solution depends in part on the ability of our existing and potential customers to access our solution within a reasonable amount of time. We have experienced, and may in the future experience, disruptions, data loss, outages, and other performance problems with our solution and infrastructure due to a variety of factors, including infrastructure changes, introductions of new functionality, human or software errors, capacity constraints, or other security-related incidents. If our solution is unavailable or if our users and customers are unable to access our solution within a reasonable amount of time, or at all, we may experience a decline in renewals, damage to our brand, or other harm to our business. The impact upon our customers may be further heightened by the nature of our solution connecting to their physical infrastructure, which may impede or harm their fleet, equipment, sites or other physical operations.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critical business operations are concentrated in the United States and are supported by third-party hosting facilities. We are an automated business, and a disruption or failure of our systems, or of the third-party hosting facilities and other third-party services that we use, could cause delays in completing sales and providing services. For example, from time to time, our data center hosting facilities have experienced outages. Such disruptions or failures could also include a major earthquake, blizzard, fire, cyber-attack, act of terrorism, or other catastrophic event, or a decision by one of our third-party service providers to close facilities that we use without adequate notice, or other unanticipated problems with the third-party services that we use, including a failure to meet service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or performance problems with either our technology and infrastructure or our data center hosting facilities could,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result in the destruction or disruption of any of our critical business operations, controls, or procedures or information technology systems;</w:t>
            </w:r>
          </w:p>
        </w:tc>
      </w:tr>
    </w:tbl>
    <w:p>
      <w:pPr>
        <w:pStyle w:val="TextBody"/>
        <w:bidi w:val="0"/>
        <w:spacing w:before="0" w:after="0"/>
        <w:ind w:left="760" w:right="0" w:hanging="48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105"/>
        <w:gridCol w:w="200"/>
        <w:gridCol w:w="53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severely affect our ability to conduct normal business operations;</w:t>
            </w:r>
          </w:p>
        </w:tc>
      </w:tr>
    </w:tbl>
    <w:p>
      <w:pPr>
        <w:pStyle w:val="TextBody"/>
        <w:bidi w:val="0"/>
        <w:spacing w:before="0" w:after="0"/>
        <w:ind w:left="760" w:right="0" w:hanging="480"/>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105"/>
        <w:gridCol w:w="200"/>
        <w:gridCol w:w="62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result in a material weakness in our internal control over financial reporting;</w:t>
            </w:r>
          </w:p>
        </w:tc>
      </w:tr>
    </w:tbl>
    <w:p>
      <w:pPr>
        <w:pStyle w:val="TextBody"/>
        <w:bidi w:val="0"/>
        <w:spacing w:before="0" w:after="0"/>
        <w:ind w:left="760" w:right="0" w:hanging="48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05"/>
        <w:gridCol w:w="200"/>
        <w:gridCol w:w="43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cause our customers to terminate their subscriptions;</w:t>
            </w:r>
          </w:p>
        </w:tc>
      </w:tr>
    </w:tbl>
    <w:p>
      <w:pPr>
        <w:pStyle w:val="TextBody"/>
        <w:bidi w:val="0"/>
        <w:spacing w:before="0" w:after="0"/>
        <w:ind w:left="760" w:right="0" w:hanging="48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105"/>
        <w:gridCol w:w="200"/>
        <w:gridCol w:w="45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result in our issuing credits or paying penalties or fines;</w:t>
            </w:r>
          </w:p>
        </w:tc>
      </w:tr>
    </w:tbl>
    <w:p>
      <w:pPr>
        <w:pStyle w:val="TextBody"/>
        <w:bidi w:val="0"/>
        <w:spacing w:before="0" w:after="0"/>
        <w:ind w:left="760" w:right="0" w:hanging="48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05"/>
        <w:gridCol w:w="200"/>
        <w:gridCol w:w="26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harm our brand and reputation;</w:t>
            </w:r>
          </w:p>
        </w:tc>
      </w:tr>
    </w:tbl>
    <w:p>
      <w:pPr>
        <w:pStyle w:val="TextBody"/>
        <w:bidi w:val="0"/>
        <w:spacing w:before="0" w:after="0"/>
        <w:ind w:left="760" w:right="0" w:hanging="48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105"/>
        <w:gridCol w:w="200"/>
        <w:gridCol w:w="61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adversely affect our renewal rates or our ability to attract new customers; or</w:t>
            </w:r>
          </w:p>
        </w:tc>
      </w:tr>
    </w:tbl>
    <w:p>
      <w:pPr>
        <w:pStyle w:val="TextBody"/>
        <w:bidi w:val="0"/>
        <w:spacing w:before="0" w:after="0"/>
        <w:ind w:left="760" w:right="0" w:hanging="48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105"/>
        <w:gridCol w:w="200"/>
        <w:gridCol w:w="45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cause our solution to be perceived as not being secure.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above could adversely affect our business, financial condition, and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prevent or address the misappropriation of our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third parties may misappropriate our data through website scraping, robots or other means and aggregate this data on their websites with data from other companies. In addition, copycat websites or online apps may misappropriate data and attempt to imitate our brand or the functionality of our website. If we become aware of such websites or online apps, we intend to employ technological or legal measures in an attempt to halt their operations. However, we may be unable to detect all such websites or online apps in a timely manner and, even if we could, technological and legal measures may be insufficient to halt their operations. In some cases, particularly in the case of websites or online apps operating outside of the United States, our available remedies may not be adequate to protect us against the effect of the operation of such websites or online apps. Regardless of whether we can successfully enforce our rights against the operators of these websites or online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third-party software for certain essential financial and operational services, and a failure or disruption in these services could materially and adversely affect our ability to manage our business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software to provide many essential financial and operational services to support our business, including enterprise resource planning, customer relationship management, and human capital management. Many of these vendors are less established and have shorter operating histories than traditional software vendors. Moreover, many of these vendors provide their services to us via a cloud-based model instead of software that is installed on our premises. As a result, we depend upon these vendors to provide us with services that are always available and are free of errors or defects that could cause disruptions in our business processes. Any failure by these vendors to do so, or any disruption in our ability to access the Internet, would materially and adversely affect our ability to effectively manage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protect our proprietary technology and intellectual property rights could substantially harm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to a significant degree on our ability to protect our proprietary technology, methodologies, know-how, and branding. We rely on a combination of trademarks, copyrights, patents, trade secrets and other intellectual property laws, contractual restrictions, and technical organizational security and confidentiality procedures to establish and protect our proprietary rights. However, the steps we take to protect our intellectual property rights may be limited or inadequate. For instance, we will not be able to protect our intellectual property rights if we are unable to enforce our rights or if we do not detect unauthorized use of our intellectual property rights, or unauthorized or unlawful use of our software, technology or intellectual property rights. We also cannot guarantee that our intellectual property rights will provide competitive advantages to us, that our ability to assert our intellectual property rights against potential competitors or to settle current or future disputes will not be limited by our relationships with third parties, that any of our pending or future patent applications will have the coverage originally sought, or that we will not lose the ability to assert our intellectual property rights against or to license our technology to others and collect royalties or other payments. Further, the laws of some countries may not be as protective of intellectual property rights as those in the United States, and mechanisms for enforcement of intellectual property rights may be inadequate.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despite our precautions, it may be possible for unauthorized third parties to copy our products, use information that we regard as proprietary to create offerings that compete with ours, or infringe upon or misappropriate our intellectual property. There is also no guarantee that third parties will abide by the terms of our agreements or that we will be able to adequately enforce our contractual rights. We may also be unable to prevent third parties from acquiring or using domain names or trademarks that are similar to, infringe upon, or diminish the value of our trademarks and other proprietary rights, thereby impeding our ability to build brand identity and possibly leading to potential confusion in the market and damage to our reputation and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protect our intellectual property rights adequately, our competitors or other third parties may gain access to our proprietary technology and our business may be harmed. In addition, defending our intellectual property rights might entail significant resources and expenses, as detailed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our patents or patent applications will be enforceable or otherwise upheld as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patents, trademarks, or other intellectual property rights that we have obtained or may obtain may be challenged by others or invalidated, circumvented, abandoned or lapse. As of December 31, 2025, our patent portfolio consisted of 2 issued U.S. patents, and 2 U.S. patent applications pending for examination. As of December 31, 2025, we did not have any non-U.S. patents or patent applications. There can be no assurance that our patent applications will result in issued patents. Even if we continue to seek patent protection in the future, we may be unable to obtain further patent protection for our technology. There can also be no assurance that our patents or application will be equally enforceable or otherwise protected by the laws of non-U.S. jurisdictions.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given the costs, effort, risks and downside of obtaining patent protection, including the requirement to ultimately disclose the invention to the public, we may choose not to seek patent protection for certain innovations; however, such patent protection could later on prove to be important to our business. Further, any patents may not provide us with competitive advantages, or may be successfully challenged by third parties. Furthermore, legal standards relating to the validity, enforceability, and scope of protection of intellectual property rights are uncertain.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Confidentiality agreements with employees and others may not adequately prevent disclosure of trade secrets and other proprietary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our trade secrets, confidential information and distribution of our proprietary information, we generally enter into confidentiality, non-compete, proprietary, and invention assignment agreements with our employees and consultants and enter into confidentiality agreements with other parties. We also have entered into confidentiality agreements to protect our confidential information delivered to third parties for research and other purposes. No assurance can be given that these agreements will be effective in controlling access to trade secrets, confidential information and distribution of our proprietary information, especially in certain U.S. states and countries that are less willing to enforce such agreements. Further, these agreements may not prevent our competitors from independently developing technologies that are substantially equivalent or superior to our products. In addition, others may independently discover our trade secrets and confidential information, and in such cases we could not assert any trade secret rights against such parties. Costly and time-consuming litigation could be necessary to enforce and determine the scope of our trade secret rights and related confidentiality and nondisclosure provisions, and failure to obtain or maintain trade secret protection, or our competitors’ obtainment of our trade secrets or independent development of unpatented technology similar to ours or competing technologies, could adversely affect our competitive business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protect our intellectual property rights and proprietary technology,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intellectual property rights and proprietary technology against unauthorized copying or use, as well as any costly litigation or diversion of our management’s attention and resources, could delay further sales or the implementation of our products, impair the functionality of our products, delay introductions of new products, result in our substituting inferior or more costly technologies into our products, or injure our brand and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intellectual property disputes, which are costly and may subject us to significant liability and increased costs of doing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in the future claim that our operations and solutions infringe their intellectual property rights, and such claims may result in legal claims against our customers and us. These claims may damage our brand and reputation, harm our customer relationships, and result in liability for us. We expect the number of such claims will increase as the number of solutions and the level of competition in our market grows, the functionality of our solution overlaps with that of other products and services, and the volume of issued patents and patent applications continues to increase. We may have agreed in certain customer contracts to indemnify customers, and have accepted tenders for indemnification from certain of such customers, for expenses or liabilities they incur as a result of third-party intellectual property infringement claims associated with our solution. To the extent that any claim arises as a result of third-party technology we use in our solutions, we may be unable to recover from the appropriate third party any expenses or other liabilities that we incur.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in the software and technology industries, including some of our current and potential competitors, own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than we do. Furthermore, patent holding companies, non-practicing entities, and other patent owners that are not deterred by our existing intellectual property protections may seek to assert patent claims against us. Third parties may assert patent, copyright, trademark, or other intellectual property rights against us, our channel partners, our technology partners, or our customers. We may be subject to litigation in the future, that claims we have misappropriated, misused, or infringed other parties’ intellectual property rights, and, to the extent we gain greater market visibility, we face a higher risk of being the subject of intellectual property infringement claims, which is not uncommon in our industry. These and other possible disagreements could lead to delays in the collaborative research, development or commercialization of our solutions, or could require or result in costly and time-consuming litigation that may not be decided in our favor. Any such event could materially and adversely affect our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third-party intellectual property rights, including issued or pending patents, that cover significant aspects of our technologies or business methods. In addition, if we acquire or license technologies from third parties, we may be exposed to increased risk of being the subject of intellectual property infringement due to, among other things, our lower level of visibility into the development process with respect to such technology and the care taken to safeguard against infringement risks. These claims may damage our brand and reputation, harm our customer relationships, and create liability for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and may require us to indemnify our customers for liabilities they incur as a result of such claims. These claims could also result in our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solution. If we cannot license or develop alternative non-infringing substitutes for any infringing technology used in any aspect of our business, we would be forced to limit or stop sales of our solution and may be unable to compete effectively. Any of these results would adversely affect our business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exposure to risks associated with the use of intellectual property may be increased as a result of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risks associated with the use of intellectual property may be increased as a result of acquisitions, as we have a lower level of visibility into the development process with respect to acquired technology or the care taken to safeguard against infringement risks. Third parties may make infringement and similar or related claims after we have acquired technology that had not been asserted prior to our acquisition. Any of these results would harm our business, results of operations and financial condition. These risks have been amplified by the increase in third parties whose sole or primary business is to assert such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Issues in the use of artificial intelligence (“AI”) in our solution may result in reputational harm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is enabled by or integrated into some of our existing solutions and may play an increased role in our future offerings. As with many developing technologies, AI presents risks and challenges that could affect its further development, adoption, and use, and therefore our business. AI algorithms may be flawed. Datasets may be insufficient, of poor quality, or contain biased information. Inappropriate or controversial data practices by data scientists, engineers, and end-users of our systems could impair the acceptance of AI solutions. If the recommendations, forecasts, or analyses that AI applications assist in producing are or are alleged to be deficient or inaccurate, we could be subjected to competitive harm, potential legal liability, and brand or reputational harm. Some AI scenarios may also present ethical issues. Though our business practices are designed to mitigate many of these risks, if we enable or offer AI solutions that are controversial because of their purported or real impact on human rights, privacy, employment, or other social issues, we may experience brand or reputational harm.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open source software could negatively affect our ability to sell subscriptions to our Dot Cloud SaaS platform and subject us to possible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Dot Cloud SaaS platform incorporates open source software, and we expect to continue to incorporate open source software in our Dot Cloud SaaS platform in the future. Few of the licenses applicable to open source software have been interpreted by courts, and there is a risk that these licenses could be construed in a manner that could impose unanticipated conditions or restrictions on our ability to commercialize our solution or other products we may develop in the future. We also rely upon third-party, non-employee contractors to perform certain development services on our behalf, and we cannot be certain that such contractors will comply with our review processes or not incorporate software code made available under open source licenses into our proprietary code base.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found to have used open source software in our software in a manner that is inconsistent with the terms of the applicable license or our current policies and procedures. For example, certain kinds of open source licenses may require that any person who creates a product or service that contains, links to, or is derived from software that was subject to an open source license must also make their own product or service subject to the same open source license. If these requirements are found to apply to our products and we fail to comply with them, we may be subject to certain requirements, including requirements that we offer additional portions of our solutions for no cost, that we make available additional source code for modifications or derivative works we create based upon, incorporating or using the open source software, and that we license such modifications or derivative works under the terms of applicable open source licenses.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or required to comply with onerous conditions or restrictions on these products, which could disrupt the distribution and sale of these products.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Moreover, we cannot assure you that our processes for controlling our use of open source software in our solution will be effective. In any of these events, we and our customers could be required to seek licenses from third parties in order to continue offering our products, to re-engineer our products, or to discontinue the sale of our products in the event re-engineering cannot be accomplished on a timely basis. We and our customers may also be subject to suits by parties claiming infringement, misappropriation or violation due to the reliance by our solutions on certain open source software, and such litigation could be costly for us to defend or subject us to an injunction.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open source projects provided on an “as-is” basis have known vulnerabilities and architectural instabilities which, if used in our product and not properly addressed, could negatively affect the security or performance of our product. Any of the foregoing could require us to devote additional research and development resources to re-engineer our solutions, could result in customer dissatisfaction, and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Indemnity provisions in various agreements potentially expose us to substantial liability for intellectual property infringement, misappropriation, violation, and other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customers and other third parties have in some cases included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solution or other contractual obligations. Large indemnity payments could harm our business, financial condition, and results of operations. Pursuant to certain agreements, we do not have a cap on our liability and any payments under such agreements would harm our business, financial condition, and results of operations. Although we normally contractually limit our liability with respect to some of these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the availability of licenses to third-party technology that may be difficult to replace or that may cause errors or delay implementation of our solution should we not be able to continue or obtain a commercially reasonable license to such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Dot Cloud SaaS platform relies on software or other intellectual property licensed from third parties. It may be necessary in the future to renew licenses relating to various aspects of these solutions or to seek new licenses for existing or new solutions. There can be no assurance that the necessary licenses would be available on commercially acceptable terms, if at all. Third parties may terminate their licenses with us for a variety of reasons, including actual or perceived failures or breaches of contractual commitments, or they may choose not to renew their licenses with us. In addition, we may be subject to liability if third-party software that we license is found to infringe, misappropriate, or otherwise violate intellectual property or privacy rights of others. The loss of, or inability to obtain, certain third-party licenses or other rights or to obtain such licenses or rights on favorable terms, or the need to engage in litigation regarding these matters, could result in product roll-backs or delays in product releases until equivalent technology can be identified, licensed or developed, if at all, and integrated into our solutions, and it may have a material adverse effect on our business, financial condition, and results of operations. Moreover, the use by our solution of software or other intellectual property licensed from third parties on a nonexclusive basis could limit our ability to differentiate our solution from products of our competitors and could inhibit our ability to provide the current level of service to existing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or the loss of third-party licenses could lead to our solutions becoming inoperable or the performance of our solutions being materially reduced, resulting in the potential need to incur additional research and development costs to ensure continued performance of our solutions or a material increase in the costs of licensing, and we may experience decreased demand for our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and trading volume of our Common Stock and Public Warrants may be highly volatile and could decline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markets worldwide experience significant price and volume fluctuations. This market volatility, as well as general economic, market or political conditions, could reduce the market price of our Common Stock and Public Warrants in spite of our operating performance. We cannot assure you that the market price of our Common Stock and Public Warrants will not fluctuate widely or decline significantly in the future in response to a number of factors, including any of the risks presented under this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or presented elsewhere in this prospectus, and, among others, the following:</w:t>
      </w:r>
    </w:p>
    <w:p>
      <w:pPr>
        <w:pStyle w:val="TextBody"/>
        <w:bidi w:val="0"/>
        <w:spacing w:before="0" w:after="0"/>
        <w:ind w:left="0" w:right="0" w:hanging="0"/>
        <w:jc w:val="both"/>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105"/>
        <w:gridCol w:w="200"/>
        <w:gridCol w:w="81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operating and financial performance, quarterly or annual earnings relative to similar companies;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publication of research reports or news stories about the us, our competitors or our industry, or positive or negative recommendations or withdrawal of research coverage by securities analysts;</w:t>
            </w:r>
          </w:p>
        </w:tc>
      </w:tr>
    </w:tbl>
    <w:p>
      <w:pPr>
        <w:pStyle w:val="TextBody"/>
        <w:bidi w:val="0"/>
        <w:spacing w:before="0" w:after="0"/>
        <w:ind w:left="760" w:right="0" w:hanging="480"/>
        <w:jc w:val="left"/>
        <w:rPr>
          <w:caps w:val="false"/>
          <w:smallCaps w:val="false"/>
        </w:rPr>
      </w:pPr>
      <w:r>
        <w:rPr>
          <w:caps w:val="false"/>
          <w:smallCaps w:val="false"/>
        </w:rPr>
        <w:t> </w:t>
      </w:r>
    </w:p>
    <w:p>
      <w:pPr>
        <w:pStyle w:val="TextBody"/>
        <w:bidi w:val="0"/>
        <w:spacing w:before="0" w:after="0"/>
        <w:ind w:left="7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760" w:right="0" w:hanging="48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105"/>
        <w:gridCol w:w="200"/>
        <w:gridCol w:w="79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public’s reaction to our press-releases, other public announcements and filings with the SEC;</w:t>
            </w:r>
          </w:p>
        </w:tc>
      </w:tr>
    </w:tbl>
    <w:p>
      <w:pPr>
        <w:pStyle w:val="TextBody"/>
        <w:bidi w:val="0"/>
        <w:spacing w:before="0" w:after="0"/>
        <w:ind w:left="760" w:right="0" w:hanging="48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105"/>
        <w:gridCol w:w="200"/>
        <w:gridCol w:w="82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us or our competitors of acquisitions, business plans or commercial relationships;</w:t>
            </w:r>
          </w:p>
        </w:tc>
      </w:tr>
    </w:tbl>
    <w:p>
      <w:pPr>
        <w:pStyle w:val="TextBody"/>
        <w:bidi w:val="0"/>
        <w:spacing w:before="0" w:after="0"/>
        <w:ind w:left="760" w:right="0" w:hanging="48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105"/>
        <w:gridCol w:w="200"/>
        <w:gridCol w:w="44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major change in the Board or senior management;</w:t>
            </w:r>
          </w:p>
        </w:tc>
      </w:tr>
    </w:tbl>
    <w:p>
      <w:pPr>
        <w:pStyle w:val="TextBody"/>
        <w:bidi w:val="0"/>
        <w:spacing w:before="0" w:after="0"/>
        <w:ind w:left="760" w:right="0" w:hanging="48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105"/>
        <w:gridCol w:w="200"/>
        <w:gridCol w:w="79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of Common Stock by the Company, our directors, executive officers, principal shareholders;</w:t>
            </w:r>
          </w:p>
        </w:tc>
      </w:tr>
    </w:tbl>
    <w:p>
      <w:pPr>
        <w:pStyle w:val="TextBody"/>
        <w:bidi w:val="0"/>
        <w:spacing w:before="0" w:after="0"/>
        <w:ind w:left="760" w:right="0" w:hanging="48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105"/>
        <w:gridCol w:w="200"/>
        <w:gridCol w:w="80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 market reaction to any indebtedness we may incur or securities we may issue in the future;</w:t>
            </w:r>
          </w:p>
        </w:tc>
      </w:tr>
    </w:tbl>
    <w:p>
      <w:pPr>
        <w:pStyle w:val="TextBody"/>
        <w:bidi w:val="0"/>
        <w:spacing w:before="0" w:after="0"/>
        <w:ind w:left="760" w:right="0" w:hanging="48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105"/>
        <w:gridCol w:w="200"/>
        <w:gridCol w:w="62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 sales, hedging and other derivative transactions in our Common Stock;</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exposure to capital market risks related to changes in interest rates, realized investment losses, credit spreads, equity prices, foreign exchange rates and performance of insurance-linked investments;</w:t>
            </w:r>
          </w:p>
        </w:tc>
      </w:tr>
    </w:tbl>
    <w:p>
      <w:pPr>
        <w:pStyle w:val="TextBody"/>
        <w:bidi w:val="0"/>
        <w:spacing w:before="0" w:after="0"/>
        <w:ind w:left="760" w:right="0" w:hanging="48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105"/>
        <w:gridCol w:w="200"/>
        <w:gridCol w:w="57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creditworthiness, financial condition, performance and prospects;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dividend policy and whether dividends on our Common Stock have been, and are likely to be, declared and paid from time to time;</w:t>
            </w:r>
          </w:p>
        </w:tc>
      </w:tr>
    </w:tbl>
    <w:p>
      <w:pPr>
        <w:pStyle w:val="TextBody"/>
        <w:bidi w:val="0"/>
        <w:spacing w:before="0" w:after="0"/>
        <w:ind w:left="760" w:right="0" w:hanging="48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105"/>
        <w:gridCol w:w="200"/>
        <w:gridCol w:w="97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perceptions of the investment opportunity associated with our Common Stock relative to other investment alternatives;</w:t>
            </w:r>
          </w:p>
        </w:tc>
      </w:tr>
    </w:tbl>
    <w:p>
      <w:pPr>
        <w:pStyle w:val="TextBody"/>
        <w:bidi w:val="0"/>
        <w:spacing w:before="0" w:after="0"/>
        <w:ind w:left="760" w:right="0" w:hanging="48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05"/>
        <w:gridCol w:w="200"/>
        <w:gridCol w:w="28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or legal developments;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general market, economic, and political conditions, such as inflationary pressures, rising interest rates, potential recession, local and national elections, fuel prices, international currency fluctuations, corruption, political instability and acts of war or terrorism;</w:t>
            </w:r>
          </w:p>
        </w:tc>
      </w:tr>
    </w:tbl>
    <w:p>
      <w:pPr>
        <w:pStyle w:val="TextBody"/>
        <w:bidi w:val="0"/>
        <w:spacing w:before="0" w:after="0"/>
        <w:ind w:left="760" w:right="0" w:hanging="48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105"/>
        <w:gridCol w:w="200"/>
        <w:gridCol w:w="51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conditions or trends in our industry, geographies or customers;</w:t>
            </w:r>
          </w:p>
        </w:tc>
      </w:tr>
    </w:tbl>
    <w:p>
      <w:pPr>
        <w:pStyle w:val="TextBody"/>
        <w:bidi w:val="0"/>
        <w:spacing w:before="0" w:after="0"/>
        <w:ind w:left="760" w:right="0" w:hanging="48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105"/>
        <w:gridCol w:w="200"/>
        <w:gridCol w:w="71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accounting standards, policies, guidance, interpretations, or principles; and</w:t>
            </w:r>
          </w:p>
        </w:tc>
      </w:tr>
    </w:tbl>
    <w:p>
      <w:pPr>
        <w:pStyle w:val="TextBody"/>
        <w:bidi w:val="0"/>
        <w:spacing w:before="0" w:after="0"/>
        <w:ind w:left="760" w:right="0" w:hanging="48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105"/>
        <w:gridCol w:w="200"/>
        <w:gridCol w:w="49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threatened or actual litigation or government investigations.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broad market and industry factors may negatively affect the market price of our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or prospects. Any adverse determination in litigation could also subject us to significant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following the Business Combination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limited experience managing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industry or securities analysts publish about us or our business. We do not have any control over these analysts. Securities and industry analysts do not currently, and may never, publish research on us. If no securities or industry analysts commence coverage of us, the trading price of our shares would likely be negatively impacted. In the event securities or industry analysts-initiated coverage, and one or more of these analysts cease coverage of us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public company, we are subject to additional laws, regulations, and stock exchange listing standards, which impose additional costs on us and may strain our resources and divert our management’s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publicly traded securities, we are subject to the reporting requirements of the Exchange Act, the Sarbanes-Oxley Act, the Dodd-Frank Wall Street Reform and Consumer Protection Act of 2010, the listing requirements of the Nasdaq and other applicable securities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rules and regulations require that we adopt additional controls and procedures and disclosure, corporate governance and other practices thereby significantly increasing our legal, financial, and other compliance costs. These obligations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need to commit significant resources, hire additional staff, and provide additional management oversight. Furthermore, as a result of the disclosure of information in this prospectus and in our Exchange Act and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our Common Stock, fines, sanctions, other regulatory actions, and civil litigation, any of which could negatively affect the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meet the continued listing requirements of Nasdaq could result in a delisting of our Common Stock, which could have a material adverse effect on the liquidity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Capital Market. Nasdaq has requirements that a company must meet in order to remain listed on Nasdaq. In particular, Nasdaq rules require us to maintain a minimum bid price of $1.00 per share of our Common Stock. If the closing bid price of our Common Stock were to remain below $1.00 per share for 30 consecutive trading days or we do not meet other listing requirements, we would fail to be in compliance with Nasdaq listing standards. There can be no assurance that we will continue to meet the minimum bid price requirement, or any other requirement in the future. If we fail to meet the minimum bid price requirement, The Nasdaq Stock Market LLC may initiate the delisting process. In addition, we may be unable to meet other applicable Nasdaq listing requirements, including maintaining minimum levels of stockholders’ equity or market values of our Common Stock in which case, our Common Stock could be delisted. Such a delisting would likely have a negative effect on the liquidity and the market price of our Common Stock.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2026, the Company received deficiency notices from Nasdaq indicating that its Common Stock did not meet the minimum bid price, minimum market value of listed securities, and minimum publicly held share value requirements. The Company has been provided 180 days from the dates of the notices to regain compliance with these listing standards and intends to monitor its stock price and evaluate options to resolve the deficiencies. Failure to regain compliance could result in delisting, though the Company may seek to appeal any delisting determination.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provides that the Court of Chancery of the State of Delaware, or the federal district courts within the State of Delaware if the Court of Chancery does not have jurisdiction, will be the exclusive forum for substantially all disputes between us and our stockholders, which could limit our stockholders’ ability to obtain a favorable judicial forum for disputes with us or our directors, officers, or employees. These exclusive-forum provisions do not apply to claims under the Securities Act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directors, officers, employees or agents or our stockholders, (3) any action asserting a claim against us or any director or officer arising pursuant to any provision of the DGCL, our Charter or Bylaws, or (4) any other action asserting a claim that is governed by the internal affairs doctrine shall be the Court of Chancery of the State of Delaware or federal court located within the State of Delaware if the Court of Chancery does not have jurisdiction, in all cases subject to the court’s having jurisdiction over indispensable parties named as defendants. Section 22 of the Securities Act creates concurrent jurisdiction for federal and state courts over all suits brought to enforce any duty or liability created by the Securities Act, and accordingly, both state and federal courts have jurisdiction to entertain such Securities Act claims. To prevent having to litigate claims in multiple jurisdictions and the threat of inconsistent or contrary rulings by different courts, among other considerations, unless we consent in writing to the selection of an alternate forum, the federal courts will be the exclusive forum for the resolution of any complaint asserting a cause of action arising under the Securities Act. Our Charter does not address or apply to claims that arise under the Exchange Act; however,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and bylaws has been challenged in legal proceedings, and it is possible that, in connection with any action, a court could find the choice of forum provisions contained in our Charter and Bylaws to be inapplicable or unenforceable in such 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Charter and Bylaws to be inapplicable or unenforceable in an action, we may incur additional costs associated with resolving such action in other jurisdictions, which could harm our business, financial condition, and operating results.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quarterly operating results and other operating metrics may fluctuate from quarter to quarter, which makes these metrics difficult to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operating results and other operating metrics have fluctuated in the past and may continue to fluctuate from quarter to quarter.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pStyle w:val="TextBody"/>
        <w:bidi w:val="0"/>
        <w:spacing w:before="0" w:after="0"/>
        <w:ind w:left="0" w:right="0" w:firstLine="36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105"/>
        <w:gridCol w:w="200"/>
        <w:gridCol w:w="41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and attract new customers;</w:t>
            </w:r>
          </w:p>
        </w:tc>
      </w:tr>
    </w:tbl>
    <w:p>
      <w:pPr>
        <w:pStyle w:val="TextBody"/>
        <w:bidi w:val="0"/>
        <w:spacing w:before="0" w:after="0"/>
        <w:ind w:left="760" w:right="0" w:hanging="48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105"/>
        <w:gridCol w:w="200"/>
        <w:gridCol w:w="58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continued development and upgrading of our technology platform;</w:t>
            </w:r>
          </w:p>
        </w:tc>
      </w:tr>
    </w:tbl>
    <w:p>
      <w:pPr>
        <w:pStyle w:val="TextBody"/>
        <w:bidi w:val="0"/>
        <w:spacing w:before="0" w:after="0"/>
        <w:ind w:left="760" w:right="0" w:hanging="480"/>
        <w:jc w:val="left"/>
        <w:rPr>
          <w:caps w:val="false"/>
          <w:smallCaps w:val="false"/>
        </w:rPr>
      </w:pPr>
      <w:r>
        <w:rPr>
          <w:caps w:val="false"/>
          <w:smallCaps w:val="false"/>
        </w:rPr>
        <w:t> </w:t>
      </w:r>
    </w:p>
    <w:p>
      <w:pPr>
        <w:pStyle w:val="TextBody"/>
        <w:bidi w:val="0"/>
        <w:spacing w:before="0" w:after="0"/>
        <w:ind w:left="7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and success of new product, service, feature, and content introductions by us or our competitors or any other change in the competitive landscape of our market;</w:t>
            </w:r>
          </w:p>
        </w:tc>
      </w:tr>
    </w:tbl>
    <w:p>
      <w:pPr>
        <w:pStyle w:val="TextBody"/>
        <w:bidi w:val="0"/>
        <w:spacing w:before="0" w:after="0"/>
        <w:ind w:left="760" w:right="0" w:hanging="48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105"/>
        <w:gridCol w:w="200"/>
        <w:gridCol w:w="45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pricing pressure as a result of competition or otherwise;</w:t>
            </w:r>
          </w:p>
        </w:tc>
      </w:tr>
    </w:tbl>
    <w:p>
      <w:pPr>
        <w:pStyle w:val="TextBody"/>
        <w:bidi w:val="0"/>
        <w:spacing w:before="0" w:after="0"/>
        <w:ind w:left="760" w:right="0" w:hanging="48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105"/>
        <w:gridCol w:w="200"/>
        <w:gridCol w:w="34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delays or disruptions in our supply chain;</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errors in our forecasting of the demand for our products and services, which could lead to lower revenue or increased costs, or both;</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increases in marketing, sales, and other operating expenses that we may incur to grow and expand our operations and to remain competitive;</w:t>
            </w:r>
          </w:p>
        </w:tc>
      </w:tr>
    </w:tbl>
    <w:p>
      <w:pPr>
        <w:pStyle w:val="TextBody"/>
        <w:bidi w:val="0"/>
        <w:spacing w:before="0" w:after="0"/>
        <w:ind w:left="760" w:right="0" w:hanging="48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105"/>
        <w:gridCol w:w="200"/>
        <w:gridCol w:w="40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successful expansion into international markets;</w:t>
            </w:r>
          </w:p>
        </w:tc>
      </w:tr>
    </w:tbl>
    <w:p>
      <w:pPr>
        <w:pStyle w:val="TextBody"/>
        <w:bidi w:val="0"/>
        <w:spacing w:before="0" w:after="0"/>
        <w:ind w:left="760" w:right="0" w:hanging="48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105"/>
        <w:gridCol w:w="200"/>
        <w:gridCol w:w="44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diversification and growth of our revenue sources;</w:t>
            </w:r>
          </w:p>
        </w:tc>
      </w:tr>
    </w:tbl>
    <w:p>
      <w:pPr>
        <w:pStyle w:val="TextBody"/>
        <w:bidi w:val="0"/>
        <w:spacing w:before="0" w:after="0"/>
        <w:ind w:left="760" w:right="0" w:hanging="48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05"/>
        <w:gridCol w:w="200"/>
        <w:gridCol w:w="50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gross margins and operating margins;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constraints on the availability of consumer financing or increased down payment requirements to finance purchases of our products;</w:t>
            </w:r>
          </w:p>
        </w:tc>
      </w:tr>
    </w:tbl>
    <w:p>
      <w:pPr>
        <w:pStyle w:val="TextBody"/>
        <w:bidi w:val="0"/>
        <w:spacing w:before="0" w:after="0"/>
        <w:ind w:left="760" w:right="0" w:hanging="48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105"/>
        <w:gridCol w:w="200"/>
        <w:gridCol w:w="40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system failures or breaches of security or privacy;</w:t>
            </w:r>
          </w:p>
        </w:tc>
      </w:tr>
    </w:tbl>
    <w:p>
      <w:pPr>
        <w:pStyle w:val="TextBody"/>
        <w:bidi w:val="0"/>
        <w:spacing w:before="0" w:after="0"/>
        <w:ind w:left="760" w:right="0" w:hanging="48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105"/>
        <w:gridCol w:w="200"/>
        <w:gridCol w:w="90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 litigation judgments, settlements, or other litigation-related costs, including content costs for past use;</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legislative or regulatory environment, including with respect to insurance and consumer product regulations;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currency exchange rates and changes in the proportion of our revenue and expenses denominated in foreign currencies;</w:t>
            </w:r>
          </w:p>
        </w:tc>
      </w:tr>
    </w:tbl>
    <w:p>
      <w:pPr>
        <w:pStyle w:val="TextBody"/>
        <w:bidi w:val="0"/>
        <w:spacing w:before="0" w:after="0"/>
        <w:ind w:left="760" w:right="0" w:hanging="48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05"/>
        <w:gridCol w:w="200"/>
        <w:gridCol w:w="27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effective tax rate;</w:t>
            </w:r>
          </w:p>
        </w:tc>
      </w:tr>
    </w:tbl>
    <w:p>
      <w:pPr>
        <w:pStyle w:val="TextBody"/>
        <w:bidi w:val="0"/>
        <w:spacing w:before="0" w:after="0"/>
        <w:ind w:left="760" w:right="0" w:hanging="48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105"/>
        <w:gridCol w:w="200"/>
        <w:gridCol w:w="71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accounting standards, policies, guidance, interpretations, or principles; and</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business or macroeconomic conditions, including lower consumer confidence, recessionary conditions, increased unemployment rates, or stagnant or declining wages.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of the factors above or the cumulative effect of some of the factors above may result in significant fluctuations in our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establish and maintain effective internal controls in accordance with Section 404 of the Sarbanes-Oxley Act could have a material adverse effect on our business and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is not required to formally attest to the effectiveness of our internal control over financial reporting pursuant to Section 404 until the later of (i) the year following our first annual report required to be filed with the SEC or (ii) the date we are no longer an emerging growth company. At such time, our independent registered public accounting firm may issue a report that is adverse in the event it is not satisfied with the level at which our controls are documented, designed, or operating.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We could also become subject to investigations by the SEC, the stock exchange on which our securities are listed or other regulatory authorities, which could require additional financial and management resources. In addition, if we fail to remedy any material weakness, our financial statements could be inaccurate, and we could face restricted access to capital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Taking advantage of the reduced disclosure requirements applicable to “emerging growth companies” may make our Common Stock less attractive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JOBS Act provides that, so long as a company qualifies as an “emerging growth company,” it will,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exempt from the provisions of Section 404(b) of the Sarbanes-Oxley Act requiring that its independent registered public accounting firm provide an attestation report on the effectiveness of its internal control over financial reporting;</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exempt from the “say on pay” and “say on golden parachute” advisory vote requirements of the Dodd-Frank Wall Street Reform and Consumer Protection Act (the “</w:t>
            </w:r>
            <w:r>
              <w:rPr>
                <w:rFonts w:ascii="Times New Roman;Times;Serif" w:hAnsi="Times New Roman;Times;Serif"/>
                <w:b/>
                <w:i/>
                <w:sz w:val="20"/>
              </w:rPr>
              <w:t>Dodd-Frank Act</w:t>
            </w:r>
            <w:r>
              <w:rPr>
                <w:rFonts w:ascii="Times New Roman;Times;Serif" w:hAnsi="Times New Roman;Times;Serif"/>
                <w:sz w:val="20"/>
              </w:rPr>
              <w:t>”);</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exempt from certain disclosure requirements of the Dodd-Frank Act relating to compensation of its executive officers and be permitted to omit the detailed compensation discussion and analysis from proxy statements and reports filed under the Exchange Act; and</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exempt from any requirement that may be adopted by the PCAOB regarding mandatory audit firm rotation or be required to deliver a supplement to the auditor’s report providing additional information about the audit and the financial statements (i.e., an auditor discussion and analysis).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take advantage of each of the exemptions described above.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 We will remain an emerging growth company until the earliest of (i) the last day of the fiscal year (a) following November 23, 2026, the fifth anniversary of the closing of SUAC’s IPO, (b) in which we have total annual gross revenue of at least $1.235 billion or (c) in which the Company is deemed to be a large accelerated filer, which means the market value of our Common Stock that are held by non-affiliates exceeds $700 million as of the last business day of our prior second fiscal quarter and we have been subject to the Exchange Act’s reporting requirements for at least 12 months and have filed at least one annual report, and (ii) the date on which we have issued more than $1.0 billion in non-convertible debt during the prior three-year period. We cannot predict if investors will find our Common Stock less attractive if we elect to rely on these exemptions, or if taking advantage of these exemptions would result in less active trading or more volatility in the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incur significant legal, accounting, and other expenses that we did not incur as a private company. We are currently subject to or may become subject to the reporting requirements of the Exchange Act, the Sarbanes-Oxley Act of 2002, or the Sarbanes-Oxley Act, the rules subsequently implemented by the SEC, the rules and regulations of the listing standards of the Nasdaq, and other applicable securities rules and regulations. Compliance with these rules and regulations will likely strain our financial and management systems, internal controls, and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If our internal control over financial reporting is not effective, we may fail to detect errors or fraud on a timely basis, and our financial statements could be materially misstated.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and may identify additional material weaknesses in the future or fail to maintain an effective system of internal control. A material weakness is a deficiency, or combination of deficiencies, in internal control over financial reporting such that there is a reasonable possibility that a material misstatement of our financial statements will not be prevented or detected on a timely basis. The existence of material weaknesses could adversely affect investor confidence in our reported financial information and our ability to access the capital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engaged additional resources to assist us in complying with these requirements, our finance team is small and we may need to hire more employees in the future, or engage outside consultants, which will increase our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the Board and qualified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raise capital in the future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operations may consume resources faster than we anticipate. In the future, we may need to raise additional funds through the issuance of new equity securities, debt, or a combination of both. However, the lapse or waiver of any lock up restrictions or any sale or perception of a possible sale by our stockholders, and any related decline in the market price of our Common Stock, could impair our ability to raise capital. Separately, additional financing may not be available on favorable terms, or at all. If adequate funds are not available on acceptable terms, we may be unable to fund our capital requirements. If we issue new debt securities, the debt holders would have rights senior to our Common Stock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forecasts of market growth and other projections included in this prospectus may prove to be inaccurate, and even if the markets in which we compete achieve the forecasted growth, we cannot assure you that our business will grow at a similar rate,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forecasts and projections are subject to significant uncertainty and are based on assumptions and estimates that may not prove to be accurate. The forecasts in this prospectus relating to the expected growth in the direct to consumer vehicle and consumer product protection plan market, including estimates based on our own internal survey data, as well as any corresponding projections related to our potential performance, may prove to be inaccurate. Even if the markets experience the forecasted growth described in this prospectus, we may not grow our business at a similar rate,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operations could be negatively affected if it becomes subject to any securities litigation or stockholder activism, which could cause us to incur significant expense, hinder execution of business and growth strategy and impact its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WHITE LION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2026, the Company entered into the Common Stock Purchase Agreement and the Registration Rights Agreement with White Lion, pursuant to which White Lion has committed to purchase up to $10,000,000 of Common Stock, subject to certain limitations and satisfaction of the conditions set forth in the Common Stock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and subject to the conditions set forth in the Common Stock Purchase Agreement, the Company has the right, but not the obligation, to sell to White Lion, and White Lion is obligated to purchase, up to $10,000,000 of the Company’s Common Stock. Such sales of Common Stock by the Company, if any, will be subject to certain limitations specified in the Common Stock Purchase Agreement and may occur from time to time, at the Company’s sole discretion, during the Commitment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Rapid 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Common Stock Purchase Agreement, during the Commitment Period, we will have the right, but not the obligation, to direct White Lion to purchase shares of our Common Stock by delivering a Rapid Purchase Notice. A Rapid Purchase Notice will be deemed delivered on the business day on which (i) the Rapid Purchase Notice is received and accepted by email by White Lion and (ii) the DWAC of the applicable shares has been initiated and completed as confirmed by White Lion’s designated brokerage account, in each case by 6:00 a.m. Pacific time (the “Rapid Purchase Notice Date”). The purchase price for each Rapid Purchase (the “Rapid Purchase Price”) will be equal to the average of the three (3) lowest traded prices of the Common Stock during the two (2) hour period following White Lion’s written consent of acceptance of the applicable Rapid Purchase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VWAP 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Common Stock Purchase Agreement, during the Commitment Period, we will have the right, but not the obligation, to direct White Lion to purchase shares of our Common Stock by delivering a Rapid Purchase Notice. A Rapid Purchase Notice will be deemed delivered on the business day on which (i) the Rapid Purchase Notice is received and accepted by email by White Lion and (ii) the DWAC of the applicable shares has been initiated and completed as confirmed by White Lion’s designated brokerage account, in each case by 6:00 a.m. Pacific time (the “Rapid Purchase Notice Date”). The purchase price for each Rapid Purchase (the “Rapid Purchase Price”) will be equal to the average of the three (3) lowest traded prices of the Common Stock during the two (2) hour period following White Lion’s written consent of acceptance of the applicable Rapid Purchase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control the timing and amount of any sales of Common Stock to White Lion pursuant to the Common Stock Purchase Agreement. White Lion does not have the right to require the Company to sell any shares of Common Stock, but is obligated to purchase shares as directed by the Company, subject to the conditions set forth in the Common Stock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amount and timing of any sales of Common Stock will be determined by the Company at its discretion and will depend on various factors, including, among others, general market conditions, the trading price of the Common Stock, and the Company’s assessment of appropriate funding sources for its operations. The net proceeds that the Company may receive under the Common Stock Purchase Agreement will vary based on the frequency of sales and the prices at which shares are sold to White Lion. The Company currently intends to use any proceeds from such sales for working capital and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Rapid Purchases and VWAP Purchases, the purchase price per share will be equitably adjusted for any reorganization, recapitalization, non-cash dividend, stock split, reverse stock split or other similar transaction occurring during the business days used to compute the purchase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that the Company can sell to White Lion under the Common Stock Purchase Agreement together with the number of Commitment Shares (defined below) is limited to and may not exceed (i) 15,000,000 shares (subject to adjustment as described above), which is equal to 19.99% of the total shares of the Common Stock outstanding immediately prior to the execution of the Common Stock Purchase Agreement (the “Exchange Cap”), unless either of the following conditions is satisfied: (i) the Company obtains stockholder approval to issue Purchase Shares in excess of the Exchange Cap; or (ii) the average price paid for all shares of Common Stock issued under the Purchase Agreement equals or exceeds the lower of: (A) the Nasdaq official closing price of the Common Stock on the trading day immediately preceding the date of the Common Stock Purchase Agreement; and (B) the average official closing price of our Common Stock on Nasdaq for the five consecutive trading days ending on the trading day immediately preceding the date of the Common Stock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cases, the Common Stock Purchase Agreement also prohibits the Company from directing White Lion to purchase any shares of Common Stock if those shares, when aggregated with all other shares of Common Stock then beneficially owned by White Lion (as calculated pursuant to Section 13(d) of the Securities Exchange Act of 1934, as amended, and Rule 13d-3 thereunder), would result in White Lion beneficially owning more than 4.99% of the then total outstanding shares of Common Stock, provided that the Beneficial Ownership Limitation may be increased to 9.99% upon the mutual written agreement of the Company and White Lion, effective not less than sixty-one (61) days after such mutual written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Lion has agreed not to engage in or effect, directly or indirectly, for its own principal account or for the principal account of any of its affiliates, any short sales of the Common Stock during the term of the Common Stock Purchase Agreement. The Company has agreed to a prohibition on variable rate transactions without White Lion’s prior consent (the “Variable Rate Prohibition”) and has granted White Lion a right of first refusal on future financings (the “Right of First Refusal”), each during the term of the Common Stock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White Lion’s execution and delivery of the Common Stock Purchase Agreement, the Company will issue to White Lion shares of Common Stock valued in an aggregate amount of $120,000 (the “Commitment Shares”). The amount of shares to be issued shall be determined by dividing $120,000 by the Commitment Fee Price (which is the closing price of the Common Stock on the Trading Day immediately preceding the earlier of (i) the date on which the Registration Statement is declared effective by the SEC and (ii) the date that is 180 calendar days following the date of the Common Stock Purchase Agreement), provided, however, that the Company shall not issue a number of Commitment Shares in excess of the Exchange Cap. The Commitment Shares will be fully earned as of the Effective Date of the Common Stock Purchase Agreement and are not contingent upon the Company submitting a Purchase Notice, the filing or effectiveness of the Registration Statement, or any termination of the Common Stock Purchase Agreement. White Lion shall not resell, on any single business day, an amount of Commitment Shares exceeding 10% of the median daily trading volume of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Purchase Agreement contains customary representations, warranties, conditions and indemnification obligations of both parties. The Company may terminate the Common Stock Purchase Agreement upon five Trading Days’ prior written notice to White Lion, provided that (i) there are no outstanding Purchase Notices under which Common Stock has yet to be issued, and (ii) the Company has paid all amounts owed to White Lion pursuant to the Common Stock Purchase Agreement. The Common Stock Purchase Agreement may also be terminated at any time by the mutual written consent of the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 consideration for White Lion entering into the Common Stock Purchase Agreement, we issued to White Lion the Commitment Warrant, which entitles White Lion to purchase shares of our Common Stock having an aggregate exercise value of up to $10,000,000 (the “Warrant Shares”). The exercise price per share under the Commitment Warrant is equal to 99% of the closing sales price of the Common Stock on the trading day prior to the exercise date. The Commitment Warrant has a five-year term from the Initial Exercise Date, and expires at 5:00 p.m. (New York City time) on the Termination Date, subject to earlier termination by the Company upon five trading days’ prior written notice to White Lion. The Commitment Warrant may be exercised for cash or, if at the time of exercise there is no effective registration statement registering the resale of the Warrant Shares, on a cashless basis pursuant to a formula set forth in the Commitment Warrant. The Commitment Warrant contains a beneficial ownership limitation pursuant to which White Lion does not have the right to exercise any portion of the Commitment Warrant if it would result in White Lion (together with its affiliates) beneficially owning more than 4.99% of the outstanding Common Stock. The Holder, upon notice to and with the consent of the Company, may increase the Beneficial Ownership Limitation up to 9.99%, with any such change effective on the 61st day after such notice. Exercise of the Commitment Warrant beyond the Exchange Cap is subject to obtaining Stockholder Approval. The exercise price is subject to customary adjustments for stock dividends, stock splits, combinations, recapitalizations, reclassifications, and similar events. The Commitment Warrant also contains a full ratchet anti-dilution provision, pursuant to which the exercise price will be reduced to the effective price per share of any new issuance of Common Stock or Common Stock Equivalents below the then-current exercise price (subject to exceptions for certain exempt issuances), with a corresponding proportionate adjustment to the number of Warrant Shares. In the event of a Fundamental Transaction (as defined in the Commitment Warrant), including any merger, consolidation, sale of substantially all assets, or change of control, the holder shall have the right to receive, upon exercise, the same amount and kind of securities, cash, or other property that the holder would have been entitled to receive upon the occurrence of such Fundamental Transaction had the Commitment Warrant been exercised immediately prior thereto. The Commitment Warrant is fully earned as of the Effective Date and is not contingent upon any other event or condition, including the Company’s submission of a Purchase Notice or the filing or effectiveness of any registration statement, and irrespective of any termination of the Common Stock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Purchase Agreement and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Common Stock Purchase Agreement, we entered into a Note Purchase Agreement (the “Note Purchase Agreement”) with White Lion, pursuant to which we agreed to issue and sell to White Lion senior secured convertible promissory notes in an aggregate principal amount of up to $2,875,000 (the “Convertible Notes” or the “Notes”), structured as up to ten tranches of $287,500 each, at an aggregate purchase price of up to $2,300,000 (reflecting a 20% original issue discount). Each tranche is subject to the mutual written authorization of the Company and White Lion, and neither the Company nor White Lion has any obligation to proceed with any Subsequent Closing. The first tranche is to be funded within one trading day after the Company has filed both (i) the Registration Statement and (ii) a preliminary proxy statement seeking Stockholder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bear interest at 8% per annum, with interest for the first six months on the principal amount guaranteed and accruing immediately upon issuance. Each Convertible Note matures six months from its date of issuance. The Convertible Notes may not be prepaid without the prior written consent of the holder. The Company has agreed to use the proceeds from the sale of the Notes to make scheduled monthly payments under, and to prepay the outstanding balance of, the senior secured convertible note issued to J.J. Astor &amp; Co. In connection therewith, the proceeds of each funding will be wired directly to a bank account designated by J.J. Astor &amp; Co. In addition, subject to satisfaction of the conditions under the Common Stock Purchase Agreement, the Company has agreed to apply not less than 80% of all net proceeds received from White Lion’s purchase of Common Stock under the Common Stock Purchase Agreement to prepay the remaining balances due under the J.J. Astor notes until paid in full.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convertible at the option of the holder into Conversion Shares at a variable conversion price equal to 80% of the lowest daily VWAP of the Common Stock during the fifteen (15) trading days ending on the latest complete trading day prior to the conversion date (representing a 20% discount). The Conversion Price is subject to equitable adjustment for stock splits, stock dividends, combinations, recapitalizations, reclassifications, and similar events. Conversions are subject to the Beneficial Ownership Limitation and the Exchange Cap.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under the Convertible Notes will be secured by (i) a security interest in all of the assets and personal property of the Company pursuant to the Security Agreement and (ii) a security interest in all of the Company’s intellectual property pursuant to the IP Security Agreement, each by and between the Company and White Lion. The Company has received authorization and consent from J.J. Astor &amp; Co. to grant to White Lion a second priority lien and security interest in all assets of the Company, including the Company’s intellectual property. White Lion has the right, in its sole discretion, to require the Company to apply up to 10% of all cash proceeds received from the issuance of securities pursuant to the Common Stock Purchase Agreement, or pursuant to the exercise of the Commitment Warrant or any other securities of the Company, to repay all or any portion of the outstanding amounts owed under the Notes, as more fully described above under the caption “Note Purchase Agreement and Convertible Notes” in the Prospectus Summary.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contain customary Events of Default, including, among others, failure to pay principal or interest when due, breach of covenants or representations, appointment of a receiver or trustee, bankruptcy or insolvency events, entry of material judgments, cessation of operations, failure to maintain material assets, financial statement restatements, cessation of trading of the Common Stock for five consecutive trading days, replacement of the transfer agent without delivering updated instructions, cross-default with the Common Stock Purchase Agreement and other agreements with White Lion, and transmission of material non-public information to the holder without consent. In addition, the failure of the Company to file the Registration Statement with the SEC on or before March 31, 2026, or to obtain Stockholder Approval by May 15, 2026, each constitutes an Event of Default, upon which White Lion shall have the option to use a default conversion price for conversions of the Notes. Upon an Event of Default, the outstanding principal amount of the Notes, plus accrued but unpaid interest and other amounts, will become immediately due and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Common Stock Purchase Agreement and the Note Purchase Agreement, the Company and White Lion entered into the Registration Rights Agreement. Pursuant to the terms of the Registration Rights Agreement, the Company was obligated to: (a) file a Registration Statement on Form S-1 (or any successor form) with the SEC within fifteen (15) Business Days after the Execution Date (the “Filing Deadline”), registering the resale by White Lion of the maximum number of Common Stock representing (i) an aggregate of up to $10,000,000 of Purchase Notice Shares, (ii) the Commitment Shares, (iii) the Warrant Shares issuable upon exercise of the Commitment Warrant, (iv) the Conversion Shares issuable upon conversion of the Convertible Notes issued under the Note Purchase Agreement, (v) any and all other Common Stock issued or issuable to White Lion pursuant to the Common Stock Purchase Agreement or the Note Purchase Agreement, and (vi) any capital stock of the Company issued or issuable with respect to the foregoing, including as a result of any stock split, stock dividend, recapitalization, exchange or similar event, in each case until such time as such securities cease to be Registrable Securities (“Registrable Securities”) as shall be permitted to be included thereon in accordance with applicable SEC rules, regulations and interpretations so as to permit the resale of such Registrable Securities by White Lion under Rule 415 under the Securities Act at then prevailing market prices (and not fixed prices); (b) use its commercially reasonable best efforts to have the Registration Statement and any amendment thereto declared effective by the SEC as soon as reasonably practicable following the filing thereof; and (c) subject to Allowable Grace Periods, use its commercially reasonable best efforts to keep each Registration Statement effective (and the Prospectus contained therein available for use) pursuant to Rule 415 promulgated under the Securities Act for resales by White Lion of Registrable Securities on a continuous basis at then-prevailing market prices (and not fixed prices) at all times until the earlier of (i) the date on which White Lion shall have sold all of the Registrable Securities covered by such Registration Statement, (ii) the later of the date of termination of the Common Stock Purchase Agreement and the date of the Note Purchase Agreement if as of such termination date White Lion holds no Registrable Securities (or, if applicable, the date on which such securities cease to be Registrable Securities after the date of termination of the Common Stock Purchase Agreement or the Note Purchase Agreement, as applicable), and (iii) all such securities cease to be Registrable Securities pursuant to Section 2(f)(iii) or Section 2(f)(iv) of the Registration Rights Agreement (the “Registration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toc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Selling Securityholder will receive all of the proceeds of the sale of shares of Common Stock offered from time to time pursuant to this prospectus. Accordingly, we will not receive any proceeds from the resale of Common Stock by the Selling Securityholder registered pursuant to this prospectus. We may receive up to $10,000,000 in aggregate gross proceeds from White Lion in connection with sales of our Common Stock to White Lion pursuant to the Common Stock Purchase Agreement from time to time in our sole discretion during the Commitment Period. We may also receive up to $2,300,000 in aggregate funded proceeds under the Note Purchase Agreement and up to $10,000,000 upon exercise of the Commitment Warrant. However, the actual proceeds from White Lion may be less than these amounts depending on the number of shares of our Common Stock sold, the prices at which the shares of our Common Stock are sold, and whether all tranches of the Convertible Notes are funded and the Commitment Warrant is exercised.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intend to use the net proceeds, if any, received from the sale of our Common Stock to White Lion pursuant to the Common Stock Purchase Agreement, from the funding of the Convertible Notes under the Note Purchase Agreement, and from the exercise of the Commitment Warrant, to repay outstanding amounts owed under the Loan Agreement, to terminate the ELOC Agreement with New Circle, and for general corporate purposes, including working capital. The expected use of net proceeds represents our intentions based upon our current plans and business conditions, which could change in the future as our plans and business conditions evolve and change. The amounts and timing of our actual expenditures, specifically with respect to working capital, may vary significantly depending on numerous factors. As a result, our management will retain broad discretion over the allocation of the net proceeds from such cash exercise, if any. We have no current agreements, commitments or understandings for any material acquisitions or licenses of any products, businesses or technologies that are definitive or probable to close.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 will pay any underwriting discounts and commissions and expenses incurred by the Selling Securityholder for brokerage, accounting, tax or legal services or any other expenses incurred by the Selling Securityholder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toc_007"/>
      <w:bookmarkEnd w:id="8"/>
      <w:r>
        <w:rPr>
          <w:rFonts w:ascii="Times New Roman;Times;Serif" w:hAnsi="Times New Roman;Times;Serif"/>
          <w:b/>
          <w:i w:val="false"/>
          <w:caps w:val="false"/>
          <w:smallCaps w:val="false"/>
          <w:sz w:val="20"/>
        </w:rPr>
        <w:t>DETERMINATION OF OFFERING PRICE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prices at which the shares of Common Stock covered by this prospectus may actually be sold will be determined by the prevailing public market price for shares of our Common Stock or by negotiations between the Selling Securityholder and buyers of our Common Stock in private transactions or as otherwise described in “Plan of Distribution.”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toc_008"/>
      <w:bookmarkEnd w:id="9"/>
      <w:r>
        <w:rPr>
          <w:rFonts w:ascii="Times New Roman;Times;Serif" w:hAnsi="Times New Roman;Times;Serif"/>
          <w:b/>
          <w:i w:val="false"/>
          <w:caps w:val="false"/>
          <w:smallCaps w:val="false"/>
          <w:sz w:val="20"/>
        </w:rPr>
        <w:t>MARKET INFORMATION FOR SECURITIES AND 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Common Stock and Warrants are currently listed on the Nasdaq under the symbols “DAIC” and “DAICW,” respectively. Prior to the consummation of the Business Combination, SUAC’s Common Stock and warrants were listed on the Markets Group, Inc. stock exchange under the symbols “SUAC” and “SUAC.WS,” respectively. As of March 31, 2026, there were 29,293,322 shares of Common Stock issued and outstanding held of record by 232 holders, and warrants to purchase an aggregate of 15,654,983 shares of Common Stock outstanding held of record by 4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at such time. In addition, we are not currently contemplating and do not anticipate declaring any stock dividends in the foreseeable future as it is currently expected that available cash resources will be utilized in connection with our ongoing operations and development.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toc_009"/>
      <w:bookmarkEnd w:id="10"/>
      <w:r>
        <w:rPr>
          <w:rFonts w:ascii="Times New Roman;Times;Serif" w:hAnsi="Times New Roman;Times;Serif"/>
          <w:b/>
          <w:i w:val="false"/>
          <w:caps w:val="false"/>
          <w:smallCaps w:val="false"/>
          <w:sz w:val="20"/>
        </w:rPr>
        <w:t>MANAGEMENT’S DISCUSSION AND ANALYSIS OF</w:t>
        <w:br/>
        <w:t>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read the following discussion and analysis of our financial condition and results of operations together with our consolidated financial statements and related notes included in this filing. Some of the information contained in the following discussion and analysis, including information with respect to our plans and strategy for our business, includes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Factors–Risks Related to Our Business and Industry” or included elsewhere in this prospectus. These risks and uncertainties could cause actual results to differ materially from those projected in forward-looking statements contained in this prospectus or implied by past results and trends. Forward-looking statements are statements that attempt to forecast or anticipate future developments in our business, financial condition, or results of operations. These statements, like all statements in this prospectus, speak only as of their date (unless another date is indicated), and we undertake no obligation to update or revise these statements in light of future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real-time tracking of resources. Through the Company’s extensive research and development initiatives, the Company’s main focus includes areas such as Industrial IoT, Indoor &amp; Outdoor tracking with seamless transitions, Passive RFID (including Bluetooth and 5G), Collision Avoidance, real-time locating system, Dolly Management, and related supported software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Throughout this prospectus, unless otherwise noted or otherwise suggested by context, the “Company”, “we”, “us”, “our” refers to SEE ID and Dot Works, as applicable, prior to the consummation of the Business Combination (as defined below) and CID Holdco, SEE ID and Dot Works, collectively, after the consummation of the Business Combination.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Business Combination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June 18, 2025 (the “Closing Date”) the Company consummated the Business Combination transactions by and among the Company, ShoulderUp Technology Acquisition Corp (“SUAC” or “ShoulderUp”),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and (ii) simultaneously with the ShoulderUp Merger, SEI Merger Sub merged with and into SEE ID (“the SEE ID Merger”), with SEE ID surviving the SEE ID Merger as a wholly-owned subsidiary of the Company (the ShoulderUp Merger and the SEE ID Merger, together the “Mergers” and together with the other transactions contemplated by the Business Combination Agreement, the “Business Combination”).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connection with the Business Combination, CID Holdco filed a registration statement on Form S-4 (File No. 333-282600) (as amended, the “Business Combination Registration Statement”) with the SEC. On June 18, 2025, the Business Combination Registration Statement was declared effective by the SEC. At Closing, the assets and liabilities of Legacy Company were combined with the assets and liabilities ShoulderUp Technology Acquisition Corp on a historical cost basis. All Legacy Company Common Stock was exchanged for Common Stock of the Company based upon the exchange ratio as defined in the Business Combination Agreement as Aggregate Merger Consideration (13,000,000 CID Holdco shares) divided by the Company Fully Diluted Common Stock (159,915,641) or 8.129%. Stock options of Legacy Company were not exercised and remain outstanding after giving into effect the exchange ratio. In connection with the Business Combination, we incurred transaction costs, settled certain SUAC related party notes through the issuance of common shares, converted SAFE notes into Common Stock of the Company, and raised cash proceeds from PIPE investors. Additional information regarding the Business Combination and Reverse Recapitalization is provided in Note 3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Acquiring New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believe that we have a substantial opportunity to grow our customer base. We intend to drive new customer acquisition by continuing to invest significantly in sales and marketing to engage our prospective customers, increase brand awareness, and drive adoption of our Dot Cloud platform. Our ability to attract new customers depends on a number of factors, including the effectiveness of our sales and marketing efforts, macroeconomic factors and their impact on our customers’ businesses, and the success of our efforts to expand internationally.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Expanding Within Our Existing Customer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believe that there is a significant opportunity to expand sales to existing customers following their initial adoption of our Dot Cloud. We will expand our customer base by selling more applications and expanding use of existing applications across geographies and divisions. Our ability to expand within our customer base will depend on a number of factors, including our customers’ satisfaction, pricing, competition, macroeconomic factors, and changes in our customers’ spending levels. While there are many factors involved in this expansion, the Customer Success department will be the key internal driver to retention and expansion of customer revenue. At this juncture, it is not a significant part of our operational expense but will be built out as our bookings increase and our channel support requirements come online.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Innovation and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market leadership is supported by continuous innovation in our Dot Cloud, our inventions in IoT data collection and our advances in applying AI to our customer problem sets. We will continuously invest in adding new applications and methods to our solutions. As such, spending on research and development will always be an important part of our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However, the driving force that will fuel our company is market growth. Our recent pivot to move most of our spending to Sales and Marketing shows a commitment to our go-to-market strategy. We recognize the need to increase adoption and expand brand awareness as we increase market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Adding additional compliance and oversight resources as we grow, and especially as we adapt to operating as a public entity, is a natural and essential step. In addition, our small operations team will continue to grow as the demand increases from our maturing sales pipeline.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will provide access to our Dot Cloud through subscription arrangements, where the customer is charged a per-subscription fee for access for a specified term. Subscription agreements will contain multiple service elements for one or more of our cloud-based Applications via mobile app(s) or a website that enables data collection and provides access to the cellular network, IoT devices (which we also refer to as connected devices), and support services delivered over the term of the arrangement. Our subscription contracts will typically have an initial term of three to five years and are generally non-cancellable and non-refundable, subject to limited exceptions under our standard terms of service and other exceptions for public sector customers, who are often subject to annual budget appropriations cycles. Our Connected Dot Cloud and IoT devices are highly integrated with the subscription service and together will represent a single performance obligation. Revenues attributable to this combined performance obligation are recognized over time as the services are delivered.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also provide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Currently, revenues are primarily related to the delivery of hardware products such as bridges, labels and gateways to customers. We also provide feasibility study reports to customers seeking to gain insight into how data driven tracking could improve their business, which is recognized upon acceptance of the feasibility report.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Allocation of Overhead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Overhead costs that are not directly attributable to a specific functional group are allocated based on relative usage. These costs include expenses related to warehouse lease and cloud hosting services.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Cost of goods sold consists primarily of cellular-related costs, third-party cloud infrastructure expenses, customer support costs, warranty charges, employee-related costs directly associated with our customer support and operations, including salaries, employee benefits and share-based compensation, amortization of internal-use software development, certain cloud computing implementation costs, expenses related to shipping and handling, packaging, fulfillment, warehousing, write-downs of excess and obsolete inventory, and allocated overhead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our customers expand and increase the use of our Dot Cloud driven by additional IoT devices and Applications, our cost of goods sold may vary from quarter to quarter as a percentage of our revenue due to the timing and extent of these expenses. We intend to continue to invest additional resources in our Dot Cloud and customer support and operations personnel as we grow our business. The level and timing of investment in these areas will affect our cost of goods sold in the future.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Research and development expenses consist primarily of employee-related costs, including salaries, employee benefits and share-based compensation, depreciation and other expenses related to prototyping IoT devices, product initiatives, software subscriptions, hosting used in research and development, and allocated overhead costs. We continue to focus our research and development efforts on adding new features and products and enhancing the utility of our Dot Cloud. We capitalize the portion of our internal-use software development costs that meets the criteria for capitalization. We expect our research and development expenses to generally increase in absolute dollars for the foreseeable future as we continue to invest in research and development efforts to enhance our Dot Cloud. Our research and development expenses may fluctuate as a percentage of our revenue from period to period due to the timing and extent of these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Sales and marketing expenses consist primarily of employee-related costs directly associated with our sales and marketing activities, including salaries, employee benefits and share-based compensation, and sales commissions. Sales and marketing expenses also include expenditures related to advertising, media, marketing, promotional costs, free trial expenses, brand awareness activities, business development, corporate partnerships, travel, conferences and events, professional services, and allocated overhead costs. We also have a heavy reliance on contracted services in these areas which are reflected in the department spend. We plan to continue to invest in sales and marketing to grow our customer base and increase our brand awareness. As a result, we expect our sales and marketing expenses to increase in absolute dollars for the foreseeable future. Our sales and marketing expenses may fluctuate as a percentage of our revenue from period to period due to the timing and extent of these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General and administrative expenses consist of employee-related costs for executive, finance, legal, human resources, facilities, and certain IT personnel, including salaries, employee benefits and share-based compensation, professional fees for external legal, accounting, recruiting and other consulting services, credit losses, allocated overhead costs, and unallocated lease costs. We expect our general and administrative expenses to continue to increase in absolute dollars for the foreseeable future to support our growth and because of additional costs associated with legal, accounting, compliance, insurance, investor relations, and other areas associated with being a public company. Our general and administrative expenses may fluctuate as a percentage of our revenue from period to period due to the timing and extent of these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primarily of interest incurred for our short-term bridge loans.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change in the fair value of SAFE agreements represents the unrealized gains or losses resulting from the fluctuations in the estimated fair value of the outstanding SAFE agreements, or reevaluation of updated market conditions and company-specific factors.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accounts for transaction costs incurred in connection with the Business Combination that occurred in June 2025, and therefore transaction costs expensed were not a component of our results of operations during 2024. Costs that are directly attributable to the issuance of equity instruments, such as legal, accounting, and advisory fees related to the merger and recapitalization, are recorded as a reduction to additional paid-in capital. All other transaction costs have been expensed as incurred.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extinguishment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Prior to the closing of the Business Combination, a lender provided the Company with a bridge loan in the aggregate principal amount of $2,850,000. Upon the closing of the Business Combination, the lender elected to convert a portion of the outstanding principal, totaling $2,456,500, into shares of the Company’s Common Stock. In connection with this conversion, the Company derecognized the related debt liability, issued shares of Common Stock, and recognized a loss on extinguishment of debt of $6,141,250, representing the excess of the fair value of the shares issued on the closing date over the carrying value of the debt extinguished.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addition, the Company assumed certain indebtedness of the SPAC in the principal amount of $1,400,000. A portion of this obligation, totaling $987,045, was subsequently repaid, and the Company recognized a gain on</w:t>
      </w:r>
      <w:r>
        <w:rPr>
          <w:rFonts w:ascii="Times New Roman;Times;Serif" w:hAnsi="Times New Roman;Times;Serif"/>
          <w:b w:val="false"/>
          <w:i w:val="false"/>
          <w:caps w:val="false"/>
          <w:smallCaps w:val="false"/>
          <w:sz w:val="20"/>
        </w:rPr>
        <w:t xml:space="preserve"> extinguishment of debt of $412,955. As a result of these transactions, the Company recognized a net loss on debt extinguishment of $5,728,295 upon the closing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Cost of Goods Sold, Gross Profit,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total revenue, cost of goods sold, gross profit, and gross margin for the years ended December 31, 2025 and 2024 are summarized as follows:</w:t>
      </w:r>
    </w:p>
    <w:p>
      <w:pPr>
        <w:pStyle w:val="TextBody"/>
        <w:bidi w:val="0"/>
        <w:spacing w:before="0" w:after="0"/>
        <w:ind w:left="0" w:right="0" w:firstLine="360"/>
        <w:jc w:val="both"/>
        <w:rPr>
          <w:caps w:val="false"/>
          <w:smallCaps w:val="false"/>
        </w:rPr>
      </w:pPr>
      <w:r>
        <w:rPr>
          <w:caps w:val="false"/>
          <w:smallCaps w:val="false"/>
        </w:rPr>
        <w:t> </w:t>
      </w:r>
    </w:p>
    <w:tbl>
      <w:tblPr>
        <w:tblW w:w="7365" w:type="dxa"/>
        <w:jc w:val="left"/>
        <w:tblInd w:w="0" w:type="dxa"/>
        <w:tblLayout w:type="fixed"/>
        <w:tblCellMar>
          <w:top w:w="0" w:type="dxa"/>
          <w:left w:w="0" w:type="dxa"/>
          <w:bottom w:w="0" w:type="dxa"/>
          <w:right w:w="0" w:type="dxa"/>
        </w:tblCellMar>
      </w:tblPr>
      <w:tblGrid>
        <w:gridCol w:w="1805"/>
        <w:gridCol w:w="60"/>
        <w:gridCol w:w="140"/>
        <w:gridCol w:w="980"/>
        <w:gridCol w:w="215"/>
        <w:gridCol w:w="60"/>
        <w:gridCol w:w="140"/>
        <w:gridCol w:w="800"/>
        <w:gridCol w:w="215"/>
        <w:gridCol w:w="60"/>
        <w:gridCol w:w="140"/>
        <w:gridCol w:w="980"/>
        <w:gridCol w:w="290"/>
        <w:gridCol w:w="60"/>
        <w:gridCol w:w="83"/>
        <w:gridCol w:w="1032"/>
        <w:gridCol w:w="30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5,804,349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172,661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5,631,708</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3,261.7</w:t>
            </w:r>
          </w:p>
        </w:tc>
        <w:tc>
          <w:tcPr>
            <w:tcW w:w="305"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3,133,139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43,634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3,089,505</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FFFFFF" w:val="clear"/>
            <w:tcMar>
              <w:bottom w:w="28" w:type="dxa"/>
            </w:tcMar>
            <w:vAlign w:val="center"/>
          </w:tcPr>
          <w:p>
            <w:pPr>
              <w:pStyle w:val="TableContents"/>
              <w:bidi w:val="0"/>
              <w:spacing w:before="0" w:after="283"/>
              <w:jc w:val="right"/>
              <w:rPr/>
            </w:pPr>
            <w:r>
              <w:rPr/>
              <w:t>7,080.5</w:t>
            </w:r>
          </w:p>
        </w:tc>
        <w:tc>
          <w:tcPr>
            <w:tcW w:w="305"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Gross (loss)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2,671,230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129,027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2,542,203</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center"/>
          </w:tcPr>
          <w:p>
            <w:pPr>
              <w:pStyle w:val="TableContents"/>
              <w:bidi w:val="0"/>
              <w:spacing w:before="0" w:after="283"/>
              <w:jc w:val="right"/>
              <w:rPr/>
            </w:pPr>
            <w:r>
              <w:rPr/>
              <w:t>1,970.3</w:t>
            </w:r>
          </w:p>
        </w:tc>
        <w:tc>
          <w:tcPr>
            <w:tcW w:w="305"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Gross margin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46.0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74.7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(28.7</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double" w:sz="10" w:space="0" w:color="000000"/>
            </w:tcBorders>
            <w:shd w:fill="FFFFFF" w:val="clear"/>
            <w:tcMar>
              <w:bottom w:w="28" w:type="dxa"/>
            </w:tcMar>
            <w:vAlign w:val="center"/>
          </w:tcPr>
          <w:p>
            <w:pPr>
              <w:pStyle w:val="TableContents"/>
              <w:bidi w:val="0"/>
              <w:spacing w:before="0" w:after="283"/>
              <w:jc w:val="right"/>
              <w:rPr/>
            </w:pPr>
            <w:r>
              <w:rPr/>
              <w:t>(38.4</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Revenue increased by $5.6 million, or 3,261.7%, for the year ended December 31, 2025 compared to the year ended December 31, 2024. The increase in revenue is primarily driven by higher hardware sales. Hardware implementation represents the initial step in a customer’s adoption of our SaaS subscription platform and contributed significantly to the overall growth in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Cost of goods sold increased by $3.1 million, or 7,080.5%, for the year ended December 31, 2025 compared to the year ended December 31, 2024. The increase was primarily attributable to higher materials costs, direct labor, and related manufacturing expenses associated with the growth in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gross margin was 46.0% for the year ended December 31, 2025 compared to 74.7% for the year ended December 31, 2024. The decrease in gross margin is primarily attributable to a shift in revenue mix year over year, with a greater proportion of 2025 revenue generated from hardware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Research and development expenses for the years ended December 31, 2025 and 2024 are summarized as follows:</w:t>
      </w:r>
    </w:p>
    <w:p>
      <w:pPr>
        <w:pStyle w:val="TextBody"/>
        <w:bidi w:val="0"/>
        <w:spacing w:before="0" w:after="0"/>
        <w:ind w:left="0" w:right="0" w:firstLine="36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2585"/>
        <w:gridCol w:w="60"/>
        <w:gridCol w:w="140"/>
        <w:gridCol w:w="980"/>
        <w:gridCol w:w="60"/>
        <w:gridCol w:w="60"/>
        <w:gridCol w:w="140"/>
        <w:gridCol w:w="800"/>
        <w:gridCol w:w="60"/>
        <w:gridCol w:w="60"/>
        <w:gridCol w:w="148"/>
        <w:gridCol w:w="847"/>
        <w:gridCol w:w="60"/>
        <w:gridCol w:w="60"/>
        <w:gridCol w:w="133"/>
        <w:gridCol w:w="982"/>
        <w:gridCol w:w="23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1,446,203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850,261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595,942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70.1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Research and development expense increased by $0.6 million, or 70.1%, for the year ended December 31, 2025 compared to the year ended December 31, 2024. The increases are primarily driven by our continued investment in innovation through engagement of software and hardware development contractors.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for the years ended December 31, 2025 and 2024 are summarized as follows:</w:t>
      </w:r>
    </w:p>
    <w:p>
      <w:pPr>
        <w:pStyle w:val="TextBody"/>
        <w:bidi w:val="0"/>
        <w:spacing w:before="0" w:after="0"/>
        <w:ind w:left="0" w:right="0" w:firstLine="36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1940"/>
        <w:gridCol w:w="60"/>
        <w:gridCol w:w="140"/>
        <w:gridCol w:w="980"/>
        <w:gridCol w:w="60"/>
        <w:gridCol w:w="60"/>
        <w:gridCol w:w="140"/>
        <w:gridCol w:w="980"/>
        <w:gridCol w:w="60"/>
        <w:gridCol w:w="60"/>
        <w:gridCol w:w="148"/>
        <w:gridCol w:w="847"/>
        <w:gridCol w:w="60"/>
        <w:gridCol w:w="60"/>
        <w:gridCol w:w="133"/>
        <w:gridCol w:w="982"/>
        <w:gridCol w:w="230"/>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3,671,865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2,721,981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949,884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34.9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$0.9 million, or 34.9%, for the year ended December 31, 2025 compared to the year ended December 31, 2024. The increase reflects our continued pivot toward the market and was primarily driven by higher spending on digital marketing services and additional modules and users in our customer relationship management software.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years ended December 31, 2025 and 2024 are summarized as follows:</w:t>
      </w:r>
    </w:p>
    <w:p>
      <w:pPr>
        <w:pStyle w:val="TextBody"/>
        <w:bidi w:val="0"/>
        <w:spacing w:before="0" w:after="0"/>
        <w:ind w:left="0" w:right="0" w:firstLine="360"/>
        <w:jc w:val="left"/>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2570"/>
        <w:gridCol w:w="60"/>
        <w:gridCol w:w="140"/>
        <w:gridCol w:w="980"/>
        <w:gridCol w:w="60"/>
        <w:gridCol w:w="60"/>
        <w:gridCol w:w="140"/>
        <w:gridCol w:w="980"/>
        <w:gridCol w:w="60"/>
        <w:gridCol w:w="60"/>
        <w:gridCol w:w="140"/>
        <w:gridCol w:w="980"/>
        <w:gridCol w:w="60"/>
        <w:gridCol w:w="60"/>
        <w:gridCol w:w="107"/>
        <w:gridCol w:w="1008"/>
        <w:gridCol w:w="23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6,764,453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1,563,328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5,201,125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332.7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$5.2 million, or 332.7%, for the year ended December 31, 2025 compared to the year ended December 31, 2024. The increases are primarily due to additional labor costs pertaining to the ramp up of the business as well as incremental expenses related to operating as a public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 - 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summarize the change in the fair value of SAFE agreements and the SAFE agreements activity for the year ended December 31, 2025 and 2024:</w:t>
      </w:r>
    </w:p>
    <w:p>
      <w:pPr>
        <w:pStyle w:val="TextBody"/>
        <w:bidi w:val="0"/>
        <w:spacing w:before="0" w:after="0"/>
        <w:ind w:left="0" w:right="0" w:firstLine="360"/>
        <w:jc w:val="both"/>
        <w:rPr>
          <w:caps w:val="false"/>
          <w:smallCaps w:val="false"/>
        </w:rPr>
      </w:pPr>
      <w:r>
        <w:rPr>
          <w:caps w:val="false"/>
          <w:smallCaps w:val="false"/>
        </w:rPr>
        <w:t> </w:t>
      </w:r>
    </w:p>
    <w:tbl>
      <w:tblPr>
        <w:tblW w:w="9120" w:type="dxa"/>
        <w:jc w:val="left"/>
        <w:tblInd w:w="0" w:type="dxa"/>
        <w:tblLayout w:type="fixed"/>
        <w:tblCellMar>
          <w:top w:w="0" w:type="dxa"/>
          <w:left w:w="0" w:type="dxa"/>
          <w:bottom w:w="0" w:type="dxa"/>
          <w:right w:w="0" w:type="dxa"/>
        </w:tblCellMar>
      </w:tblPr>
      <w:tblGrid>
        <w:gridCol w:w="3425"/>
        <w:gridCol w:w="60"/>
        <w:gridCol w:w="140"/>
        <w:gridCol w:w="1175"/>
        <w:gridCol w:w="95"/>
        <w:gridCol w:w="60"/>
        <w:gridCol w:w="140"/>
        <w:gridCol w:w="1175"/>
        <w:gridCol w:w="95"/>
        <w:gridCol w:w="60"/>
        <w:gridCol w:w="140"/>
        <w:gridCol w:w="1055"/>
        <w:gridCol w:w="95"/>
        <w:gridCol w:w="60"/>
        <w:gridCol w:w="133"/>
        <w:gridCol w:w="982"/>
        <w:gridCol w:w="230"/>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Change in fair value of SAFE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(17,368,415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(14,492,176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(2,876,239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19.8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tbl>
      <w:tblPr>
        <w:tblW w:w="7755" w:type="dxa"/>
        <w:jc w:val="left"/>
        <w:tblInd w:w="0" w:type="dxa"/>
        <w:tblLayout w:type="fixed"/>
        <w:tblCellMar>
          <w:top w:w="0" w:type="dxa"/>
          <w:left w:w="0" w:type="dxa"/>
          <w:bottom w:w="0" w:type="dxa"/>
          <w:right w:w="0" w:type="dxa"/>
        </w:tblCellMar>
      </w:tblPr>
      <w:tblGrid>
        <w:gridCol w:w="4910"/>
        <w:gridCol w:w="60"/>
        <w:gridCol w:w="140"/>
        <w:gridCol w:w="1175"/>
        <w:gridCol w:w="95"/>
        <w:gridCol w:w="60"/>
        <w:gridCol w:w="140"/>
        <w:gridCol w:w="1100"/>
        <w:gridCol w:w="75"/>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7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SAFE agreements at fair value,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23,334,626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4,602,950</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SAFE agreements issued for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4,239,500</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17,368,415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14,492,176</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SAFE notes converted into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(40,726,793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SAFE agreements at fair value,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23,334,626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the liability balance of SAFE agreements for the year ended December 31, 2025, compared to December 31, 2024, was primarily attributable to the conversion of the SAFE notes into company shares upon the closing of the Business Combination. Upon conversion, the related liabilities were reclassified to equity.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is a measure of our ability to access sufficient cash flows to meet the short-term and long-term cash requirements of our business operations. To date, we have funded our operations primarily with proceeds from the issuance of shares of our Common Stock to PIPE investors contemporaneously with the close of the Business Combination, proceeds from bridge loans and other short-term borrowings. Our future capital requirements will depend on many factors, including, but not limited to, our growth, our ability to attract and retain customers, the continued market acceptance of our solution, the timing and extent of spending necessary to support our efforts to develop our Dot Cloud and meet our performance obligations related to subscription sales of the same, the expansion of sales and marketing activities, and the impact of macroeconomic conditions on us and our customers’ and partners’ businesses. Further, we may enter into arrangements to acquire or invest in businesses, products, services, and technologies. We will need to raise additional capital in the future to finance our operations and expand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assessment of going concern considerations in accordance with the Financial Accounting Standards Board (“FASB”) ASC Topic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management anticipates the Company will continue to incur substantial operating losses for the next several years and will need to obtain additional near-term financing in order to continue its research and development activities. Our ability to continue as a going concern is dependent on its ability to raise additional capital to fund research and development activities and meet obligations on a timely basis. However, there can be no assurance that sufficient funding will be available to allow us to successfully continue our research and development activities and commercialize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our business, results of operations, and prospects. These conditions raise substantial doubt about our ability to continue as a going concern within one year from the date these consolidated financial statements are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we had cash of $865,624 and $721,032, respectively, deficits in working capital of $1,730,095 and $1,215,988, respectively, and accumulative deficits of $61,451,334 and $24,733,263,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funded our operations primarily through proceeds from the issuance of common shares to PIPE investors in connection with the closing of the Business Combination, totaling $10,837,643, proceeds from bridge loans and other short-term borrowings. In the future, we expect to finance our cash needs through a combination of equity, debt financings, and improvement of cash from operations derived from selling subscriptions to our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shares of the Company’s Common Shares during the commitment period ending June 18, 2028, at a discount of the volume-weighted average price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purchase would be subject to certain limitations, including that New Circle shall not purchase any shares that would result in it and its affiliates beneficially owning more than 4.99% of the then outstanding voting power or number of shares of Common Stock or any shares that would exceed 19.99% of all shares of Common Stock of the Company outstanding on the date of the SEPA, unless Company shareholder approval was obtained allowing for issuances in excess of such amount (the “Exchange Cap”). The Exchange Cap will not apply under certain circumstances, including where the average purchase price of all applicable sales of Common Shares equals or exceeds the lower of (i) the Nasdaq Official Closing Price immediately preceding the Effective Date; or (ii) the average Nasdaq Official Closing Price for the five Trading Days immediately preceding the Effective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shares of Common Stock. As the feature is embedded in an equity host, meets the definition of a derivative, and does not qualify for the equity scope exception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it must be bifurcated and accounted for separately as a derivative asset or liability, depending on changes in the underlying stock price relative to the pegged discounted VWAP. The derivative is measured at fair value, with changes in fair value recognized in net income. The fair value of the purchased put option was determined to be de minimis as of December 31, 2025, and therefore was not recorded on the Company’s balance sheet as of that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December 30, and December 31, 2025, the Company issued purchase notices for the sale of 30,000, 500,000, and 1,000,000 shares, respectively, at settlement prices of $2.62, $0.32, and $0.32 per share, resulting in total cash proceeds received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their fair value on the date cash was received and recognized the difference between (i) the fair value of the shares issued and (ii) the proceeds calculated pursuant to the discounted VWAP pricing terms. This difference, totaling $246,184, was recorded as a loss on issuance of shares in the statement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 The Executive Loans have been made, or will be made, on the terms and conditions of an unsecured, subordinated promissory note (the “Executive Notes”). The Executive Notes will accrue interest at a rate of 7.5% per annum, and will be paid in quarterly installments on July 1, 2026, October 1, 2026 with a final payment by December 31, 2026. All of the Company’s obligations and payments under the Executive Notes are subordinated to the Company’s obligations under the loan agreement with J.J. Astor &amp; Co.</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a summary of our cash flow for the periods presented:</w:t>
      </w:r>
    </w:p>
    <w:p>
      <w:pPr>
        <w:pStyle w:val="TextBody"/>
        <w:bidi w:val="0"/>
        <w:spacing w:before="0" w:after="0"/>
        <w:ind w:left="0" w:right="0" w:firstLine="360"/>
        <w:jc w:val="left"/>
        <w:rPr>
          <w:caps w:val="false"/>
          <w:smallCaps w:val="false"/>
        </w:rPr>
      </w:pPr>
      <w:r>
        <w:rPr>
          <w:caps w:val="false"/>
          <w:smallCaps w:val="false"/>
        </w:rPr>
        <w:t> </w:t>
      </w:r>
    </w:p>
    <w:tbl>
      <w:tblPr>
        <w:tblW w:w="6725" w:type="dxa"/>
        <w:jc w:val="left"/>
        <w:tblInd w:w="0" w:type="dxa"/>
        <w:tblLayout w:type="fixed"/>
        <w:tblCellMar>
          <w:top w:w="0" w:type="dxa"/>
          <w:left w:w="0" w:type="dxa"/>
          <w:bottom w:w="0" w:type="dxa"/>
          <w:right w:w="0" w:type="dxa"/>
        </w:tblCellMar>
      </w:tblPr>
      <w:tblGrid>
        <w:gridCol w:w="3890"/>
        <w:gridCol w:w="60"/>
        <w:gridCol w:w="140"/>
        <w:gridCol w:w="1175"/>
        <w:gridCol w:w="95"/>
        <w:gridCol w:w="60"/>
        <w:gridCol w:w="140"/>
        <w:gridCol w:w="1055"/>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(13,250,533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(3,290,008</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(1,829,739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(834,220</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15,224,864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4,239,500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largest source of operating cash is investments made by our shareholders. Our primary uses of cash from operating activities are for employee-related expenditures, sales and marketing expenses, inventory purchases, and research &amp; development activities. We generated negative cash flows from operations in the preceding two fiscal years. We have supplemented working capital through net proceeds from the sale of equity securities and bridge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$13.3 million for the year ended December 31, 2025. This consisted of a net loss of $36.7 million, adjusted for non-cash charges of $24.4 million and net changes in operating assets and liabilities of $1.0 million. The non-cash charges were primarily driven by a $17.4 million change in the fair value of SAFE notes and a $5.7 million loss on debt extinguishment. Changes in operating assets and liabilities were primarily attributable to increases in accounts receivable of $3.6 million and inventory of $1.4 million, partially offset by increases in accounts payable of $3.4 million and accrued expenses of $1.8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$3.3 million for the year ended December 31, 2024. This consisted of a net loss of $21.5 million, adjusted for non-cash charges of approximately $14.7 million and net changes in operating assets and liabilities of approximately $3.5 million. Non-cash charges were primarily driven by a $14.5 million change in the fair value of SAFE notes. Changes in operating assets and liabilities were primarily attributable to an increase in deferred revenue of $2.7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was $1.8 million for the year ended December 31, 2025, which consisted of capital expenditures for internal-use software development costs of $1.2 million and equipment purchases of $0.6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was $0.8 million for the year ended December 31, 2024, which consisted of capital expenditures for internal-use software development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was $15.2 million for the year ended December 31, 2025. This consisted primarily of proceeds from PIPE investments of $10.8 million and proceeds from the trust account of $5.6 million, as well as borrowings from short-term loans of $1.8 million, and bridge loans of $2.9 million. These inflows were partially offset by repayments of bridge and short-term loans totaling $1.4 million and the purchase of Common Stock of $5.0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was $4.2 million for the year ended December 31, 2024, which consisted of proceeds from issuance of SAFE agreements for cash.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future obligations consist of leases and non-cancelable purchase commitments as of December 31, 2025. For additional discussion on our leases and other commitments, refer to Note 13 - Leases and Note 17 - Commitments and Contingencies to our consolidated financial statements for the year ended December 31, 2025 included elsewhere in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significant accounting policies are more fully described in Note 2 to our consolidated financial statements, we believe that the following accounting policies are the most critical to fully understanding and evaluating our financial condition and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FASB ASC 815–40, Contracts in Entity’s Own Equity, the Company determined the SAFE agreements are freestanding financial instruments and, accordingly, are classified as “liabilities” in the accompanying consolidated balance sheets. The SAFE agreements are carried at estimated fair value determined by the Company using a probability weighted expected return method.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Convertible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convertible debt instruments in accordance with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and other applicable authoritative guidance. Management evaluates the terms of each instrument to determine the appropriate classification. The Company has concluded that its convertible debt instruments are properly classified as liabilities because they embody contractual obligations to repay principal and interest in cash and do not meet the criteria for equity classification. In addition, the instruments do not represent mandatorily redeemable equity shares or other freestanding equity instruments; rather, they represent debt arrangements with substantive repayment obligations. Accordingly, the instruments are recorded as liabilities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short-term borrowings, the Company paid loan initiation fees to the lender. These fees are accounted for as debt issuance costs and recorded as a direct deduction from the carrying amount of the related debt liability. The net carrying amount of the debt, after giving effect to these issuance costs, is accreted to the contractual repayment amount over the term of the loan using the effective interest method, with the amortization recognized as interest expense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Warrants and Embedded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convertible debt includes a conversion feature and an embedded call option. These features were evaluated to determine whether they require bifurcation from the host debt instrument. Management concluded that the features meet the definition of derivatives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therefore require separation from the host contract. The embedded call option permits the Company, upon a change in control, to call the instrument, representing an additional embedded derivative feature. In assessing the conversion feature, management determined that the number of shares issuable upon conversion is contingent upon stockholder approval to remove the 4.99% beneficial ownership limitation. Because this contingency represents an input that is not consistent with a fixed-for-fixed equity instrument under ASC 815-40-15-7, the conversion feature is not considered indexed to the Common Stock and does not qualify for equity classification. Accordingly, the embedded call option and conversion feature were combined and accounted for as a single embedded derivative liability measured at fair value, with changes in fair value recognized in earnings.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issued in connection with the short-term loan are accounted for as a separate derivative liability. The warrants are measured at fair value at each reporting date, and changes in fair value are recognized in earnings.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transaction was accounted for as a reverse recapitalization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Although ShoulderUp was the legal acquirer in the transaction, the Company was determined to be the accounting acquirer based on the evaluation of the relevant accounting guidance. Accordingly, the transaction was treated for accounting purposes as a reverse recapitalization of the Company. The historical financial statements of the Company became the historical financial statements of the combined entity, and the net assets of ShoulderUp were recorded at their historical carrying amounts. No goodwill or other intangible assets were recognized in connection with the transaction. The equity structure of the combined company was adjusted to reflect the shares issued in the transaction, and transaction costs were accounted for in accordance with applicable guidance.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Revenue is recognized when promised goods or services are transferred to customers in an amount that reflects the consideration to which we expect to be entitled in exchange for those goods or services.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revenue recognition through the following steps:</w:t>
      </w:r>
    </w:p>
    <w:p>
      <w:pPr>
        <w:pStyle w:val="TextBody"/>
        <w:bidi w:val="0"/>
        <w:spacing w:before="0" w:after="0"/>
        <w:ind w:left="0" w:right="0" w:firstLine="36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75"/>
        <w:gridCol w:w="170"/>
        <w:gridCol w:w="4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the contract, or contracts, with a customer;</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the performance obligations in the contract;</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170"/>
        <w:gridCol w:w="3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Determination of the transaction price;</w:t>
            </w:r>
          </w:p>
        </w:tc>
      </w:tr>
    </w:tbl>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Allocation of the transaction price to the performance obligations in the contract; and</w:t>
            </w:r>
          </w:p>
        </w:tc>
      </w:tr>
    </w:tbl>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70"/>
        <w:gridCol w:w="5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Recognition of revenue when, or as, we satisfy a performance obligation.</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primarily recognizes revenue from the sale The Company primarily recognizes revenue from the sale and delivery of products. As it is still in the early stages of developing its software-as-a-service (SaaS) product, most revenue is derived from product sales, including bridges, gateways, and labels.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feasibility studies which allow customers to gain insight into how data driven tracking could improve their business. As part of our studies, off-the-shelf components are installed on customer-owned assets which enable data to be captured by our beta Zero Infrastructure Mesh (“ZIM”) technology network. These feasibility studies allow the refinement of our software protocols and provide essential information for the continued development of our solution. Customers receive the information captured in our feasibility study reports.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contracts with customers include various performance obligations which are satisfied at a point in time or over time. In reaching this conclusion, we considered the context of the contract and the nature of our promises to provide the customers with products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performance obligations are satisfied at a point in time, as our customers do not consume the benefits until the products are delivered. Accordingly, the consideration related to the performance obligations are recognized on when control of the products are transferred to the customer which is upon acceptance.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involved in revenue recognition pertain to determination of the stand-alone selling price. Management considered the data inputs for the stand-alone selling price and determined that the adjusted market assessment approach provided the best estimate of the stand-alone selling price and the total products and services to be delivered over the term of the contract. The estimates applied have been reasonable in the past and the likelihood of change in estimate to impact the stand-alone selling price is remote.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an exclusivity agreement on November 8, 2024, and a partner agreement on December 18, 2024, with a major reseller. The exclusivity agreement grants the reseller the exclusive right to sell the Company’s products for one year, with automatic renewal for up to four additional one-year periods if specified sales targets are achieved. The partner agreement provides a 5% purchasing incentive based on the reseller’s quarterly growth in total solution purchases and requires the Company to contribute at least 1% of revenue toward marketing activities, paid as a rebate. Management concluded that the exclusivity agreement, partner agreement, and future product purchase orders should be combined and accounted for as a single contract under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received a $2,000,000 payment from the reseller for a five-year exclusivity right, including four successive one year automatic renewal periods, granting the reseller exclusive rights to distribute the Company’s products to its customers. Since exclusivity does not represent a distinct performance obligation under ASC 606, the payment was recorded as deferred revenue. Revenue will be recognized over the contract term in proportion to the products and services delivered, based on estimated total sales over the five-year period. These estimates will be reviewed quarterly and adjusted based on the reseller’s actual performance. If the reseller fails to meet sales targets and the agreement is terminated, any remaining deferred revenue will be recognized at that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606, both the incentive and rebate represent variable consideration, as they depend on actual sales volume. Management will estimate expected sales and related rebates to determine the transaction price and recognize revenue accordingly. The purchasing incentive and marketing rebate are not separate performance obligations, and variable consideration related to these incentives will be included in revenue only when it is probable that no significant reversal will occur once uncertainties are resolved. The Company will accrue the incentive amount at the end of each quarter when sales revenue is finalized.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Internal-Use Software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Topic 350 40, </w:t>
      </w:r>
      <w:r>
        <w:rPr>
          <w:rFonts w:ascii="Times New Roman;Times;Serif" w:hAnsi="Times New Roman;Times;Serif"/>
          <w:b w:val="false"/>
          <w:i/>
          <w:caps w:val="false"/>
          <w:smallCaps w:val="false"/>
          <w:sz w:val="20"/>
        </w:rPr>
        <w:t>Intangibles Goodwill and Other Internal Use Software</w:t>
      </w:r>
      <w:r>
        <w:rPr>
          <w:rFonts w:ascii="Times New Roman;Times;Serif" w:hAnsi="Times New Roman;Times;Serif"/>
          <w:b w:val="false"/>
          <w:i w:val="false"/>
          <w:caps w:val="false"/>
          <w:smallCaps w:val="false"/>
          <w:sz w:val="20"/>
        </w:rPr>
        <w:t>, we capitalize software development costs incurred on new applications or enhancements to applications during the application development phase of software for internal use to provide services to customers. These capitalized costs include certain payroll and payroll related costs for employees and costs for outside consultants who are directly associated with and who devote time to internal use software projects. Costs incurred prior to the application development phase and after the market release are expensed as incurred.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on an annual basis and will test for impairment whenever events or changes in circumstances occur that could impact the recoverability of these assets. These costs are not yet amortized as our SaaS solution has not been deployed.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use of estimates in determining the appropriate allocation of personnel costs (including fringe benefits and stock compensation) and software development consultants’ costs to software capitalization. Such costs were analyzed for reasonableness and the current basis (evaluation of project plans and stage) is determined to be the best estimate of the costs capitalized during the period. The estimates applied have been reasonable in the past and the likelihood of change in estimate to impact the software cost capitalized is remote.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and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describe the recently issued accounting pronouncements that apply in Note 2 of the consolidated financial statements as of and for the year ended December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toc_010"/>
      <w:bookmarkEnd w:id="11"/>
      <w:r>
        <w:rPr>
          <w:rFonts w:ascii="Times New Roman;Times;Serif" w:hAnsi="Times New Roman;Times;Serif"/>
          <w:b/>
          <w:i w:val="false"/>
          <w:caps w:val="false"/>
          <w:smallCaps w:val="false"/>
          <w:sz w:val="20"/>
        </w:rPr>
        <w:t>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&amp; Outdoor tracking with seamless transitions, Passive RFID (including Bluetooth and 5G), in-process locating system, Dolly Management, and related supported software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offers a SAAS platform for customer subscriptions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Real-time asset tracking services allow customers to improve many workflows, such as: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Vehicle inspection - Inspecting a vehicle as it is approaching to know when a high value asset is on board before it leaves a secure area allows operators to respond, halt the vehicle, and investigate. Customer security will know what is leaving and whether it is scheduled to leave. This capability can be used at gates, docks or storage locations to automatically grant access and record movements for accountability.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Inventory tracking - CID Holdco provides a unique capability to dynamically sweep item inventory with roving, inexpensive readers powered by batteries. Due to their low cost and wireless capability, these readers can be deployed on pallets, fork trucks, shelves or even people to provide coverage of the location of interest. As a result of this capability, CID Holdco technology is disruptive to legacy logistics systems which are either inadequate to gather this level of detail or much more expensive and inflexible to deploy.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Tracking items and/or personnel - Using RF tags or access cards, CID Holdco systems automatically process inbound and outbound personnel or items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Vehicle collision avoidance - CID Holdco not only provides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CID Holdco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CID Holdco provides the capability to enable machine learning and AI intervention in complex processes to enhance safety, assurance and efficiency.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unique process visibility provided by their innovations, CID Holdco is often implemented as an edge system producing rich data streams for other supervisory systems of record. Powerful commercial partnerships are intended to be formed with large ERP, MES or WMS system players in the targeted vertical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short, CID Holdco brings a next generation capability to know when, where and why assets move in the enterprise, providing an opportunity to apply AI to complex edge processes.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Software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robust pipeline of software development projects underway. The costs associated with these projects are largely the cost of human resources associated with the project, with some additional minor costs related to use costs for infrastructure, tools and platforms that support the development. The time of team members spent on the projects are pro-rated against salary levels and attributed to the module capitalization. Time is spent on development, test, compliance and commercialization activities to prepare modules for sale to the general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Commercialization activities include installers and scripts required for future customers to activate their license and commercially use the software product. The development stage costs are (a) direct costs incurred from external consultants in developing the internal-use software and (b) direct costs incurred from payroll and payroll-related costs for employees who are directly associated with and who devote time to the internal-use computer software projects. The cost of these commercialization activities are included in the capitalization.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its revenue from a limited number of customers, resulting in customer concentration. A majority of revenue is derived from a small group of customers, with one customer representing a significant portion of total revenue. The Company’s accounts receivable balances are also concentrated among a limited number of customers, with a significant portion attributable to one or more primary customers. The Company monitors the credit worthiness of its customers on an ongoing basis and believes its credit risk is limited due to the financial strength and payment history of these customers. Management does not expect material losses from these concentrations and has not recorded an allowance for credit losses, as all receivables are considered highly collectible.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grow revenue depends on enhancing our Dot Cloud SaaS platform and introducing new solutions that meet evolving customer needs and comply with applicable governmental regulations. The development and launch of new offerings are complex and subject to risks, including regulatory changes, competitive pressures, technology integration challenges, and market acceptance. Our business is also subject to existing laws and regulations that govern data privacy, security, and industry-specific compliance requirements, which may increase operating costs, limit how our solutions are delivered, or require ongoing modifications to our platform. Failure to comply with current or future governmental regulations could adversely affect our operations, reputation,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customers that need to know when, where and why assets and personnel are moving, and to have assurance that orders are progressing, CID Holdco provides a variety of solutions across many use cases, including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Inventory Management and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Warehouses and cross docks are a primary use case for the tracking and process control features of the CID Holdco system. Real-time Inventory, Picking, Packing and Putting are all applications supported by the system and to which CID Holdco provides disruptive, next generation capability.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operation where material, manpower and machines are working in concert is a primary area where CID Holdco offers comprehensive solutions. Tracking inventory levels in supermarkets, picking areas or assembly sites are typical applications. Solutions for transportation and fulfillment between work cells, managing RTIs and providing data for automated material systems and robotics are also offered. The CID Holdco solution extends across campus manufacturing and can tie tracking between multiple buildings, outdoor storage areas and work cells together.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Mining and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dynamic nature of these sites makes them particularly good areas for CID Holdco battery powered and long-range wireless solutions. Solutions include machine and material inventory tracking, personnel tracking, guided spotting and collision avoidance. Vision systems are often combined with tracking at these sites to manage contractors and access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Military Operations and Logistics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Supporting primarily material flow and security applications, CID Holdco provides the military with an easy to deploy, dynamic and secure means of tracking material and important workflows. Inventory applications include munitions, materials, consumable supplies and many classes of assets and equipment. Visitor and contractor check-in, base-wide tracking as well as selected personnel applications in the battlefield are also of interest. Vehicles, safety equipment and tool tracking are also important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Airport and Aviation Ground Support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solutions allow customers to create a connected network of vehicles, ground support equipment (“GSE”) and personnel with more control over the coordination of airport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customers have large, outdoor areas where asset tracking in open space is very helpful. Traditional infrastructure is often too dense and expensive to install in this use case, but the CID Holdco outdoor tracking solution meshes seamlessly with its indoor tracking solutions to provide a comprehensive solution that compliments customers’ existing systems. This helps avoid common problems, including lost or stolen assets, delays in locating GSE and inefficient use of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CID Holdco solution is designed to improve efficiency and optimize workflows by providing real-time tracking and control over all the resources at terminals and in cargo areas. With automated asset tracking solutions for aviation, customers can track employees enterprise-wide (indoors and outdoors), maximize the utilization of GSE assets, and track line maintenance teams, parts, tools and kits to maximize productivity.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Forklift Collision Warning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forklift collision avoidance solution is simple, promotes compliance and is flexible with the needs of customers. The solution involves minimal infrastructure investment and can be connected through the CAN bus port, allows customers to improve their regulatory compliance by having control over forklift movements for collision warning, and can be bundled with a forklift tracking system for a more comprehensive indoor location 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Medical Logistics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RTLS healthcare system includes a comprehensive digital pattern of human and asset movement and their use and interaction, so that customers get actionable insights to improve patient experience and outcome while optimizing internal logistics.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provides a comprehensive solution that compliments customers’ existing systems. Customers can track staff and patients enterprise-wide, and maximize the utilization of medical equipment and supplies in hospitals, austere medical environments or medical and emergency vehicles. The solution improves efficiency and optimizes workflows by providing real-time tracking and control. This helps avoid common problems including lost or stolen assets, delays in locating critical medical supplies and inefficient use of resources. Not only do CID Holdco solutions allow for the tracking of medical and emergency vehicles, they also provide item-level tracking within vehicles, trailers or any kind of storage or transportation container.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Yard management RTLS systems enable improved material handling processes, security, safety, and turnaround times. By providing a bridge between what’s happening inside the facility and transportation, yard management systems (“YMS”) create valuable opportunities for businesses to improve their yard processes and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YMS are a combination of software and hardware working together to oversee the movement of trucks and trailers within manufacturing, distribution, warehousing and delivery facilities. The primary goal of yard management is to make business operations more efficient. Yard management systems help improve efficiency, safety, and ease of inventory loading/unloading, transportation management, and warehouse management. YMS provides real-time location information of trailers in the yard so employees can stage trailers to docks and fulfill orders efficiently.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Artificial Intelligence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 operates as an edge execution and intelligence module, almost always integrated with an enterprise software (ERP, MES, WMS, etc.) system of record. Traditionally these enterprise software packages have relied on training personnel to execute orders and workflows, with little or no tracking of the interim steps between significant process milestones.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track and direct actions with much more detail than historical systems, due largely to our advanced IoT data collection capabilities. This additional data not only fills in gaps in the enterprise workflow records to create a more complete digital thread of the process, it provides a rich data source for enhancing enterprise execution through the use of AI. There are three primary ways that AI technology is applied in our solution: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8"/>
        <w:gridCol w:w="10002"/>
      </w:tblGrid>
      <w:tr>
        <w:trPr/>
        <w:tc>
          <w:tcPr>
            <w:tcW w:w="7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use AI Cameras as one of our means of data collection. This means that one or more cameras may be installed in the enterprise to monitor designated areas of interest. We capture the data streams from these cameras and use AI algorithms to recognize various objects moving in frame. Algorithms used are currently simple object recognition, i.e. we determine the object is a box, a person, a forklift, etc. Where a trackable tag has been applied to the object (RFID, Barcode, etc.), we correlate the image seen with the trackable information recorded and use probability filters to overlay the trackable information with the observed object. This enables enhanced intelligent tracking of assets using the overlay of digital image capture and the tracking information (identification number of the asset, parameter fields, location information and date and time stamps generated during associated movements) stored in our database. We anticipate that our AI Camera module will likely be enhanced in the future to include more advanced object recognition, such as long-range symbology (barcode) reading, facial recognition for personnel and greater learning capabilities to distinguish between various packages, tools or equipment in a given enterprise.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0"/>
        <w:gridCol w:w="10000"/>
      </w:tblGrid>
      <w:tr>
        <w:trPr/>
        <w:tc>
          <w:tcPr>
            <w:tcW w:w="7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use a Rules Engine to allow our administrative users to set rules that should not be violated in their particular application. Examples of typical rules may include constraints such as not loading through a certain dock door after 4:00 pm, always having two bins worth of material in every pick station, restricting aisle access to one machine at a time, etc. Our Rules Engine uses real-time tracking information as input to monitor and enforce the rules set by the user. Alarms can be set to inform supervisors to intervene and I/O devices can be triggered to prevent violation of the rules. The data set for this AI action includes the digital image capture and the tracking information (identification number of the asset, parameter fields, location information and date and time stamps generated during associated movements) stored in our database.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use AI to implement Enhanced Workflows. Our software supports common material handling workflows including Pick, Put, Pack, Inventory and Inspect. In performing these tasks, operators in the future can be assisted by intelligent algorithms that work in the background to provide context, meaning and analysis of the data supporting the action they are being asked to do. For example, a picker can have his jobs prioritized in real-time to meet timelines the AI system calculates are required for upstream operators, an inspector can have suspected batches flagged based on a combination of parameters observed by the system or a forklift operator can be directed to put material in a bay that is optimized for quickest access for a future action. This enhanced function can be displayed as suggestions for the operator to consider or enabled to act directly on the order being executed to direct the operator. The AI engine has a learning element that allows it to assist more effectively over time as it learns the workflows of the particular enterprise.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sets used to enhance workflows include the same digital image capture and tracking information (identification number of the asset, parameter fields, location information and date and time stamps generated during associated movements) stored in our database as our other AI implementations. However this feature also depends on a meta-data object we call a Recipe. The Recipe encodes the concept that any action in tracking, transforming or transporting an asset requires specified conditions, time and resources to be accomplished. In the future, the AI algorithms will attempt to optimize all aspects of the recipe to most effectively achieve the outcome required by the enterprise management system.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68 full-time equivalent employees. These resources are organized into five major departments, each headed by an executive: Sales, Marketing, Customer Success, Research &amp; Development and General &amp; Administrative which include manufacturing and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based in the United States with four existing or planned locations of activity: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 — hosts our Go-To-Market team including our Sales, Marketing and Professional Services leadership, a Western Experience Center for demonstrations as well as customer and channel training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Bethesda, Maryland — hosts our General &amp; Administration leadership team, an Eastern Experience Center for demonstrations as well as customer and channel training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Worcester, Massachusetts — hosts our R&amp;D group, including a lab space with testing equipment and meeting facilities to host customer integration meetings. Note that while our US-based developers are clustered around this location, a significant portion of our R&amp;D developers are located in Bangalore, India and access the lab equipment remotely to conduct tests and validation.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Manati, Puerto Rico — the site of our hardware manufacturing, a small factory producing selected tags and bridges that are specific to the unique tracking system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personnel and material flow management industry is highly fragmented, with most vendors offering software and/or hardware solutions addressing specific industry verticals or specific solution sets. Our competition can be described from several perspectives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Leaders in Tracking and AutoID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Zebra — Zebra Technologies Corporation is a mobile computing company based in San Francisco, California, specializing in technology used to sense, analyze, and act in real time. The company manufactures and sells marking, tracking, and computer printing technologies. Its products include mobile computers and tablets, software, thermal barcode label and receipt printers, RFID smart label printers/encoders/fixed &amp; handheld readers/antennas, autonomous mobile robots (AMR’s) &amp; machine vision (MV), and fixed industrial scanning hardware &amp; software. As the largest incumbent in the US market, with a legacy in printer manufacturing and barcode systems, its business model is focused on growing and developing new technology via acquisition, including a $3.5B deal to buy Motorola Solutions business in 2014.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Samsara — Samsara Inc. is an IoT company headquartered in San Francisco, California, that provides software and insights for physical operations. The company reports over 20,000 customers across North America and Europe. Samsara developed a connected operations cloud platform that provides insights to physical operations organizations in the transportation, construction, energy, utilities, public sector and retail industries, and supports the safety and efficiency of those operations. The company’s initial public offering raised $805 million in December 2021. They use a SAAS model with most of their revenue in ARR software subscriptions.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HID Global — Originally a German multinational, they were purchased by a Swedish company and relocated their corporate headquarters to Texas. The company is known for its Access Control and Security products and services and have expanded to all aspects of RFID and barcoding, including real-time tracking and AI.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Niche or Regional Tracking System Players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is crowded with small players as is typical in periods of generational transition. Many are attempting to apply IoT technology in a specific way or focused on a particular vertical application. They include US based companies, such as Link Labs, Cognosos, True Spot, Radiant RFID, Savi, and Inpixion; and international companies such as Blueiot, Dusun, Mokosmart, Milesight, Digital Matter, Abeeway, Kontakt.io, Ubisense, Sensolus, and Litum. Combined, these smaller players represent approximately $350M in annual sales. Most are using a transactional model, selling software and hardware bundled into a solution with a one-time fee, often with a maintenance fee for each year of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industry specific players, particularly in Health Care, where the requirements can be quite specific and the use cases focused. Competition is from all over the world, with many of the most important competitors centered in the US market. Many of the devices designed by these players are made in China via contractors. There is also a wide technology spread. Some specialize in precise location services using UWB. Some are strictly BLE or LoRA shops. There are also passive RFID and barcode system companies active in the market. Their legacy footprint represents one of the best market opportunities to convert.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Automation and Sensor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automation players such as Honeywell, Siemens, Rockwell Automation, Mitsubishi, Panasonic, Omron, Sick, Schneider Electric and their peers are adept at selling hardware and software solutions to improve operations in the target markets of the Company. Many of them are involved in IoT/AI and have incubators or have acquired small companies that are direct competitors to the Company. While they can compete in specific applications, this group is more often seen as complementary to the solutions of the Company. Their channel partners are prime targets to take on the solution set provided by the Company to augment existing offerings from their primary line card.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ERP, MES or WMS Players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group includes Korber, SAP, Microsoft, Oracle, Blue Yonder, Infor, and Manhattan Associates. They can compete with the Company in some applications but are most often commercial partners in the solution. The Company will act as an edge module that is integrated into their platform for enhanced visibility, safety, assurance, or execution in the system.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Infrastructure and Integrator Vendor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IBM, Cisco, Juniper Networks, JMA, Sierra Wireless, Dell, Arista, HPE have some extensive infrastructure and software of their own to enhance systems processes. This group can be very competitive with the Company in capturing enterprise digital migration adoption, they have a primary mission of being the “pipe” that the enterprise looks to for the future. Once they have mindshare in an account, they often play a primary role in specifying other systems (particularly hardware) with the customer to enhance the process over time, leveraging their position, AI and workflow software can be competitive but are not the focus of their mission, often providing only general solutions. They are complementary at the edge level and may be cultivated as channel partners for our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Workflow Automation, Integration &amp; AI Vendor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Microsoft, Appian, SS&amp;C Blue Prism, Pegasystems, Automation Anywhere, UiPath have some extensive software to enhance systems processes. This group can be very competitive with the Company in capturing enterprise digital migration adoption, they have a primary mission of being the “pane of glass” that the enterprise looks to for the future of their digital enterprise. Once they have mindshare in an account, they often play a primary role in specifying other systems with the customer to enhance the process over time, leveraging their position. Their dashboard, AI and workflow software are competitive, but they are complementary at the edge level and may be cultivated as channel commercial partners for our hardware solutions IoT system.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Competitive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competitive factors in the markets in which we operate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AI Implementation</w:t>
            </w:r>
            <w:r>
              <w:rPr>
                <w:rFonts w:ascii="Times New Roman;Times;Serif" w:hAnsi="Times New Roman;Times;Serif"/>
                <w:sz w:val="20"/>
              </w:rPr>
              <w:t xml:space="preserve"> — while this is an emerging area, we are investing heavily in this battleground feature. We believe that soon the most important aspect of the buying decision will be the extent to which AI has been implemented to simplify the complex logistics processes and intervene when needed to enable greater enterprise performance.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TCO (Total Cost of Ownership)</w:t>
            </w:r>
            <w:r>
              <w:rPr>
                <w:rFonts w:ascii="Times New Roman;Times;Serif" w:hAnsi="Times New Roman;Times;Serif"/>
                <w:sz w:val="20"/>
              </w:rPr>
              <w:t xml:space="preserve"> — Our systems are intended to run for decades in an enterprise, with costs over that time playing a key role in the buying decision. The ability for the customer to extend the system easily, not be subject to custom programming charges, avoid proprietary devices and keep pace with data structure and security changes is an important competitive advantage.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ROI (Return on Investment)</w:t>
            </w:r>
            <w:r>
              <w:rPr>
                <w:rFonts w:ascii="Times New Roman;Times;Serif" w:hAnsi="Times New Roman;Times;Serif"/>
                <w:sz w:val="20"/>
              </w:rPr>
              <w:t xml:space="preserve"> — Our value to the enterprise vs the benefit is part of every buy decision. This includes the total cost of ownership over time and the installation costs borne by the customer during adoption of the system. The impact we have on key workflows (inventory, order processing, picking, packing, putting etc) is measurable and significant. Our unique ability to use low-cost passive transponders (less than a tenth of the cost of the active transponders used by almost every other competitor) is a key factor in our success. The long-range nature of our radio network (up to 15 miles) also impacts this equation by lowering the infrastructure required for operation.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Accuracy and Reliability</w:t>
            </w:r>
            <w:r>
              <w:rPr>
                <w:rFonts w:ascii="Times New Roman;Times;Serif" w:hAnsi="Times New Roman;Times;Serif"/>
                <w:sz w:val="20"/>
              </w:rPr>
              <w:t xml:space="preserve"> — many competitors advertise pinpoint location accuracy to win customers. However, most processes do not need location accuracy better than a couple of meters to direct and execute their operations. What is more important for the enterprise, is the reliability of the identification of the asset. Since our patented mesh system can normally identify the presence of an asset at two sigma (95%) for very minimal cost or three sigma (99.7%) at a somewhat higher cost, we are in an enviable market leadership position relative to customer need.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Support Services</w:t>
            </w:r>
            <w:r>
              <w:rPr>
                <w:rFonts w:ascii="Times New Roman;Times;Serif" w:hAnsi="Times New Roman;Times;Serif"/>
                <w:sz w:val="20"/>
              </w:rPr>
              <w:t xml:space="preserve"> — The processes that we impact are critical to the functioning of an enterprise. To commit to this new technology, users need to know they will have support when things inevitably go wrong. Use of an extensive channel partner network means they will have a trusted local partner to assist them, with a powerful technology vendor behind them. Backing the channel with high-availability support lines and customer service is essential.</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Friendly country sourcing</w:t>
            </w:r>
            <w:r>
              <w:rPr>
                <w:rFonts w:ascii="Times New Roman;Times;Serif" w:hAnsi="Times New Roman;Times;Serif"/>
                <w:sz w:val="20"/>
              </w:rPr>
              <w:t xml:space="preserve"> — So many competitors rely on Chinese or Taiwan sourcing, excluding them from consideration for USA Government or Military contracts and making them less desirable for private sector selection. Sourcing from DFAR compliant countries and making our core components in the USA positions us particularly well for the crucial US market.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these factors, we believe we are positioned favorably against our competitors. However, some of our competitors have substantially greater financial resources, greater brand recognition, larger sales forces and marketing budgets, as well as broader distribution networks. Large corporations may be able to utilize their distribution networks and existing relationships to offer new solutions in addition to solutions already being provided to customers. We expect additional competition as our market grows and rapidly changes, and we may choose to enter or expand into new markets as well.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pursue the following growth strategies: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Focused Customer Acquisition</w:t>
      </w:r>
      <w:r>
        <w:rPr>
          <w:rFonts w:ascii="Times New Roman;Times;Serif" w:hAnsi="Times New Roman;Times;Serif"/>
          <w:b w:val="false"/>
          <w:i w:val="false"/>
          <w:caps w:val="false"/>
          <w:smallCaps w:val="false"/>
          <w:sz w:val="20"/>
        </w:rPr>
        <w:t>: With a rapidly digitizing market, we believe that there is a significant opportunity to continue to grow our customer base as we promote our capabilities. We plan to continually invest in our sales and marketing coverage, including channel partners, and leverage our go-to-market model to continue acquiring new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Expand Within Our Existing Customer Base</w:t>
      </w:r>
      <w:r>
        <w:rPr>
          <w:rFonts w:ascii="Times New Roman;Times;Serif" w:hAnsi="Times New Roman;Times;Serif"/>
          <w:b w:val="false"/>
          <w:i w:val="false"/>
          <w:caps w:val="false"/>
          <w:smallCaps w:val="false"/>
          <w:sz w:val="20"/>
        </w:rPr>
        <w:t>. Once we solve the first problem for our customers, we see a significant opportunity to expand application adoption within that same account. This includes increasing the number of physical assets enrolled as well as expanding across our customers’ multiple sites and divisions.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Customer-centric Innovation and Rapid Product Releases</w:t>
      </w:r>
      <w:r>
        <w:rPr>
          <w:rFonts w:ascii="Times New Roman;Times;Serif" w:hAnsi="Times New Roman;Times;Serif"/>
          <w:b w:val="false"/>
          <w:i w:val="false"/>
          <w:caps w:val="false"/>
          <w:smallCaps w:val="false"/>
          <w:sz w:val="20"/>
        </w:rPr>
        <w:t>. Our architecture was designed as a platform from the beginning to enable fast turns and parallel development. This means we can move at a faster cadence than anyone else in bringing enhanced products to market and in enhancing our products as customer needs emerge. Our goal is to continue to add market-driven capabilities and product features on at least a quarterly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Channel development</w:t>
      </w:r>
      <w:r>
        <w:rPr>
          <w:rFonts w:ascii="Times New Roman;Times;Serif" w:hAnsi="Times New Roman;Times;Serif"/>
          <w:b w:val="false"/>
          <w:i w:val="false"/>
          <w:caps w:val="false"/>
          <w:smallCaps w:val="false"/>
          <w:sz w:val="20"/>
        </w:rPr>
        <w:t>. Our vision is to be a channel focused company. Rapid acquisition of targeted channel partners in all of the global markets will be a primary metric. Our unique technology, very attractive commercial model, as well as the training and support capability we offer will drive channel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Expand Technology Partnerships and Integrations</w:t>
      </w:r>
      <w:r>
        <w:rPr>
          <w:rFonts w:ascii="Times New Roman;Times;Serif" w:hAnsi="Times New Roman;Times;Serif"/>
          <w:b w:val="false"/>
          <w:i w:val="false"/>
          <w:caps w:val="false"/>
          <w:smallCaps w:val="false"/>
          <w:sz w:val="20"/>
        </w:rPr>
        <w:t>. Our use of COTS devices and integration with existing software for many of our solutions makes us useful collaborators in our markets. We leverage the combined expertise of multiple partners, each looking at specific technical and commercial areas to ensure we are at the forefront. This solutions stance also enables commercial growth, as we are referenced into accounts and opportunities by our partners. Our backend software integrations are especially important here. Continued growth in integrations will strengthen our ecosystem, further increasing the opportunity to attract customers that prioritize interoperability with their existing applications. We also believe that additional partnerships will further enhance our distribution capabilities.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Expand Internationally</w:t>
      </w:r>
      <w:r>
        <w:rPr>
          <w:rFonts w:ascii="Times New Roman;Times;Serif" w:hAnsi="Times New Roman;Times;Serif"/>
          <w:b w:val="false"/>
          <w:i w:val="false"/>
          <w:caps w:val="false"/>
          <w:smallCaps w:val="false"/>
          <w:sz w:val="20"/>
        </w:rPr>
        <w:t>. A key focus of our company is to continue to expand our global reach. In the short term we are already expanding channel in Europe and expect to form a sales company in Southern Germany or Northern Switzerland next year. To support our offshore engineering team, add customer support capability and some sales opportunities already emerging in the region, we also plan to form an Indian subsidiary in 2026. Note that our product platforms were designed from the outset to meet international standards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Monetizing data streams</w:t>
      </w:r>
      <w:r>
        <w:rPr>
          <w:rFonts w:ascii="Times New Roman;Times;Serif" w:hAnsi="Times New Roman;Times;Serif"/>
          <w:b w:val="false"/>
          <w:i w:val="false"/>
          <w:caps w:val="false"/>
          <w:smallCaps w:val="false"/>
          <w:sz w:val="20"/>
        </w:rPr>
        <w:t>. As a data producer, the Company has access to valuable data that is of interest to industry analysts, financial markets, insurance providers, Equipment OEMs, regulatory bodies and many other stakeholders. Current EULAs and contracts allow the Company to use non-PII data for any purpose, including for sale. This emerging opportunity to monetize the data streams can be significant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Acquisitions</w:t>
      </w:r>
      <w:r>
        <w:rPr>
          <w:rFonts w:ascii="Times New Roman;Times;Serif" w:hAnsi="Times New Roman;Times;Serif"/>
          <w:b w:val="false"/>
          <w:i w:val="false"/>
          <w:caps w:val="false"/>
          <w:smallCaps w:val="false"/>
          <w:sz w:val="20"/>
        </w:rPr>
        <w:t>. Note that it is likely that we will also look to accelerate growth by acquisition. Potential targets are being evaluated based on the extent to which they can help us in one or more of the strategies’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Material Supply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agreements in place with Wiliot, the company which provides our chip and passive labels for tracking and Arshon Technology Inc. (“Arshon”), the company which helped create our initial PCB board. However, the remaining individual components are purchased using purchase orders and are not yet subject to supplier agreements. Following our initial production runs, we plan to implement a dual source policy for our components wherever possible so we’re not reliant on one provider. For example, we are ordering PCB boards from both AET and Arshon. We order chips from Wiliot and from Identiv. Identiv is recognized as one of the world’s largest producers of specialty RFID tags, inlays and labels. In fact, Identiv is the main supplier for Wiliot.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(the “Arshon Agreement”) between CID Holdco, Inc. (Client) and Arshon (Contractor) outlines several material terms, including the rights and obligations of both parties, as well as termination and payment provisions. Arshon is responsible for providing services such as designing and developing Perth PCBs, including schematics, prototypes, production boards, and test jigs. Deliverables include Gerber files, BOM, schematics, and PCBs. These services are to be performed independently, with Arshon taking responsibility for reporting compensation as income and complying with all applicable laws. We are obligated to provide payments as outlined in the Statement of Work (SOW) and reimburse pre-approved travel and related expenses. Intellectual property rights for all deliverables created during the performance of services are assigned to the Company, and Arshon is required to maintain confidentiality of all information we provide, and to return or destroy such information upon termination of the Arshon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Arshon Agreement may be terminated for breach if the defaulting party does not remedy the breach within 10 days of notice. Additionally, it can be terminated immediately in cases involving fraud, misconduct, tax violations, or bankruptcy. Either party may also terminate the agreement for convenience with at least 10 days’ written notice, and the agreement automatically terminates if the Deel platform terms are terminated or if either party loses access to Deel. Upon termination, Arshon is required to return all work products and confidential information, while we must pay any accrued but unpaid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the agreement (the “Wiliot Agreement”) between Wiliot Ltd. and CID Holdco Inc. dba Dot AI Corporation include key rights, obligations, termination provisions, and payment terms. Under the Wiliot Agreement, Wiliot grants the Company non-exclusive rights to promote, market, and resell Wiliot’s IoT Pixels, Hardware, and Cloud subscriptions as part of an Integrated Solution. The Company also has the right to provide professional services related to Wiliot’s products. The Company is required to maintain certification and compliance with integration requirements while ensuring customer relationships align with the agreement’s terms. Intellectual property rights remain with Wiliot for its products and solutions, while the Company retains rights to its own developments based on Wiliot’s intellectual property with proper attribution.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Wiliot Agreement can be terminated under several conditions, including mutual convenience with 90 days’ notice, material breach not remedied within 30 days, insolvency, or bankruptcy. Upon termination, the Company must cease use of Wiliot’s branding and fulfill existing purchase orders. Wiliot retains discretion over customer approvals and the supply chain, and the Partner cannot market or distribute Wiliot products outside the agreed-upon territory and vertical without prior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provisions include milestone-based invoicing, with 50% due upon purchase order acceptance and the remainder upon delivery. Wiliot Cloud subscriptions are billed monthly or annually, with fees based on the chosen functionalities. Payments must be made in U.S. dollars and within specified timeframes, and are non-refundable. Pricing adjustments require 30 days’ notice, and taxes and additional charges are the Partner’s responsibility. Overall, the Wiliot Agreement emphasizes a collaborative yet clearly delineated partnership, protecting both parties’ intellectual property and operational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under the Wiliot Agreement are milestone-based, tied to the completion of specific deliverables as outlined in the SOW. The Client is also responsible for reimbursing reasonable, pre-approved expenses incurred by the Contractor during service performance. All payments are processed through the Deel platform in accordance with Deel’s terms and conditions, ensuring compliance with their payment facilitation processes.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headquartered in Las Vegas, Nevada, where we also host a Customer Experience Center in the warehouse area of one of our channel partners. Our management and administrative staff are in Bethesda, MD where we maintain an office for east coast customer engagement, government meetings and supporting lobbying activity. Our embedded development team and DFM capability is built around our CTO in Worcester, MA and our core software team is in Bangalore India. Our manufacturing subsidiary with assembly and test lines in Puerto Rico is managed on site by our COO/CFO.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8"/>
        <w:gridCol w:w="60"/>
        <w:gridCol w:w="1248"/>
        <w:gridCol w:w="60"/>
        <w:gridCol w:w="2020"/>
        <w:gridCol w:w="60"/>
        <w:gridCol w:w="1307"/>
        <w:gridCol w:w="60"/>
        <w:gridCol w:w="1645"/>
        <w:gridCol w:w="60"/>
        <w:gridCol w:w="1372"/>
        <w:gridCol w:w="60"/>
        <w:gridCol w:w="1225"/>
      </w:tblGrid>
      <w:tr>
        <w:trPr/>
        <w:tc>
          <w:tcPr>
            <w:tcW w:w="10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8" w:type="dxa"/>
            <w:tcBorders>
              <w:bottom w:val="single" w:sz="12" w:space="0" w:color="000000"/>
            </w:tcBorders>
            <w:tcMar>
              <w:bottom w:w="28" w:type="dxa"/>
            </w:tcMar>
            <w:vAlign w:val="center"/>
          </w:tcPr>
          <w:p>
            <w:pPr>
              <w:pStyle w:val="TableContents"/>
              <w:bidi w:val="0"/>
              <w:spacing w:before="0" w:after="283"/>
              <w:jc w:val="center"/>
              <w:rPr>
                <w:b/>
              </w:rPr>
            </w:pPr>
            <w:r>
              <w:rPr>
                <w:b/>
              </w:rPr>
              <w:t>Admin</w:t>
            </w:r>
          </w:p>
        </w:tc>
        <w:tc>
          <w:tcPr>
            <w:tcW w:w="60" w:type="dxa"/>
            <w:tcBorders/>
            <w:vAlign w:val="center"/>
          </w:tcPr>
          <w:p>
            <w:pPr>
              <w:pStyle w:val="TableContents"/>
              <w:bidi w:val="0"/>
              <w:spacing w:before="0" w:after="283"/>
              <w:jc w:val="left"/>
              <w:rPr/>
            </w:pPr>
            <w:r>
              <w:rPr/>
              <w:t> </w:t>
            </w:r>
          </w:p>
        </w:tc>
        <w:tc>
          <w:tcPr>
            <w:tcW w:w="2020" w:type="dxa"/>
            <w:tcBorders>
              <w:bottom w:val="single" w:sz="12" w:space="0" w:color="000000"/>
            </w:tcBorders>
            <w:tcMar>
              <w:bottom w:w="28" w:type="dxa"/>
            </w:tcMar>
            <w:vAlign w:val="center"/>
          </w:tcPr>
          <w:p>
            <w:pPr>
              <w:pStyle w:val="TableContents"/>
              <w:bidi w:val="0"/>
              <w:spacing w:before="0" w:after="283"/>
              <w:jc w:val="center"/>
              <w:rPr>
                <w:b/>
              </w:rPr>
            </w:pPr>
            <w:r>
              <w:rPr>
                <w:b/>
              </w:rPr>
              <w:t>Corporate HQ</w:t>
            </w:r>
          </w:p>
        </w:tc>
        <w:tc>
          <w:tcPr>
            <w:tcW w:w="60" w:type="dxa"/>
            <w:tcBorders/>
            <w:vAlign w:val="center"/>
          </w:tcPr>
          <w:p>
            <w:pPr>
              <w:pStyle w:val="TableContents"/>
              <w:bidi w:val="0"/>
              <w:spacing w:before="0" w:after="283"/>
              <w:jc w:val="left"/>
              <w:rPr/>
            </w:pPr>
            <w:r>
              <w:rPr/>
              <w:t> </w:t>
            </w:r>
          </w:p>
        </w:tc>
        <w:tc>
          <w:tcPr>
            <w:tcW w:w="1307" w:type="dxa"/>
            <w:tcBorders>
              <w:bottom w:val="single" w:sz="12" w:space="0" w:color="000000"/>
            </w:tcBorders>
            <w:tcMar>
              <w:bottom w:w="28" w:type="dxa"/>
            </w:tcMar>
            <w:vAlign w:val="center"/>
          </w:tcPr>
          <w:p>
            <w:pPr>
              <w:pStyle w:val="TableContents"/>
              <w:bidi w:val="0"/>
              <w:spacing w:before="0" w:after="283"/>
              <w:jc w:val="center"/>
              <w:rPr>
                <w:b/>
              </w:rPr>
            </w:pPr>
            <w:r>
              <w:rPr>
                <w:b/>
              </w:rPr>
              <w:t>Systems Lab</w:t>
            </w:r>
          </w:p>
        </w:tc>
        <w:tc>
          <w:tcPr>
            <w:tcW w:w="60" w:type="dxa"/>
            <w:tcBorders/>
            <w:vAlign w:val="center"/>
          </w:tcPr>
          <w:p>
            <w:pPr>
              <w:pStyle w:val="TableContents"/>
              <w:bidi w:val="0"/>
              <w:spacing w:before="0" w:after="283"/>
              <w:jc w:val="left"/>
              <w:rPr/>
            </w:pPr>
            <w:r>
              <w:rPr/>
              <w:t> </w:t>
            </w:r>
          </w:p>
        </w:tc>
        <w:tc>
          <w:tcPr>
            <w:tcW w:w="1645" w:type="dxa"/>
            <w:tcBorders>
              <w:bottom w:val="single" w:sz="12" w:space="0" w:color="000000"/>
            </w:tcBorders>
            <w:tcMar>
              <w:bottom w:w="28" w:type="dxa"/>
            </w:tcMar>
            <w:vAlign w:val="center"/>
          </w:tcPr>
          <w:p>
            <w:pPr>
              <w:pStyle w:val="TableContents"/>
              <w:bidi w:val="0"/>
              <w:spacing w:before="0" w:after="283"/>
              <w:jc w:val="center"/>
              <w:rPr>
                <w:b/>
              </w:rPr>
            </w:pPr>
            <w:r>
              <w:rPr>
                <w:b/>
              </w:rPr>
              <w:t>Assembly &amp;</w:t>
              <w:br/>
              <w:t>Test</w:t>
            </w:r>
          </w:p>
        </w:tc>
        <w:tc>
          <w:tcPr>
            <w:tcW w:w="60" w:type="dxa"/>
            <w:tcBorders/>
            <w:vAlign w:val="center"/>
          </w:tcPr>
          <w:p>
            <w:pPr>
              <w:pStyle w:val="TableContents"/>
              <w:bidi w:val="0"/>
              <w:spacing w:before="0" w:after="283"/>
              <w:jc w:val="left"/>
              <w:rPr/>
            </w:pPr>
            <w:r>
              <w:rPr/>
              <w:t> </w:t>
            </w:r>
          </w:p>
        </w:tc>
        <w:tc>
          <w:tcPr>
            <w:tcW w:w="1372" w:type="dxa"/>
            <w:tcBorders>
              <w:bottom w:val="single" w:sz="12" w:space="0" w:color="000000"/>
            </w:tcBorders>
            <w:tcMar>
              <w:bottom w:w="28" w:type="dxa"/>
            </w:tcMar>
            <w:vAlign w:val="center"/>
          </w:tcPr>
          <w:p>
            <w:pPr>
              <w:pStyle w:val="TableContents"/>
              <w:bidi w:val="0"/>
              <w:spacing w:before="0" w:after="283"/>
              <w:jc w:val="center"/>
              <w:rPr>
                <w:b/>
              </w:rPr>
            </w:pPr>
            <w:r>
              <w:rPr>
                <w:b/>
              </w:rPr>
              <w:t>EU</w:t>
              <w:br/>
              <w:t>Subsidiary</w:t>
            </w:r>
          </w:p>
        </w:tc>
        <w:tc>
          <w:tcPr>
            <w:tcW w:w="60" w:type="dxa"/>
            <w:tcBorders/>
            <w:vAlign w:val="center"/>
          </w:tcPr>
          <w:p>
            <w:pPr>
              <w:pStyle w:val="TableContents"/>
              <w:bidi w:val="0"/>
              <w:spacing w:before="0" w:after="283"/>
              <w:jc w:val="left"/>
              <w:rPr/>
            </w:pPr>
            <w:r>
              <w:rPr/>
              <w:t> </w:t>
            </w:r>
          </w:p>
        </w:tc>
        <w:tc>
          <w:tcPr>
            <w:tcW w:w="1225" w:type="dxa"/>
            <w:tcBorders>
              <w:bottom w:val="single" w:sz="12" w:space="0" w:color="000000"/>
            </w:tcBorders>
            <w:tcMar>
              <w:bottom w:w="28" w:type="dxa"/>
            </w:tcMar>
            <w:vAlign w:val="center"/>
          </w:tcPr>
          <w:p>
            <w:pPr>
              <w:pStyle w:val="TableContents"/>
              <w:bidi w:val="0"/>
              <w:spacing w:before="0" w:after="283"/>
              <w:jc w:val="center"/>
              <w:rPr>
                <w:b/>
              </w:rPr>
            </w:pPr>
            <w:r>
              <w:rPr>
                <w:b/>
              </w:rPr>
              <w:t>India</w:t>
              <w:br/>
              <w:t>Subsidiary</w:t>
            </w:r>
          </w:p>
        </w:tc>
      </w:tr>
      <w:tr>
        <w:trPr/>
        <w:tc>
          <w:tcPr>
            <w:tcW w:w="1028" w:type="dxa"/>
            <w:tcBorders/>
            <w:shd w:fill="CCEEFF" w:val="clear"/>
            <w:vAlign w:val="center"/>
          </w:tcPr>
          <w:p>
            <w:pPr>
              <w:pStyle w:val="TableContents"/>
              <w:bidi w:val="0"/>
              <w:spacing w:before="0" w:after="283"/>
              <w:jc w:val="left"/>
              <w:rPr>
                <w:b/>
              </w:rPr>
            </w:pPr>
            <w:r>
              <w:rPr>
                <w:b/>
              </w:rPr>
              <w:t>Location</w:t>
            </w:r>
          </w:p>
        </w:tc>
        <w:tc>
          <w:tcPr>
            <w:tcW w:w="60"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center"/>
              <w:rPr/>
            </w:pPr>
            <w:r>
              <w:rPr/>
              <w:t>Bethesda, Maryland</w:t>
            </w:r>
          </w:p>
        </w:tc>
        <w:tc>
          <w:tcPr>
            <w:tcW w:w="60" w:type="dxa"/>
            <w:tcBorders/>
            <w:shd w:fill="CCEEFF" w:val="clear"/>
            <w:vAlign w:val="center"/>
          </w:tcPr>
          <w:p>
            <w:pPr>
              <w:pStyle w:val="TableContents"/>
              <w:bidi w:val="0"/>
              <w:spacing w:before="0" w:after="283"/>
              <w:jc w:val="center"/>
              <w:rPr/>
            </w:pPr>
            <w:r>
              <w:rPr/>
              <w:t> </w:t>
            </w:r>
          </w:p>
        </w:tc>
        <w:tc>
          <w:tcPr>
            <w:tcW w:w="2020" w:type="dxa"/>
            <w:tcBorders/>
            <w:shd w:fill="CCEEFF" w:val="clear"/>
            <w:vAlign w:val="center"/>
          </w:tcPr>
          <w:p>
            <w:pPr>
              <w:pStyle w:val="TableContents"/>
              <w:bidi w:val="0"/>
              <w:spacing w:before="0" w:after="283"/>
              <w:jc w:val="center"/>
              <w:rPr/>
            </w:pPr>
            <w:r>
              <w:rPr/>
              <w:t>Las Vegas,</w:t>
              <w:br/>
              <w:t>Nevada</w:t>
            </w:r>
          </w:p>
        </w:tc>
        <w:tc>
          <w:tcPr>
            <w:tcW w:w="60" w:type="dxa"/>
            <w:tcBorders/>
            <w:shd w:fill="CCEEFF" w:val="clear"/>
            <w:vAlign w:val="center"/>
          </w:tcPr>
          <w:p>
            <w:pPr>
              <w:pStyle w:val="TableContents"/>
              <w:bidi w:val="0"/>
              <w:spacing w:before="0" w:after="283"/>
              <w:jc w:val="center"/>
              <w:rPr/>
            </w:pPr>
            <w:r>
              <w:rPr/>
              <w:t> </w:t>
            </w:r>
          </w:p>
        </w:tc>
        <w:tc>
          <w:tcPr>
            <w:tcW w:w="1307" w:type="dxa"/>
            <w:tcBorders/>
            <w:shd w:fill="CCEEFF" w:val="clear"/>
            <w:vAlign w:val="center"/>
          </w:tcPr>
          <w:p>
            <w:pPr>
              <w:pStyle w:val="TableContents"/>
              <w:bidi w:val="0"/>
              <w:spacing w:before="0" w:after="283"/>
              <w:jc w:val="center"/>
              <w:rPr/>
            </w:pPr>
            <w:r>
              <w:rPr/>
              <w:t>Worcester, Massachusetts</w:t>
            </w:r>
          </w:p>
        </w:tc>
        <w:tc>
          <w:tcPr>
            <w:tcW w:w="60" w:type="dxa"/>
            <w:tcBorders/>
            <w:shd w:fill="CCEEFF" w:val="clear"/>
            <w:vAlign w:val="center"/>
          </w:tcPr>
          <w:p>
            <w:pPr>
              <w:pStyle w:val="TableContents"/>
              <w:bidi w:val="0"/>
              <w:spacing w:before="0" w:after="283"/>
              <w:jc w:val="center"/>
              <w:rPr/>
            </w:pPr>
            <w:r>
              <w:rPr/>
              <w:t> </w:t>
            </w:r>
          </w:p>
        </w:tc>
        <w:tc>
          <w:tcPr>
            <w:tcW w:w="1645" w:type="dxa"/>
            <w:tcBorders/>
            <w:shd w:fill="CCEEFF" w:val="clear"/>
            <w:vAlign w:val="center"/>
          </w:tcPr>
          <w:p>
            <w:pPr>
              <w:pStyle w:val="TableContents"/>
              <w:bidi w:val="0"/>
              <w:spacing w:before="0" w:after="283"/>
              <w:jc w:val="center"/>
              <w:rPr/>
            </w:pPr>
            <w:r>
              <w:rPr/>
              <w:t>Manati,</w:t>
              <w:br/>
              <w:t>Puerto Rico</w:t>
            </w:r>
          </w:p>
        </w:tc>
        <w:tc>
          <w:tcPr>
            <w:tcW w:w="60" w:type="dxa"/>
            <w:tcBorders/>
            <w:shd w:fill="CCEEFF" w:val="clear"/>
            <w:vAlign w:val="center"/>
          </w:tcPr>
          <w:p>
            <w:pPr>
              <w:pStyle w:val="TableContents"/>
              <w:bidi w:val="0"/>
              <w:spacing w:before="0" w:after="283"/>
              <w:jc w:val="center"/>
              <w:rPr/>
            </w:pPr>
            <w:r>
              <w:rPr/>
              <w:t> </w:t>
            </w:r>
          </w:p>
        </w:tc>
        <w:tc>
          <w:tcPr>
            <w:tcW w:w="1372" w:type="dxa"/>
            <w:tcBorders/>
            <w:shd w:fill="CCEEFF" w:val="clear"/>
            <w:vAlign w:val="center"/>
          </w:tcPr>
          <w:p>
            <w:pPr>
              <w:pStyle w:val="TableContents"/>
              <w:bidi w:val="0"/>
              <w:spacing w:before="0" w:after="283"/>
              <w:jc w:val="center"/>
              <w:rPr/>
            </w:pPr>
            <w:r>
              <w:rPr/>
              <w:t>Germany or Switzerland</w:t>
            </w:r>
          </w:p>
        </w:tc>
        <w:tc>
          <w:tcPr>
            <w:tcW w:w="60" w:type="dxa"/>
            <w:tcBorders/>
            <w:shd w:fill="CCEEFF" w:val="clear"/>
            <w:vAlign w:val="center"/>
          </w:tcPr>
          <w:p>
            <w:pPr>
              <w:pStyle w:val="TableContents"/>
              <w:bidi w:val="0"/>
              <w:spacing w:before="0" w:after="283"/>
              <w:jc w:val="center"/>
              <w:rPr/>
            </w:pPr>
            <w:r>
              <w:rPr/>
              <w:t> </w:t>
            </w:r>
          </w:p>
        </w:tc>
        <w:tc>
          <w:tcPr>
            <w:tcW w:w="1225" w:type="dxa"/>
            <w:tcBorders/>
            <w:shd w:fill="CCEEFF" w:val="clear"/>
            <w:vAlign w:val="center"/>
          </w:tcPr>
          <w:p>
            <w:pPr>
              <w:pStyle w:val="TableContents"/>
              <w:bidi w:val="0"/>
              <w:spacing w:before="0" w:after="283"/>
              <w:jc w:val="center"/>
              <w:rPr/>
            </w:pPr>
            <w:r>
              <w:rPr/>
              <w:t>Bangalore, India</w:t>
            </w:r>
          </w:p>
        </w:tc>
      </w:tr>
      <w:tr>
        <w:trPr/>
        <w:tc>
          <w:tcPr>
            <w:tcW w:w="1028" w:type="dxa"/>
            <w:tcBorders/>
            <w:shd w:fill="FFFFFF" w:val="clear"/>
            <w:vAlign w:val="center"/>
          </w:tcPr>
          <w:p>
            <w:pPr>
              <w:pStyle w:val="TableContents"/>
              <w:bidi w:val="0"/>
              <w:spacing w:before="0" w:after="283"/>
              <w:jc w:val="left"/>
              <w:rPr>
                <w:b/>
              </w:rPr>
            </w:pPr>
            <w:r>
              <w:rPr>
                <w:b/>
              </w:rPr>
              <w:t>Size (sq ft)</w:t>
            </w:r>
          </w:p>
        </w:tc>
        <w:tc>
          <w:tcPr>
            <w:tcW w:w="60"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center"/>
              <w:rPr/>
            </w:pPr>
            <w:r>
              <w:rPr/>
              <w:t>2,969</w:t>
            </w:r>
          </w:p>
        </w:tc>
        <w:tc>
          <w:tcPr>
            <w:tcW w:w="60"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pPr>
            <w:r>
              <w:rPr/>
              <w:t>2,000</w:t>
            </w:r>
          </w:p>
        </w:tc>
        <w:tc>
          <w:tcPr>
            <w:tcW w:w="60"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center"/>
              <w:rPr/>
            </w:pPr>
            <w:r>
              <w:rPr/>
              <w:t>600</w:t>
            </w:r>
          </w:p>
        </w:tc>
        <w:tc>
          <w:tcPr>
            <w:tcW w:w="60"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center"/>
              <w:rPr/>
            </w:pPr>
            <w:r>
              <w:rPr/>
              <w:t>16,000</w:t>
            </w:r>
          </w:p>
        </w:tc>
        <w:tc>
          <w:tcPr>
            <w:tcW w:w="60"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center"/>
              <w:rPr/>
            </w:pPr>
            <w:r>
              <w:rPr/>
              <w:t> </w:t>
            </w:r>
          </w:p>
        </w:tc>
      </w:tr>
      <w:tr>
        <w:trPr/>
        <w:tc>
          <w:tcPr>
            <w:tcW w:w="1028" w:type="dxa"/>
            <w:tcBorders/>
            <w:shd w:fill="CCEEFF" w:val="clear"/>
            <w:vAlign w:val="center"/>
          </w:tcPr>
          <w:p>
            <w:pPr>
              <w:pStyle w:val="TableContents"/>
              <w:bidi w:val="0"/>
              <w:spacing w:before="0" w:after="283"/>
              <w:jc w:val="left"/>
              <w:rPr>
                <w:b/>
              </w:rPr>
            </w:pPr>
            <w:r>
              <w:rPr>
                <w:b/>
              </w:rPr>
              <w:t>Terms</w:t>
            </w:r>
          </w:p>
        </w:tc>
        <w:tc>
          <w:tcPr>
            <w:tcW w:w="60"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center"/>
              <w:rPr/>
            </w:pPr>
            <w:r>
              <w:rPr/>
              <w:t>63 months</w:t>
            </w:r>
          </w:p>
        </w:tc>
        <w:tc>
          <w:tcPr>
            <w:tcW w:w="60"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center"/>
              <w:rPr/>
            </w:pPr>
            <w:r>
              <w:rPr/>
              <w:t>annual sub-lease</w:t>
            </w:r>
          </w:p>
        </w:tc>
        <w:tc>
          <w:tcPr>
            <w:tcW w:w="60"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center"/>
              <w:rPr/>
            </w:pPr>
            <w:r>
              <w:rPr/>
              <w:t>monthly lease</w:t>
            </w:r>
          </w:p>
        </w:tc>
        <w:tc>
          <w:tcPr>
            <w:tcW w:w="60"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center"/>
              <w:rPr/>
            </w:pPr>
            <w:r>
              <w:rPr/>
              <w:t>monthly lease</w:t>
            </w:r>
          </w:p>
        </w:tc>
        <w:tc>
          <w:tcPr>
            <w:tcW w:w="60"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center"/>
              <w:rPr/>
            </w:pPr>
            <w:r>
              <w:rPr/>
              <w:t>TBD</w:t>
            </w:r>
          </w:p>
        </w:tc>
        <w:tc>
          <w:tcPr>
            <w:tcW w:w="6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center"/>
              <w:rPr/>
            </w:pPr>
            <w:r>
              <w:rPr/>
              <w:t>TBD</w:t>
            </w:r>
          </w:p>
        </w:tc>
      </w:tr>
      <w:tr>
        <w:trPr/>
        <w:tc>
          <w:tcPr>
            <w:tcW w:w="1028" w:type="dxa"/>
            <w:tcBorders/>
            <w:shd w:fill="FFFFFF" w:val="clear"/>
            <w:vAlign w:val="center"/>
          </w:tcPr>
          <w:p>
            <w:pPr>
              <w:pStyle w:val="TableContents"/>
              <w:bidi w:val="0"/>
              <w:spacing w:before="0" w:after="283"/>
              <w:jc w:val="left"/>
              <w:rPr>
                <w:b/>
              </w:rPr>
            </w:pPr>
            <w:r>
              <w:rPr>
                <w:b/>
              </w:rPr>
              <w:t>Lessor</w:t>
            </w:r>
          </w:p>
        </w:tc>
        <w:tc>
          <w:tcPr>
            <w:tcW w:w="60"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center"/>
              <w:rPr/>
            </w:pPr>
            <w:r>
              <w:rPr/>
              <w:t>IN-REL 7500 OGR, LLC</w:t>
            </w:r>
          </w:p>
        </w:tc>
        <w:tc>
          <w:tcPr>
            <w:tcW w:w="60" w:type="dxa"/>
            <w:tcBorders/>
            <w:shd w:fill="FFFFFF" w:val="clear"/>
            <w:vAlign w:val="center"/>
          </w:tcPr>
          <w:p>
            <w:pPr>
              <w:pStyle w:val="TableContents"/>
              <w:bidi w:val="0"/>
              <w:spacing w:before="0" w:after="283"/>
              <w:jc w:val="center"/>
              <w:rPr/>
            </w:pPr>
            <w:r>
              <w:rPr/>
              <w:t> </w:t>
            </w:r>
          </w:p>
        </w:tc>
        <w:tc>
          <w:tcPr>
            <w:tcW w:w="2020" w:type="dxa"/>
            <w:tcBorders/>
            <w:shd w:fill="FFFFFF" w:val="clear"/>
            <w:vAlign w:val="center"/>
          </w:tcPr>
          <w:p>
            <w:pPr>
              <w:pStyle w:val="TableContents"/>
              <w:bidi w:val="0"/>
              <w:spacing w:before="0" w:after="283"/>
              <w:jc w:val="center"/>
              <w:rPr/>
            </w:pPr>
            <w:r>
              <w:rPr/>
              <w:t>POPE TECHNOLOGIES</w:t>
            </w:r>
          </w:p>
        </w:tc>
        <w:tc>
          <w:tcPr>
            <w:tcW w:w="60" w:type="dxa"/>
            <w:tcBorders/>
            <w:shd w:fill="FFFFFF" w:val="clear"/>
            <w:vAlign w:val="center"/>
          </w:tcPr>
          <w:p>
            <w:pPr>
              <w:pStyle w:val="TableContents"/>
              <w:bidi w:val="0"/>
              <w:spacing w:before="0" w:after="283"/>
              <w:jc w:val="center"/>
              <w:rPr/>
            </w:pPr>
            <w:r>
              <w:rPr/>
              <w:t> </w:t>
            </w:r>
          </w:p>
        </w:tc>
        <w:tc>
          <w:tcPr>
            <w:tcW w:w="1307" w:type="dxa"/>
            <w:tcBorders/>
            <w:shd w:fill="FFFFFF" w:val="clear"/>
            <w:vAlign w:val="center"/>
          </w:tcPr>
          <w:p>
            <w:pPr>
              <w:pStyle w:val="TableContents"/>
              <w:bidi w:val="0"/>
              <w:spacing w:before="0" w:after="283"/>
              <w:jc w:val="center"/>
              <w:rPr/>
            </w:pPr>
            <w:r>
              <w:rPr/>
              <w:t>18 Phoenix Park LLC</w:t>
            </w:r>
          </w:p>
        </w:tc>
        <w:tc>
          <w:tcPr>
            <w:tcW w:w="60" w:type="dxa"/>
            <w:tcBorders/>
            <w:shd w:fill="FFFFFF" w:val="clear"/>
            <w:vAlign w:val="center"/>
          </w:tcPr>
          <w:p>
            <w:pPr>
              <w:pStyle w:val="TableContents"/>
              <w:bidi w:val="0"/>
              <w:spacing w:before="0" w:after="283"/>
              <w:jc w:val="center"/>
              <w:rPr/>
            </w:pPr>
            <w:r>
              <w:rPr/>
              <w:t> </w:t>
            </w:r>
          </w:p>
        </w:tc>
        <w:tc>
          <w:tcPr>
            <w:tcW w:w="1645" w:type="dxa"/>
            <w:tcBorders/>
            <w:shd w:fill="FFFFFF" w:val="clear"/>
            <w:vAlign w:val="center"/>
          </w:tcPr>
          <w:p>
            <w:pPr>
              <w:pStyle w:val="TableContents"/>
              <w:bidi w:val="0"/>
              <w:spacing w:before="0" w:after="283"/>
              <w:jc w:val="center"/>
              <w:rPr/>
            </w:pPr>
            <w:r>
              <w:rPr/>
              <w:t>Cruce Davila Development LLC</w:t>
            </w:r>
          </w:p>
        </w:tc>
        <w:tc>
          <w:tcPr>
            <w:tcW w:w="60"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center"/>
              <w:rPr/>
            </w:pPr>
            <w:r>
              <w:rPr/>
              <w:t> </w:t>
            </w:r>
          </w:p>
        </w:tc>
      </w:tr>
      <w:tr>
        <w:trPr/>
        <w:tc>
          <w:tcPr>
            <w:tcW w:w="1028" w:type="dxa"/>
            <w:tcBorders/>
            <w:shd w:fill="CCEEFF" w:val="clear"/>
            <w:vAlign w:val="center"/>
          </w:tcPr>
          <w:p>
            <w:pPr>
              <w:pStyle w:val="TableContents"/>
              <w:bidi w:val="0"/>
              <w:spacing w:before="0" w:after="283"/>
              <w:jc w:val="left"/>
              <w:rPr>
                <w:b/>
              </w:rPr>
            </w:pPr>
            <w:r>
              <w:rPr>
                <w:b/>
              </w:rPr>
              <w:t>Monthly Cost</w:t>
            </w:r>
          </w:p>
        </w:tc>
        <w:tc>
          <w:tcPr>
            <w:tcW w:w="60"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center"/>
              <w:rPr/>
            </w:pPr>
            <w:r>
              <w:rPr/>
              <w:t>$7,263</w:t>
            </w:r>
          </w:p>
        </w:tc>
        <w:tc>
          <w:tcPr>
            <w:tcW w:w="60"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center"/>
              <w:rPr/>
            </w:pPr>
            <w:r>
              <w:rPr/>
              <w:t>$1,280</w:t>
            </w:r>
          </w:p>
        </w:tc>
        <w:tc>
          <w:tcPr>
            <w:tcW w:w="60"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center"/>
              <w:rPr/>
            </w:pPr>
            <w:r>
              <w:rPr/>
              <w:t>$2,060</w:t>
            </w:r>
          </w:p>
        </w:tc>
        <w:tc>
          <w:tcPr>
            <w:tcW w:w="60"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center"/>
              <w:rPr/>
            </w:pPr>
            <w:r>
              <w:rPr/>
              <w:t>$9,333</w:t>
            </w:r>
          </w:p>
        </w:tc>
        <w:tc>
          <w:tcPr>
            <w:tcW w:w="60"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any real property. We believe that these facilities are suitable to meet our needs in the short term, and that, when needed, suitable additional or alternative space will be available to accommodate any expansion of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offerings are equally important to establishing and maintaining our technology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require our employees, consultants and other third parties to enter into confidentiality and proprietary rights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“Risk Factors — Intellectual Property” for a discussion of risks related to our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wide variety of laws and regulations in the United States and other jurisdictions and devote considerable resources to compliance with these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and regulations governing issues such as privacy, data security, telecommunications, the use of biometric data, labor and employment, anti-discrimination, whistleblowing and worker confidentiality obligations, product liability, consumer protection and warnings, marketing, taxation, competition, arbitration agreements and class action waiver provisions, and terms of service, among other issues. We could become subject to additional legal or regulatory requirements if laws, regulations, or guidance change in the jurisdictions in which we operate. This could include the need to obtain new and different types of licenses or certifications to offer certain products or functionalities. Overall, we are committed to complying with, and helping our customers comply with, applicable regulations and requirements, and we will continue to devote significant internal resources to these efforts.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“Risk Factors — Risks Related to Government Regulation” for additional information about the laws and regulations to which we are subject and the risks to our business associated with such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 and Privacy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dedicated to protecting and securing the data of our customers as part of our overall data protection and privacy program. In addition to the privacy and security measures that we incorporate into the design, engineering, and testing processes for our solution, we have company-wide policies that describe how we collect, use, protect and disclose data. We provide ongoing training to our employees to appropriately handle and secure data. We are also able to assist our customers in demonstrating their compliance with applicable data protection and privacy regulations through the use of template accountability documentation (e.g., data protection impact assessments and supporting policies), which can be configured and tailored by customers to address their particular use cases and organizational requirements. We offer EU Model Clauses, also known as Standard Contractual Clauses, for the purpose of helping enable our customers’ continued compliance with the changing regulatory landscape in connection with transferring personal data subject to the GDPR to third countries that have not been found to provide adequate protection to such personal data, including the United States, highlighting a commitment to protect personal information in accordance with a set of privacy principles that offer meaningful privacy protections and recourse for EU individuals. We also maintain a self-certification under EU-US and Swiss-US Privacy Shield. We hold our service providers and sub processors to the same high data-protection and privacy standards to which we hold ourselves, including through contractual commitments and periodic reviews and audits.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“Risk Factors — Risks Related to Government Regulation” for additional information about the laws and regulations to which we are subject and the risks to our business associated with such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or other legal proceedings. Other than as described below,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been made aware of a complaint (the “Complaint”) filed by William Reny (“Plaintiff”), a greater than five percent (5%) holder of the outstanding Common Stock against SEE ID, Charles Maddox and Ed Nabrotzky, each a director of SEE ID, and Does 1-20 (collectively with SEE ID, Mr. Maddox and Mr. Nabrotzky, the “Defendants”), in the District Court of Clark County, Nevada.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Complaint alleges, among other things, (a) breach of Plaintiff’s employment agreement, and an implied covenant of good faith and fair dealing in respect thereof, by SEE ID by (i) terminating Mr. Reny’s employment for “cause,” (ii) not paying Plaintiff certain compensation and benefits, (iii) not permitting Plaintiff to transfer shares to a third party, and (iv) otherwise harming Plaintiff; (b) tortious interference with a contract, tortious interference with prospective economic advantage and conspiracy/concert of action by Messrs. Maddox and Nabrotzky with respect to a contract Plaintiff had with a third party to purchase a home by not permitting Mr. Reny to transfer shares to a third party; (c) conversion, failure to produce business records under NRS chapter 78 or unjust enrichment by one or more of the Defendants. Plaintiff seeks direct damages, interest, statutory damages and penalties, records production, injunctive relief as appropriate, an accounting, reasonable attorney’s fees and costs and punitive damages in excess of $50,000.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2025, the Company filed a motion to dismiss several causes of action and requested that the court dismiss all claims in their entirety. On December 15, 2025, the District Court of Clark County, Nevada denied the Company’s motion to dismiss with respect to the former employee’s claims for intentional interference with contract, intentional interference with prospective economic advantage, civil conspiracy/concert of action and conversion, and granted the motion with respect to the unjust enrichment claim. The Company and the Defendants continue to vigorously defend the action and are pursuing available legal remedies, including seeking dismissal of claims. Except as required by law, the Company does not intend to comment further on this matter.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the Company consummated the transactions contemplated by that certain Business Combination Agreement, dated March 18, 2024 (the “Business Combination Agreement”), by and among the Company, ShoulderUp Technology Acquisition Corp, a Delaware corporation (“SUAC”), ShoulderUp Merger Sub, Inc., a Delaware corporation (“ShoulderUp Merger Sub”), SEI Merger Sub, Inc., a Delaware Corporation (“SEI Merger Sub”) and SEE ID, Inc., a Nevada corporation (“SEE ID”). Pursuant to the Business Combination Agreement, on the Closing Date, (i) ShoulderUp Merger Sub merged with and into SUAC (the “ShoulderUp Merger”), with SUAC surviving the ShoulderUp Merger as a wholly-owned subsidiary of the Company; and (ii) simultaneously with the ShoulderUp Merger, SEI Merger Sub merged with and into SEE ID ( the “SEE ID Merger”), with SEE ID surviving the SEE ID Merger as a wholly-owned subsidiary of the Company (the ShoulderUp Merger and the SEE ID Merger, together the “Mergers” and together with the other transactions contemplated by the Business Combination Agreement,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we consummated the PIPE Financing (as defined below). Pursuant to certain subscription agreement entered into between June 10, 2025 and June 17, 2025 (the “PIPE Subscription Agreements”) by us with certain unaffiliated third-party investors (each, a “PIPE Investor” and collectively, the “PIPE Investors”), pursuant to which, the Company agreed to issue and sell to the PIPE Investors, and the PIPE Investors agreed to subscribe for and purchase an aggregate of 3,323,536 PIPE Shares at a purchase price of $4.00 per share for an aggregate purchase price of $13,294,143, in a private placement (the private placement contemplated by the PIPE Subscriptions Agreements, the “PIPE Financing”). Of the total PIPE Investment, $2,456,500 represents the conversion of bridge loan principal and accrued interest, such that the Company received an additional $10,837,643 from the PIPE Investors at the closing of the PIPE Financing. The PIPE Financing closed substantially concurrently with the closing of the Business Combination (the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and in connection with the special meeting to approve the Business Combination, holders of 2,000 shares of SUAC’s Class A Common Stock sold in its initial public offering exercised their right to redeem those shares for cash at a price of approximately $11.00 per share, for an aggregate of approximately $22,000. The per share redemption price of approximately $11.00 for public shareholders electing redemption was paid out of SUAC’s trust account, which after taking into account the redemptions, had a balance immediately prior to the Closing of approximately $5,577,304.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Circle Equity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Company entered into a Share Purchase Agreement (the “ELOC Agreement”) with New Circle Principal Investments LLC, a Delaware limited liability company (“New Circle”), pursuant to which New Circle has committed to purchase, subject to certain limitations, up to $50 million shares of the Company’s Common Stock. In connection with the ELOC Agreement, the Company also entered into a registration rights agreement with New Circle and previously filed a separate resale registration statement covering up to 5,524,624 shares issuable under the ELOC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our option, direct New Circle to purchase shares from time to time, and we are under no obligation to sell any securities under the ELOC Agreement. Issuances under the ELOC Agreement remain subject to Nasdaq limitations, including a 19.99% cap absent stockholder approval or a minimum price exception, and a 4.99% beneficial ownership cap (which New Circle may elect to increase to 9.99% on 61 days’ notice). New Circle has agreed not to engage in short sales or establish a net short position in our Common Stock during the term of the ELOC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use of the ELOC Agreement will depend on market conditions, our trading price and volume, and our liquidity needs, and could be dilutive to existing stockholders and place downward pressure on our stock price. Only 5,524,624 shares are currently registered for resale; we may need to register additional shares to access the full $50 million capacity. The ELOC Agreement automatically terminates upon the earlier of July 18, 2028 or aggregate purchases of $50 million, and may be terminated earlier by us in accordance with its terms. We currently expect that any proceeds from sales under the ELOC Agreement will be used for working capital and general corporate purposes, including the repayment of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December 30, and December 31, 2025, the Company delivered purchase notices for 30,000, 500,000, and 1,000,000 shares at settlement prices of $2.62, $0.32, and $0.32 per share, respectively, resulting in gross cash proceeds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their fair value on the date cash was received and recognized the difference between (i) the fair value of the shares issued and (ii) the proceeds calculated pursuant to the discounted VWAP pricing terms. This difference, totaling $246,184, was recorded as a loss on issuance of shares in the statement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Secured Convertible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we entered into a Loan Agreement (the “Loan Agreement”) with J.J. Astor &amp; Co., a Utah corporation (including its successors and assigns, the “Lender”), pursuant to which the Company may borrow up to $5,000,000 in four tranches comprised of an initial $2,000,000 tranche (the “Initial Loan”) borrowed on December 5, 2025 (the “Initial Funding Date”), and up to three additional tranches of $1,000,000 each (the “Additional Loans” and together with the Initial Loan, the “Loans”). The Initial Loan is evidenced by a Senior Secured Convertible Note issued to the Lender for an original principal amount of $2,600,000 (the “Initial Note”), of which $1,840,000 was funded by the Lender at the funding date after deducting the Lender’s origination fees and expenses from the amount of the Initial Loan. The Initial Loan matures on November 30, 2026, and is payable in twelve monthly installments, consisting of an initial installment that was due on December 31, 2025 of $108,334 and the remaining eleven monthly payments of $226,515.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Additional Loan is subject to the Company’s satisfaction of certain specified conditions, including conditions related to the Company’s ELOC Agreement with New Circle. The Loan Agreement requires the Company to draw on its ELOC Agreement with New Circle to pay monthly installment payments under the Convertible Notes. New Circle has agreed to remit 80% of all ELOC proceeds to the Lender with the remaining 20% to be remitted to the Company within 3 business days following each draw on the ELOC. To the extent that the proceeds of the ELOC remitted to the Lender are not sufficient to cover the then applicable minimum monthly payment due in any month, the Company shall be required to pay the balance of such amount to the Lender on the last business day of such month.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Loan Agreement, we issued to the Lender a warrant to purchase up to 230,770 shares of our Common Stock at an exercise price of $1.69 per share, subject to customary adjustments for stock dividends, splits, combinations, reclassifications, and similar events (the “Initial Lender Warrant”). Additional warrants will be issued in connection with any Additional Loans as a condition to funding (the “Additional Lender Warrants” and together with the Initial Lender Warrant, the “Lender Warrants”). The Lender Warrants may not be exercised to the extent the exercise would cause the Lender and its affiliates to beneficially own more than 4.99% of the outstanding Common Stock, subject to the Lender’s written notice and the Company’s agreement to increase such cap up to 9.99%. The conversion of any Lender Notes and the exercise of the Lender Warrants are subject to applicable Nasdaq rules. We also entered into a registration rights agreement requiring us to file a resale shelf registration statement covering up to 100% of the shares issuable upon conversion of the Initial Note and any Additional Notes. Any Lender Note is convertible, in whole or in part, only after an Event of Default and the effectiveness of such resale registration statement, at a conversion price equal to 80% of the average of the four lowest volume-weighted average prices of our Common Stock on its principal market over the 20 trading days immediately prior to the Lender’s notice of conversion, and any conversion is also subject to the 4.99% beneficial ownership cap.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under the Loan Agreement are guaranteed and secured on a first-priority basis by substantially all assets of the Company and each applicable subsidiary guarantor, subject to customary exclusions. Under the terms of the pledge and security agreement, the Company granted the Lender a continuing first-priority security interest in 100% of the equity interests of the Company’s subsidiaries to secure the obligations under the Loan Agreement and related loan documents.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as defined in Section 2(a)(19) of the Securities Act, as modified by the Jumpstart Our Business Startups Act of 2012, or the “JOBS Act.” As such, we will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November 23, 2026, the fifth anniversary of the closing of SUAC’s IPO, (b) in which we have total annual gross revenue of at least $1.235 billion or (c) in which the Company is deemed to be a large accelerated filer, which means the market value of our Common Stock that are held by non-affiliates exceeds $700 million as of the last business day of our prior second fiscal quarter and we have been subject to the Exchange Act’s reporting requirements for at least 12 months and have filed at least one annual report, and (ii) the date on which we have issued more than $1.0 billion in non-convertible debt during the prior three-year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toc_011"/>
      <w:bookmarkEnd w:id="12"/>
      <w:r>
        <w:rPr>
          <w:rFonts w:ascii="Times New Roman;Times;Serif" w:hAnsi="Times New Roman;Times;Serif"/>
          <w:b/>
          <w:i w:val="false"/>
          <w:caps w:val="false"/>
          <w:smallCaps w:val="false"/>
          <w:sz w:val="20"/>
        </w:rPr>
        <w:t>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hanging="0"/>
        <w:jc w:val="left"/>
        <w:rPr>
          <w:caps w:val="false"/>
          <w:smallCaps w:val="false"/>
        </w:rPr>
      </w:pPr>
      <w:r>
        <w:rPr>
          <w:caps w:val="false"/>
          <w:smallCaps w:val="false"/>
        </w:rPr>
        <w:t> </w:t>
      </w:r>
    </w:p>
    <w:tbl>
      <w:tblPr>
        <w:tblW w:w="6600" w:type="dxa"/>
        <w:jc w:val="left"/>
        <w:tblInd w:w="0" w:type="dxa"/>
        <w:tblLayout w:type="fixed"/>
        <w:tblCellMar>
          <w:top w:w="0" w:type="dxa"/>
          <w:left w:w="0" w:type="dxa"/>
          <w:bottom w:w="28" w:type="dxa"/>
          <w:right w:w="0" w:type="dxa"/>
        </w:tblCellMar>
      </w:tblPr>
      <w:tblGrid>
        <w:gridCol w:w="1940"/>
        <w:gridCol w:w="60"/>
        <w:gridCol w:w="350"/>
        <w:gridCol w:w="60"/>
        <w:gridCol w:w="4190"/>
      </w:tblGrid>
      <w:tr>
        <w:trPr/>
        <w:tc>
          <w:tcPr>
            <w:tcW w:w="1940"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center"/>
              <w:rPr/>
            </w:pPr>
            <w:r>
              <w:rPr/>
              <w:t> </w:t>
            </w:r>
          </w:p>
        </w:tc>
        <w:tc>
          <w:tcPr>
            <w:tcW w:w="41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Positions</w:t>
            </w:r>
          </w:p>
        </w:tc>
      </w:tr>
      <w:tr>
        <w:trPr/>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Edmund Nabrotzky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Director (Class III)</w:t>
            </w:r>
          </w:p>
        </w:tc>
      </w:tr>
      <w:tr>
        <w:trPr/>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Maddox</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Chief Operating Officer</w:t>
            </w:r>
          </w:p>
        </w:tc>
      </w:tr>
      <w:tr>
        <w:trPr/>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Vijayan Nambiar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Technology Officer</w:t>
            </w:r>
          </w:p>
        </w:tc>
      </w:tr>
      <w:tr>
        <w:trPr/>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90"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Phyllis Newhouse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(Class I)</w:t>
            </w:r>
          </w:p>
        </w:tc>
      </w:tr>
      <w:tr>
        <w:trPr/>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Janice Bryant Howroyd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(Class II)</w:t>
            </w:r>
          </w:p>
        </w:tc>
      </w:tr>
      <w:tr>
        <w:trPr/>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Walter Skowronski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(Class II)</w:t>
            </w:r>
          </w:p>
        </w:tc>
      </w:tr>
      <w:tr>
        <w:trPr/>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David Carlson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(Class III)</w:t>
            </w:r>
          </w:p>
        </w:tc>
      </w:tr>
      <w:tr>
        <w:trPr/>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 Saling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(Class III)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biographical information about each of the individuals named in the tables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Ed Nabrotzky, age 59, </w:t>
      </w:r>
      <w:r>
        <w:rPr>
          <w:rFonts w:ascii="Times New Roman;Times;Serif" w:hAnsi="Times New Roman;Times;Serif"/>
          <w:b w:val="false"/>
          <w:i w:val="false"/>
          <w:caps w:val="false"/>
          <w:smallCaps w:val="false"/>
          <w:sz w:val="20"/>
        </w:rPr>
        <w:t>has served as a director of CID Holdco since 2025 and as Chief Executive Officer of the Company since its formation in 2020. Mr. Nabrotzky is a co-founder of the Company. Prior to co-founding the Company, Mr. Nabrotzky served as President of Litum from January 2022 to August 2022. From December 2019 to June 2022, he served as an Adjunct Faculty Member at the Simon Business School, University of Rochester. From January 2019 to October 2021, he served as Director, Sales &amp; Strategy at Panasonic North America. From September 2011 to January 2019, he served as Chief Solutions Officer at Omni-ID. Earlier in his career, Mr. Nabrotzky served as President of Dynamic e-Horizons Inc. from August 2009 to March 2012, held product marketing leadership roles at Molex from January 2006 to December 2009, and served as Vice President &amp; General Manager at Woodhead Industries Inc. from April 1998 to December 2006. Mr. Nabrotzky has more than 25 years of experience in technology development, industrial communications, software systems and executive leadership. He has held executive leadership roles in both public and private companies with responsibility spanning sales, marketing, operations, engineering and strategy. Mr. Nabrotzky is listed as an inventor on five patents in related technologies and has international management experience across Europe, India, Singapore, China and Japan. He has also served on executive teams involved in four prior successful acquisitions in the industrial communications and software systems sectors. Mr. Nabrotzky holds a B. Sc. in Computer Science from Western University and an MBA from the Ivey Business School at Western University. He is currently a Doctoral Candidate in Technology Management at Indiana State University and has completed executive post-graduate studies at the Center for Creative Leadership, Harvard and MIT.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Charlie Maddox, age 44, </w:t>
      </w:r>
      <w:r>
        <w:rPr>
          <w:rFonts w:ascii="Times New Roman;Times;Serif" w:hAnsi="Times New Roman;Times;Serif"/>
          <w:b w:val="false"/>
          <w:i w:val="false"/>
          <w:caps w:val="false"/>
          <w:smallCaps w:val="false"/>
          <w:sz w:val="20"/>
        </w:rPr>
        <w:t>has served as the Company’s Chief Operating and Chief Financial Officer since April 2024. He previously was the Company’s Chief Operating Officer since the Company’s formation in 2020 to April 2024. Mr. Maddox is a co-founder of the Company. Since co-founding the Company, Mr. Maddox has been responsible for key aspects of the Company’s operations, finance, capital formation, and growth strategy including operational execution, manufacturing strategy, supply chain development, and other strategic initiatives. Since inception, Mr. Maddox has played a significant role in the Company’s financing activities, including helping raise more than $8 million in seed capital for the Company. Prior to co-founding the Company, Mr. Maddox was the co-founder and Chief Executive Officer of Laudan LLC, a logistics company which he sold in a private transaction. Mr. Maddox has also co-founded other businesses in the construction and information technology sectors. Before his business career, Mr. Maddox served in the United States Air Force, where he was a combat veteran, instructor pilot and operations leader. During his military service, he deployed five times in support of Operation Iraqi Freedom and Operation Enduring Freedom and served in leadership roles involving training, flight operations and worldwide mission execution. Among other responsibilities, he managed continuous global operations involving 51 aircraft representing approximately $11.12 billion in assets and directed more than 1,100 international missions. Mr. Maddox holds an MBA from Worcester Polytechnic Institute and a B.S. in Computer Science from Florida State University.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Vijayan Nambiar, age 48,</w:t>
      </w:r>
      <w:r>
        <w:rPr>
          <w:rFonts w:ascii="Times New Roman;Times;Serif" w:hAnsi="Times New Roman;Times;Serif"/>
          <w:b w:val="false"/>
          <w:i w:val="false"/>
          <w:caps w:val="false"/>
          <w:smallCaps w:val="false"/>
          <w:sz w:val="20"/>
        </w:rPr>
        <w:t xml:space="preserve"> has served as Chief Technology Officer of CID Holdco since May 2022. Prior to joining the Company, Mr. Nambiar was a Senior Engineering Manager with Verizon since 2018. Mr. Nambiar brings over 24 years of experience in leading product development from conception to field rollout for a variety of next-gen embedded real-time hardware &amp; cloud solutions. Mr. Nambiar holds a Masters in Computer Science and an MBA, showcasing a solid educational foundation in both technical and business domains. As a former Senior Manager of Strategy at Verizon, Mr. Nambiar managed the 5G device ecosystem and the Fios Wi-Fi router teams. During his tenure at Verizon, Mr. Nambiar successfully shipped over 5 million devices and generated more than $1.5 billion in revenue, underscoring his ability to drive substantial business growth and innovation. Mr. Nambiar’s entrepreneurial spirit is evidenced by his involvement in three startups as part of the founding engineering team. Notably, his work at SimpliVity culminated in a significant achievement when the company was acquired by HP for $650 million. Mr. Nambiar’s deep understanding of the startup environment and strategic execution has been pivotal in driving technological advancements and successful exits.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Jeff Saling, age 68, </w:t>
      </w:r>
      <w:r>
        <w:rPr>
          <w:rFonts w:ascii="Times New Roman;Times;Serif" w:hAnsi="Times New Roman;Times;Serif"/>
          <w:b w:val="false"/>
          <w:i w:val="false"/>
          <w:caps w:val="false"/>
          <w:smallCaps w:val="false"/>
          <w:sz w:val="20"/>
        </w:rPr>
        <w:t>has served as a member of the Board since June 2025. Mr. Saling is a serial entrepreneur, seasoned executive, and prolific investor with over 30 years of experience in launching, scaling, and exiting startups in the SaaS and cloud domains. He serves as currently the executive director and co-founder of StartUpNV since 2016, Nevada’s non-profit statewide startup accelerator, where he leads the vision, strategy, and operations to support and accelerate the growth of Nevada-based startups. Jeff is also an active angel investor and serves as co-president of Sierra Angels, one of the longest running angel groups in the US since 2013, and a general partner of 1864 Fund, a seed-stage venture capital fund that invests in high-potential startups outside of traditional venture enclaves since 2024. He is passionate about creating a vibrant and diverse startup ecosystem in Nevada, and he leverages his extensive network, expertise, and resources to connect founders with mentors, customers, talent, and capital. In addition, Jeff is an adjunct professor in the College of Engineering at the University of Nevada, Reno, where he teaches entrepreneurship and innovation courses.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Janice Bryant Howroyd, age 72,</w:t>
      </w:r>
      <w:r>
        <w:rPr>
          <w:rFonts w:ascii="Times New Roman;Times;Serif" w:hAnsi="Times New Roman;Times;Serif"/>
          <w:b w:val="false"/>
          <w:i w:val="false"/>
          <w:caps w:val="false"/>
          <w:smallCaps w:val="false"/>
          <w:sz w:val="20"/>
        </w:rPr>
        <w:t xml:space="preserve"> has served as a member of the Board since August 2025. Ms. Howroyd has more than 40 years of experience as a director and executive of not-for-profit and for profit companies. Since September 1978, Ms. Howroyd has served as the founder and chief executive officer of the ActOne Group, an international talent and technology enterprise focusing on employment, talent management and digital solutions. Ms. Howroyd has served as a board member of ShoulderUp Technology Acquisition Corp., the Los Angeles Economic Development Corporation, Women’s Business Enterprise National Counsel Global Business Committee, and most recently has joined the global board of directors of United Way. Ms. Howroyd previously served on the Board of Advisors for the White House Initiative on Historically Black Colleges and Universities during the Obama Administration. Ms. Howroyd also served on the Federal Communications Commission’s Advisory Committee on diversity and digital empowerment to encourage new entrepreneurs to create digital enterprises during the first Trump administration. Ms. Howroyd attended North Carolina A&amp;T State University from which she received one of several honorary doctorates she holds. Ms. Howroyd is well-qualified to serve on our Board because of her employment and talent management experience, as well as her extensive leadership roles within government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Carlson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DO, MBA, age 66,</w:t>
      </w:r>
      <w:r>
        <w:rPr>
          <w:rFonts w:ascii="Times New Roman;Times;Serif" w:hAnsi="Times New Roman;Times;Serif"/>
          <w:b w:val="false"/>
          <w:i w:val="false"/>
          <w:caps w:val="false"/>
          <w:smallCaps w:val="false"/>
          <w:sz w:val="20"/>
        </w:rPr>
        <w:t xml:space="preserve"> has served as a member of the Board since June 2025. Dr. Carlson has been the Chief Medical Officer in South King County for Virginia Mason Franciscan Health since 2023. He recently served as a medical director for Seamar Community Health Centers in Pierce and Thurston Counties during 2023. Prior to joining VMFH, Dr. Carlson served as chief physician officer for Multicare from 2017 to 2022, chief physician executive for Hospital Sisters Health System from 2014 to 2017, and chief medical officer for Conemaugh Health System in Johnstown, PA from 2007 to 2014. Previous leadership roles also include Ochsner Clinic Foundation in Baton Rouge, LA; Summit Health System in Chambersburg, PA; and Lovelace Health Systems in Albuquerque, NM. Dr. Carlson is a member and is currently Chairman of the Board for the Physician Insurance Company, and has been a board member of United Way Pierce County since 2018. He has also served on the boards of the Washington Healthcare Alliance and Physicians of Southwest Washington. Dr. Carlson is a board-certified family practice physician, with a subspecialty in geriatrics. He earned his Bachelor of Science degree from Pennsylvania State University, his medical degree from Philadelphia College of Osteopathic Medicine, and his Master of Business Administration from Alvernia University.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Walter Skowronski, age 77, </w:t>
      </w:r>
      <w:r>
        <w:rPr>
          <w:rFonts w:ascii="Times New Roman;Times;Serif" w:hAnsi="Times New Roman;Times;Serif"/>
          <w:b w:val="false"/>
          <w:i w:val="false"/>
          <w:caps w:val="false"/>
          <w:smallCaps w:val="false"/>
          <w:sz w:val="20"/>
        </w:rPr>
        <w:t>has served as a member of the Board since August 2025. Mr. Skowronski has more than 40 years of experience as a senior financial executive of NYSE-listed public companies. From July 2023 through December 30, 2024, Mr. Skowronski served as a director of Coliseum Acquisition Corp., which completed a business combination with Rain Enhancement Technologies (NASDAQ: RAIN, RAINW) in December of 2024. From 2003 to his retirement in 2009, Mr. Skowronski served as Senior Vice President of The Boeing Company and President of Boeing Capital Company, a wholly-owned Boeing subsidiary responsible for arranging, structuring and providing financing for Boeing’s commercial airplane and space and defense products and services. While at Boeing, Mr. Skowronski instituted new risk management, customer relations and investor outreach programs. Previously, he served as Senior Vice President of Finance and Treasurer of Boeing from 1999 to 2003. Mr. Skowronski joined Lockheed Corp. in 1990, where he served as Vice President of Investor Relations until 1992; and served as the Vice President and Treasurer until 1996. Mr. Skowronski served as Vice President and Treasurer of Lockheed Martin from 1996, upon the merger of Lockheed Corp. and Martin Marietta Corp., until 1999. Mr. Skowronski is a former director of the National Investor Relations Institute, serving as its chairman and chief executive officer in 1989. He previously served on the board of Physicians Insurance Company and was a member of the board of directors of United States Enrichment Corp. (USEC) from 2011 to the company’s emergence from Chapter 11 bankruptcy in September 2014. He was also the Lockheed Martin-designated director on the board of directors of Calcomp Corp. from 1997 to 1999. Mr. Skowronski holds a Bachelor’s of Electrical Engineering from Northeastern University and a Master’s degree in Corporate Finance from Boston University.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Phyllis Newhouse, age 62, </w:t>
      </w:r>
      <w:r>
        <w:rPr>
          <w:rFonts w:ascii="Times New Roman;Times;Serif" w:hAnsi="Times New Roman;Times;Serif"/>
          <w:b w:val="false"/>
          <w:i w:val="false"/>
          <w:caps w:val="false"/>
          <w:smallCaps w:val="false"/>
          <w:sz w:val="20"/>
        </w:rPr>
        <w:t>has served as a member of the Board since June 2025. Ms. Newhouse previously served as Chief Executive Officer of ShoulderUp Technology Acquisition Corp. Ms. Newhouse is known as a pioneer in cybersecurity. Ms. Newhouse is an entrepreneur, retired military senior non-commissioned officer, mentor, founder and Chief Executive Officer of XtremeSolutions, Inc., an Atlanta-based cybersecurity firm (“XSI”), and a founder, Chief Executive Officer and Director of Athena Technology Acquisition Corp., a blank check company focused on identifying acquisitions of business in technology, direct to consumer and fintech industries. While serving in the United States Army on various assignments, Ms. Newhouse focused on national security and worked on several projects, which outlined the Cyber Espionage Task Force. After her service in the army, Ms. Newhouse founded XSI in 2002, which offers a wide range of IT expertise and provides industry leading, state-of-the-art information technology and cybersecurity services and solutions. XSI has employees in 42 states, with 40% of its workforce made up of veterans. In 2019, Ms. Newhouse founded ShoulderUp, a nonprofit dedicated to connecting and supporting women in their entrepreneurial journeys. Ms. Newhouse currently serves on the board of directors of the Technology Association of Georgia, is a member of the Business Executives for National Security, and since April 2021, has served on the Board of Directors of the Sabre Corporation. She also serves on the executive board and is a member of the Women President Organization. Ms. Newhouse also serves on the Board of Directors of Girls Inc., a nonprofit organization that encourages all girls to be “Strong, Smart, and Bold.” Ms. Newhouse received her B.A. in Liberal Arts Science from Saint Leo College in 1986, she is a graduate of the Institute of Entrepreneurial Leadership program sponsored by John F. Kennedy University, and she received an Honorary Doctor of Philosophy from CICA International University.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any of our 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organized under the direction of our Board. Our Board currently consists of seven members. The primary responsibilities of our Board are to provide oversight, strategic guidance, counseling and direction to our management. Our Board meets on a regular basis and additionally as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divided into three classes, Class I, Class II and Class III, with members of each class serving staggered three-year terms. Currently, our Board is divided into the following classes: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I, which consists of Phyllis Newhouse, whose terms will expire at the first annual meeting of stockholders to be held in 2026;</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II, which consists of Janice Bryant Howroyd and Walter Skowronski whose term will expire at the Company’s second annual meeting of stockholders to be held in 2027;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III, which consists of Edmund Nabrotzky, Dr. David Carlson and Jeff Saling, whose terms will expire at the Company’s third annual meeting of stockholders to be held in 2028.</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our Board may have the effect of delaying or preventing changes in our control or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adhere to the rules of Nasdaq in determining whether a director is independent. The Board consults with its counsel to ensure that the Board’s determinations are consistent with those rules and all relevant securities and other laws and regulations regarding the independence of directors. The Nasdaq listing standards generally define an “independent director” as a person that, in the opinion of the issuer’s board of directors, has no material relationship with the listed company (either directly or as a partner, stockholder or officer of an organization that has a relationship with the Company). The Board has determined that each of the directors on the Board (other than Edmund Nabrotzky) are independent as defined under the listing standards of Nasdaq. Our independent directors will have regularly scheduled meetings at which only independent directors are present.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 and Role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oversees the risk management activities designed and implemented by our management. The Board does not anticipate having a standing risk management committee, but rather executes its oversight responsibility both directly and through its standing committees. The Board also considers specific risk topics, including risks associated with our strategic initiatives, business plans and capital structure. Our management, including our executive officers, are primarily responsible for managing the risks associated with operation and business of the Company and provide appropriate updates to the Board and the Audit Committee. The Board delegates to the Audit Committee oversight of its risk management process, and our other Board committees also consider risks as they perform their respective committee responsibilities. All board committees report to the Board as appropriate, including, but not limited to, when a matter rises to the level of a material or enterprise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an Audit Committee, a Compensation Committee, a Cybersecurity &amp; Technology Committee and a Nominating and Corporate Governance Committee, each of which has the composition and responsibilities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responsible for,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performance, independence and qualifications of the Company’s independent auditors and determining whether to retain the Company’s existing independent auditors or engage new independent auditors;</w:t>
            </w:r>
          </w:p>
        </w:tc>
      </w:tr>
    </w:tbl>
    <w:p>
      <w:pPr>
        <w:pStyle w:val="TextBody"/>
        <w:bidi w:val="0"/>
        <w:spacing w:before="0" w:after="0"/>
        <w:ind w:left="1080" w:right="0" w:hanging="360"/>
        <w:jc w:val="both"/>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75"/>
        <w:gridCol w:w="170"/>
        <w:gridCol w:w="6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Company’s financial reporting processes and disclosure controls;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the engagement of the Company’s independent auditors to perform audit services and any permissible non-audit services;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adequacy and effectiveness of the Company’s internal control policies and procedures, including the responsibilities, budget, staffing and effectiveness of the Company’s internal audit function;</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the independent auditors the annual audit plan, including the scope of audit activities and all critical accounting policies and practices to be used by the Company;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and reviewing at least annually a report by the Company’s independent auditors describing the independent auditors’ internal quality control procedures and any material issues raised by the most recent internal quality-control review;</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the rotation of partners of the Company’s independent auditors on the Company’s engagement team as required by law;</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engagement of any independent auditor, and at least annually thereafter, reviewing relationships that may reasonably be thought to bear on their independence, and assessing and otherwise taking the appropriate action to oversee the independence of the Company’s independent auditor;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Company’s annual and quarterly financial statements and reports, including the disclosures contained in the “Management’s Discussion and Analysis of Financial Condition and Results of Operations” section of such periodic reports, and discussing the statements and reports with the Company’s independent auditors and management;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management and the Company’s auditors any earnings announcements and other public announcements regarding material developments;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establishing procedures for the receipt, retention and treatment of complaints received by the Company regarding financial controls, accounting, auditing or other matters;</w:t>
            </w:r>
          </w:p>
        </w:tc>
      </w:tr>
    </w:tbl>
    <w:p>
      <w:pPr>
        <w:pStyle w:val="TextBody"/>
        <w:bidi w:val="0"/>
        <w:spacing w:before="0" w:after="0"/>
        <w:ind w:left="1080" w:right="0" w:hanging="360"/>
        <w:jc w:val="both"/>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75"/>
        <w:gridCol w:w="170"/>
        <w:gridCol w:w="6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preparing the report that the SEC requires in the Company’s annual proxy statement;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providing oversight of any related party transactions in accordance with the Company’s related party transaction policy and reviewing and monitoring compliance with legal and regulatory responsibilities, including the Company’s code of ethics;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Company’s major financial risk exposures, including the guidelines and policies to govern the process by which risk assessment and risk management is implemented; and</w:t>
            </w:r>
          </w:p>
        </w:tc>
      </w:tr>
    </w:tbl>
    <w:p>
      <w:pPr>
        <w:pStyle w:val="TextBody"/>
        <w:bidi w:val="0"/>
        <w:spacing w:before="0" w:after="0"/>
        <w:ind w:left="1080" w:right="0" w:hanging="36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75"/>
        <w:gridCol w:w="170"/>
        <w:gridCol w:w="9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evaluating on an annual basis the performance of the Audit Committee and the Audit Committee charter.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Walter Skowronski, Phyllis Newhouse and Dr. David Carlson, with Walter Skowronski serving as the Audit Committee chair. The Board has affirmatively determined that Walter Skowronski, Phyllis Newhouse and Dr. David Carlson, each meet the definition of “independent director” for purposes of serving on the Audit Committee under Rule 10A-3 of the Exchange Act and the Nasdaq rules. Each member of our Audit Committee also meets the financial literacy requirements of the Nasdaq listing standards. The Board has adopted a written charter for the Audit Committee, which is available on our corporate website. The information contained on our website is not incorporated by reference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responsible for, among other things:</w:t>
      </w:r>
    </w:p>
    <w:p>
      <w:pPr>
        <w:pStyle w:val="TextBody"/>
        <w:bidi w:val="0"/>
        <w:spacing w:before="0" w:after="0"/>
        <w:ind w:left="0" w:right="0" w:firstLine="36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75"/>
        <w:gridCol w:w="170"/>
        <w:gridCol w:w="9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the corporate objectives that pertain to the determination of executive compensation;</w:t>
            </w:r>
          </w:p>
        </w:tc>
      </w:tr>
    </w:tbl>
    <w:p>
      <w:pPr>
        <w:pStyle w:val="TextBody"/>
        <w:bidi w:val="0"/>
        <w:spacing w:before="0" w:after="0"/>
        <w:ind w:left="1080" w:right="0" w:hanging="36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75"/>
        <w:gridCol w:w="170"/>
        <w:gridCol w:w="9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the compensation and other terms of employment of the Company’s executive officers;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performance goals and objectives relevant to the compensation of the Company’s executive officers and assessing their performance against these goals and objectives;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making recommendations to the Board regarding the adoption or amendment of equity and cash incentive plans and approving amendments to such plans to the extent authorized by the Board;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making recommendations to the Board regarding the type and amount of compensation to be paid or awarded to the Company’s non-employee board members;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assessing the independence of compensation consultants, legal counsel and other advisors as required by Section 10C of the Exchange Act;</w:t>
            </w:r>
          </w:p>
        </w:tc>
      </w:tr>
    </w:tbl>
    <w:p>
      <w:pPr>
        <w:pStyle w:val="TextBody"/>
        <w:bidi w:val="0"/>
        <w:spacing w:before="0" w:after="0"/>
        <w:ind w:left="1080" w:right="0" w:hanging="36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170"/>
        <w:gridCol w:w="8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administering the Company’s equity incentive plans, to the extent such authority is delegated by the Board;</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the terms of any employment agreements, severance arrangements, change in control protections, indemnification agreements and any other material arrangements for the Company’s executive officers;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management the Company’s disclosures under the caption “Compensation Discussion and Analysis” in the Company’s periodic reports or proxy statements to be filed with the SEC, to the extent such caption is included in any such periodic report or proxy statement;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preparing an annual report on executive compensation that the SEC requires in the Company’s annual proxy statement;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evaluating on an annual basis the performance of the Compensation Committee and recommending such changes as deemed necessary with the Board.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Jeff Saling, Janice Bryant Howroyd and Dr. David Carlson, with Jeff Saling serving as chairman. Our Board has determined that each of the members of the Compensation Committee is a non- employee director, as defined in Rule 16b-3 promulgated under the Exchange Act, and satisfies the independence requirements of the Nasdaq. The Board has adopted a written charter for the Compensation Committee, which is available on our corporate website. The information contained on our website is not incorporated by reference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&amp; Technology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&amp; Technology Committee is responsible for,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management the Company’s cybersecurity threat landscape, policies, controls and incident response preparedness, including escalation procedures to the Board, tabletop exercise testing, and periodic simulations;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reports and metrics on cybersecurity incidents, breaches (actual or attempted), and the Company’s response thereto;</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Company’s compliance with cybersecurity and data privacy laws, including SEC, state, and international regulations, and industry standards;</w:t>
            </w:r>
          </w:p>
        </w:tc>
      </w:tr>
    </w:tbl>
    <w:p>
      <w:pPr>
        <w:pStyle w:val="TextBody"/>
        <w:bidi w:val="0"/>
        <w:spacing w:before="0" w:after="0"/>
        <w:ind w:left="1080" w:right="0" w:hanging="36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70"/>
        <w:gridCol w:w="9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adequacy and effectiveness of the Company’s technology architecture, platforms and operational resilience;</w:t>
            </w:r>
          </w:p>
        </w:tc>
      </w:tr>
    </w:tbl>
    <w:p>
      <w:pPr>
        <w:pStyle w:val="TextBody"/>
        <w:bidi w:val="0"/>
        <w:spacing w:before="0" w:after="0"/>
        <w:ind w:left="1080" w:right="0" w:hanging="36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overseeing major technology-related projects, digital initiatives, and infrastructure investments;</w:t>
            </w:r>
          </w:p>
        </w:tc>
      </w:tr>
    </w:tbl>
    <w:p>
      <w:pPr>
        <w:pStyle w:val="TextBody"/>
        <w:bidi w:val="0"/>
        <w:spacing w:before="0" w:after="0"/>
        <w:ind w:left="1080" w:right="0" w:hanging="36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Company’s disaster recovery, business infrastructure, and data backup processes;</w:t>
            </w:r>
          </w:p>
        </w:tc>
      </w:tr>
    </w:tbl>
    <w:p>
      <w:pPr>
        <w:pStyle w:val="TextBody"/>
        <w:bidi w:val="0"/>
        <w:spacing w:before="0" w:after="0"/>
        <w:ind w:left="1080" w:right="0" w:hanging="36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with management the Company’s cyber insurance coverage and reviewing its adequacy;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coordinating with the Audit Committee with respect to any matters that may impact internal controls, financial reporting, or cybersecurity disclosures;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Company’s cybersecurity workforce, training programs (including executive and board-level cybersecurity education), budget, and</w:t>
            </w:r>
          </w:p>
        </w:tc>
      </w:tr>
    </w:tbl>
    <w:p>
      <w:pPr>
        <w:pStyle w:val="TextBody"/>
        <w:bidi w:val="0"/>
        <w:spacing w:before="0" w:after="0"/>
        <w:ind w:left="1080" w:right="0" w:hanging="36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75"/>
        <w:gridCol w:w="170"/>
        <w:gridCol w:w="52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third-party vendor and supply chain risk management processes;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policies for oversight of risks arising from use of AI, machine learning, and other emerging technologies;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1080" w:right="0" w:hanging="360"/>
        <w:jc w:val="both"/>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ensuring appropriate disclosures are made in public filings relating to cybersecurity oversight and risk management;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for Board approval updates to the Cybersecurity &amp; Technology Committee’s charter on an annual basis;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the Company’s compliance with cybersecurity disclosure obligations under SEC Regulation S-K Item 106 and Form 8-K Item 1.05, including timely disclosure of material cybersecurity incidents and governance structures;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management’s third-party risk management practices, including risk assessment and monitoring of key technology vendors and supply chain cybersecurity vulnerabilities;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Company’s training programs and culture-building efforts relating to cybersecurity awareness, including for executives and directors.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&amp; Technology Committee consists of Phyllis Newhouse and Edmund Nabrotzky, with Phyllis Newhouse serving as chairman. The Board has adopted a written charter for the Cybersecurity &amp; Technology Committee, which is available on our corporate website. The information contained on our website is not incorporated by reference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is responsible for, among other things:</w:t>
      </w:r>
    </w:p>
    <w:p>
      <w:pPr>
        <w:pStyle w:val="TextBody"/>
        <w:bidi w:val="0"/>
        <w:spacing w:before="0" w:after="0"/>
        <w:ind w:left="0" w:right="0" w:firstLine="36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reviewing and making recommendations of candidates to serve on the Board;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performance of the Board, committees of the Board and individual directors and determining whether continued service on the Board is appropriate;</w:t>
            </w:r>
          </w:p>
        </w:tc>
      </w:tr>
    </w:tbl>
    <w:p>
      <w:pPr>
        <w:pStyle w:val="TextBody"/>
        <w:bidi w:val="0"/>
        <w:spacing w:before="0" w:after="0"/>
        <w:ind w:left="1080" w:right="0" w:hanging="360"/>
        <w:jc w:val="both"/>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nominations by stockholders of candidates for election to the Board;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current size, composition and organization of the Board and its committees and making recommendations to the Board for approvals;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 set of corporate governance policies and principles and recommending to the Board any changes to such policies and principles;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issues and developments related to corporate governance and identifying and bringing to the attention of the Board current and emerging corporate governance trends;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periodically the Nominating and Corporate Governance Committee charter, structure and membership requirements and recommending any proposed changes to the Board, including undertaking an annual review of its own performance.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consists of Dr. David Carlson, Janice Bryant Howroyd, and Walter Skowronski, with Dr. David Carlson serving as chairman. Our board of directors has determined that each of the members of Nominating and Corporate Governance Committee satisfies the independence requirements of Nasdaq and the SEC. The Board has adopted a written charter for the Nominating and Corporate Governance Committee, which is available on our corporate website. The information contained on our website is not incorporated by reference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limits the Company’s directors’ liability to the fullest extent permitted under the DGCL. The DGCL allows for directors of a corporation to not be personally liable for monetary damages for breach of their fiduciary duties as directors, except for liability:</w:t>
      </w:r>
    </w:p>
    <w:p>
      <w:pPr>
        <w:pStyle w:val="TextBody"/>
        <w:bidi w:val="0"/>
        <w:spacing w:before="0" w:after="0"/>
        <w:ind w:left="0" w:right="0" w:firstLine="36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any transaction from which the director derives an improper personal benefit;</w:t>
            </w:r>
          </w:p>
        </w:tc>
      </w:tr>
    </w:tbl>
    <w:p>
      <w:pPr>
        <w:pStyle w:val="TextBody"/>
        <w:bidi w:val="0"/>
        <w:spacing w:before="0" w:after="0"/>
        <w:ind w:left="1080" w:right="0" w:hanging="36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any act or omission not in good faith or that involves intentional misconduct or a knowing violation of law;</w:t>
            </w:r>
          </w:p>
        </w:tc>
      </w:tr>
    </w:tbl>
    <w:p>
      <w:pPr>
        <w:pStyle w:val="TextBody"/>
        <w:bidi w:val="0"/>
        <w:spacing w:before="0" w:after="0"/>
        <w:ind w:left="1080" w:right="0" w:hanging="36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any unlawful payment of dividends or redemption of shares; or</w:t>
            </w:r>
          </w:p>
        </w:tc>
      </w:tr>
    </w:tbl>
    <w:p>
      <w:pPr>
        <w:pStyle w:val="TextBody"/>
        <w:bidi w:val="0"/>
        <w:spacing w:before="0" w:after="0"/>
        <w:ind w:left="1080" w:right="0" w:hanging="36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any breach of a director’s duty of loyalty to the corporation or its stockholders.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our directors will be eliminated or limited to the fullest extent permitted by the DGCL, as so amended. The DGCL and our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insurance policy pursuant to which our directors and officers are insured against liability for actions taken in their capacities as directors and officers. We believe these provisions in our Amended and Restated Certificate of Incorporation and Bylaws and the indemnification agreements are necessary to attract and retain qualified persons as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Business Ethics for Employees, Executive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Code of Conduct and Business Ethics applicable to its directors, executive officers and employees, including its principal executive officer, principal financial officer, principal accounting officer or controller, or persons performing similar functions that complies with the rules and regulations of the Nasdaq. The Code of Conduct and Business Ethics codifies the business and ethical principles that govern all aspects of the Company’s business. A copy of the Code of Conduct and Business Ethics has been filed with the SEC and is provided on our website, https://daic.ai/. The Company will disclose on its website all disclosures that are required by law or the Nasdaq listing standards concerning any amendments to or waivers of certain provisions of its Code of Conduct and Business Ethics. The information on any of our websites is deemed not to be incorporated in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service agreements with each of our non-employee directors pursuant to which they are eligible to receive the following cash and equity incentive payments.</w:t>
      </w:r>
    </w:p>
    <w:p>
      <w:pPr>
        <w:pStyle w:val="TextBody"/>
        <w:bidi w:val="0"/>
        <w:spacing w:before="0" w:after="0"/>
        <w:ind w:left="0" w:right="0" w:firstLine="360"/>
        <w:jc w:val="both"/>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75"/>
        <w:gridCol w:w="170"/>
        <w:gridCol w:w="9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Cash Fee: Each non-employee director receives an annual cash fee of $50,000, payable quarterly in arrears.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Equity Awards: Each non-employee director is eligible to receive quarterly stock options awards with a fair value of $20,000 for each of the first three fiscal quarters and a fair value of $40,000 for the fourth fiscal quarter. The option awards will be granted quarterly with the number of shares subject to each award determined by dividing the dollar value of the grant by the closing price of our Common Stock on the grant date, rounded down to the nearest whole share. All option awards have an exercise price equal to the fair market value of a share of our Common Stock on the date of grant and are 100% vested on the date of grant, unless otherwise specified in the award agreement.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Chair Equity Award: In addition to the quarterly stock option awards, any director serving as the chair of a committee of the board of directors will receive an additional annual grant of stock options with a number of shares subject to the options determined by dividing $25,000 by the closing price of our Common Stock on the date of grant.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 Reimbursement: We will reimburse all of our non-employee directors for all reasonable business expenses incurred in the performance of their services in accordance with our expense reimbursement guidelines.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grant any option awards to our non-employee directors during 2025. The following table provides information related to the compensation of each of our non-employee directors during the year ended December 31, 2025.</w:t>
      </w:r>
    </w:p>
    <w:p>
      <w:pPr>
        <w:pStyle w:val="TextBody"/>
        <w:bidi w:val="0"/>
        <w:spacing w:before="0" w:after="0"/>
        <w:ind w:left="0" w:right="0" w:firstLine="360"/>
        <w:jc w:val="both"/>
        <w:rPr>
          <w:caps w:val="false"/>
          <w:smallCaps w:val="false"/>
        </w:rPr>
      </w:pPr>
      <w:r>
        <w:rPr>
          <w:caps w:val="false"/>
          <w:smallCaps w:val="false"/>
        </w:rPr>
        <w:t> </w:t>
      </w:r>
    </w:p>
    <w:tbl>
      <w:tblPr>
        <w:tblW w:w="8213" w:type="dxa"/>
        <w:jc w:val="left"/>
        <w:tblInd w:w="0" w:type="dxa"/>
        <w:tblLayout w:type="fixed"/>
        <w:tblCellMar>
          <w:top w:w="0" w:type="dxa"/>
          <w:left w:w="0" w:type="dxa"/>
          <w:bottom w:w="28" w:type="dxa"/>
          <w:right w:w="0" w:type="dxa"/>
        </w:tblCellMar>
      </w:tblPr>
      <w:tblGrid>
        <w:gridCol w:w="2300"/>
        <w:gridCol w:w="60"/>
        <w:gridCol w:w="513"/>
        <w:gridCol w:w="2491"/>
        <w:gridCol w:w="60"/>
        <w:gridCol w:w="60"/>
        <w:gridCol w:w="237"/>
        <w:gridCol w:w="1357"/>
        <w:gridCol w:w="60"/>
        <w:gridCol w:w="60"/>
        <w:gridCol w:w="140"/>
        <w:gridCol w:w="800"/>
        <w:gridCol w:w="75"/>
      </w:tblGrid>
      <w:tr>
        <w:trPr/>
        <w:tc>
          <w:tcPr>
            <w:tcW w:w="2300" w:type="dxa"/>
            <w:tcBorders>
              <w:bottom w:val="single" w:sz="12"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004" w:type="dxa"/>
            <w:gridSpan w:val="2"/>
            <w:tcBorders>
              <w:bottom w:val="single" w:sz="12" w:space="0" w:color="000000"/>
            </w:tcBorders>
            <w:vAlign w:val="center"/>
          </w:tcPr>
          <w:p>
            <w:pPr>
              <w:pStyle w:val="TableContents"/>
              <w:bidi w:val="0"/>
              <w:spacing w:before="0" w:after="283"/>
              <w:jc w:val="center"/>
              <w:rPr>
                <w:b/>
              </w:rPr>
            </w:pPr>
            <w:r>
              <w:rPr>
                <w:b/>
              </w:rPr>
              <w:t xml:space="preserve">Fees Earned or Paid in Cash </w:t>
              <w:b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bottom w:val="single" w:sz="12" w:space="0" w:color="000000"/>
            </w:tcBorders>
            <w:vAlign w:val="center"/>
          </w:tcPr>
          <w:p>
            <w:pPr>
              <w:pStyle w:val="TableContents"/>
              <w:bidi w:val="0"/>
              <w:spacing w:before="0" w:after="283"/>
              <w:jc w:val="center"/>
              <w:rPr>
                <w:b/>
              </w:rPr>
            </w:pPr>
            <w:r>
              <w:rPr>
                <w:b/>
              </w:rPr>
              <w:t>Option Awards</w:t>
              <w:b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Total</w:t>
              <w:br/>
              <w:t>($)</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b/>
              </w:rPr>
            </w:pPr>
            <w:r>
              <w:rPr>
                <w:b/>
              </w:rPr>
              <w:t>Sheldon Paul,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3" w:type="dxa"/>
            <w:tcBorders/>
            <w:shd w:fill="CCEEFF" w:val="clear"/>
            <w:tcMar>
              <w:bottom w:w="0" w:type="dxa"/>
            </w:tcMar>
            <w:vAlign w:val="center"/>
          </w:tcPr>
          <w:p>
            <w:pPr>
              <w:pStyle w:val="TableContents"/>
              <w:bidi w:val="0"/>
              <w:spacing w:before="0" w:after="283"/>
              <w:jc w:val="left"/>
              <w:rPr/>
            </w:pPr>
            <w:r>
              <w:rPr/>
              <w:t>$</w:t>
            </w:r>
          </w:p>
        </w:tc>
        <w:tc>
          <w:tcPr>
            <w:tcW w:w="2491" w:type="dxa"/>
            <w:tcBorders/>
            <w:shd w:fill="CCEEFF" w:val="clear"/>
            <w:tcMar>
              <w:bottom w:w="0" w:type="dxa"/>
            </w:tcMar>
            <w:vAlign w:val="center"/>
          </w:tcPr>
          <w:p>
            <w:pPr>
              <w:pStyle w:val="TableContents"/>
              <w:bidi w:val="0"/>
              <w:spacing w:before="0" w:after="283"/>
              <w:jc w:val="right"/>
              <w:rPr/>
            </w:pPr>
            <w:r>
              <w:rPr/>
              <w:t>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1357" w:type="dxa"/>
            <w:tcBorders/>
            <w:shd w:fill="CCEEFF" w:val="clear"/>
            <w:tcMar>
              <w:bottom w:w="0" w:type="dxa"/>
            </w:tcMar>
            <w:vAlign w:val="center"/>
          </w:tcPr>
          <w:p>
            <w:pPr>
              <w:pStyle w:val="TableContents"/>
              <w:bidi w:val="0"/>
              <w:spacing w:before="0" w:after="283"/>
              <w:jc w:val="right"/>
              <w:rPr/>
            </w:pPr>
            <w:r>
              <w:rPr/>
              <w:t>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117,500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Phyllis Newhouse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3" w:type="dxa"/>
            <w:tcBorders/>
            <w:shd w:fill="FFFFFF" w:val="clear"/>
            <w:tcMar>
              <w:bottom w:w="0" w:type="dxa"/>
            </w:tcMar>
            <w:vAlign w:val="center"/>
          </w:tcPr>
          <w:p>
            <w:pPr>
              <w:pStyle w:val="TableContents"/>
              <w:bidi w:val="0"/>
              <w:spacing w:before="0" w:after="283"/>
              <w:jc w:val="left"/>
              <w:rPr/>
            </w:pPr>
            <w:r>
              <w:rPr/>
              <w:t>$</w:t>
            </w:r>
          </w:p>
        </w:tc>
        <w:tc>
          <w:tcPr>
            <w:tcW w:w="2491" w:type="dxa"/>
            <w:tcBorders/>
            <w:shd w:fill="FFFFFF" w:val="clear"/>
            <w:tcMar>
              <w:bottom w:w="0" w:type="dxa"/>
            </w:tcMar>
            <w:vAlign w:val="center"/>
          </w:tcPr>
          <w:p>
            <w:pPr>
              <w:pStyle w:val="TableContents"/>
              <w:bidi w:val="0"/>
              <w:spacing w:before="0" w:after="283"/>
              <w:jc w:val="right"/>
              <w:rPr/>
            </w:pPr>
            <w:r>
              <w:rPr/>
              <w:t>37,500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w:t>
            </w:r>
          </w:p>
        </w:tc>
        <w:tc>
          <w:tcPr>
            <w:tcW w:w="1357" w:type="dxa"/>
            <w:tcBorders/>
            <w:shd w:fill="FFFFFF" w:val="clear"/>
            <w:tcMar>
              <w:bottom w:w="0" w:type="dxa"/>
            </w:tcMar>
            <w:vAlign w:val="center"/>
          </w:tcPr>
          <w:p>
            <w:pPr>
              <w:pStyle w:val="TableContents"/>
              <w:bidi w:val="0"/>
              <w:spacing w:before="0" w:after="283"/>
              <w:jc w:val="right"/>
              <w:rPr/>
            </w:pPr>
            <w:r>
              <w:rPr/>
              <w:t>105,000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142,500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pPr>
            <w:r>
              <w:rPr/>
              <w:t>Janice Bryant Howroyd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3" w:type="dxa"/>
            <w:tcBorders/>
            <w:shd w:fill="CCEEFF" w:val="clear"/>
            <w:tcMar>
              <w:bottom w:w="0" w:type="dxa"/>
            </w:tcMar>
            <w:vAlign w:val="center"/>
          </w:tcPr>
          <w:p>
            <w:pPr>
              <w:pStyle w:val="TableContents"/>
              <w:bidi w:val="0"/>
              <w:spacing w:before="0" w:after="283"/>
              <w:jc w:val="left"/>
              <w:rPr/>
            </w:pPr>
            <w:r>
              <w:rPr/>
              <w:t>$</w:t>
            </w:r>
          </w:p>
        </w:tc>
        <w:tc>
          <w:tcPr>
            <w:tcW w:w="2491" w:type="dxa"/>
            <w:tcBorders/>
            <w:shd w:fill="CCEEFF" w:val="clear"/>
            <w:tcMar>
              <w:bottom w:w="0" w:type="dxa"/>
            </w:tcMar>
            <w:vAlign w:val="center"/>
          </w:tcPr>
          <w:p>
            <w:pPr>
              <w:pStyle w:val="TableContents"/>
              <w:bidi w:val="0"/>
              <w:spacing w:before="0" w:after="283"/>
              <w:jc w:val="right"/>
              <w:rPr/>
            </w:pPr>
            <w:r>
              <w:rPr/>
              <w:t>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1357" w:type="dxa"/>
            <w:tcBorders/>
            <w:shd w:fill="CCEEFF" w:val="clear"/>
            <w:tcMar>
              <w:bottom w:w="0" w:type="dxa"/>
            </w:tcMar>
            <w:vAlign w:val="center"/>
          </w:tcPr>
          <w:p>
            <w:pPr>
              <w:pStyle w:val="TableContents"/>
              <w:bidi w:val="0"/>
              <w:spacing w:before="0" w:after="283"/>
              <w:jc w:val="right"/>
              <w:rPr/>
            </w:pPr>
            <w:r>
              <w:rPr/>
              <w:t>105,000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142,500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Walter Skowronski</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3" w:type="dxa"/>
            <w:tcBorders/>
            <w:shd w:fill="FFFFFF" w:val="clear"/>
            <w:tcMar>
              <w:bottom w:w="0" w:type="dxa"/>
            </w:tcMar>
            <w:vAlign w:val="center"/>
          </w:tcPr>
          <w:p>
            <w:pPr>
              <w:pStyle w:val="TableContents"/>
              <w:bidi w:val="0"/>
              <w:spacing w:before="0" w:after="283"/>
              <w:jc w:val="left"/>
              <w:rPr/>
            </w:pPr>
            <w:r>
              <w:rPr/>
              <w:t>$</w:t>
            </w:r>
          </w:p>
        </w:tc>
        <w:tc>
          <w:tcPr>
            <w:tcW w:w="2491" w:type="dxa"/>
            <w:tcBorders/>
            <w:shd w:fill="FFFFFF" w:val="clear"/>
            <w:tcMar>
              <w:bottom w:w="0" w:type="dxa"/>
            </w:tcMar>
            <w:vAlign w:val="center"/>
          </w:tcPr>
          <w:p>
            <w:pPr>
              <w:pStyle w:val="TableContents"/>
              <w:bidi w:val="0"/>
              <w:spacing w:before="0" w:after="283"/>
              <w:jc w:val="right"/>
              <w:rPr/>
            </w:pPr>
            <w:r>
              <w:rPr/>
              <w:t>37,500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w:t>
            </w:r>
          </w:p>
        </w:tc>
        <w:tc>
          <w:tcPr>
            <w:tcW w:w="1357" w:type="dxa"/>
            <w:tcBorders/>
            <w:shd w:fill="FFFFFF" w:val="clear"/>
            <w:tcMar>
              <w:bottom w:w="0" w:type="dxa"/>
            </w:tcMar>
            <w:vAlign w:val="center"/>
          </w:tcPr>
          <w:p>
            <w:pPr>
              <w:pStyle w:val="TableContents"/>
              <w:bidi w:val="0"/>
              <w:spacing w:before="0" w:after="283"/>
              <w:jc w:val="right"/>
              <w:rPr/>
            </w:pPr>
            <w:r>
              <w:rPr/>
              <w:t>105,000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142,500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pPr>
            <w:r>
              <w:rPr/>
              <w:t>David Carlson, D.O.</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3" w:type="dxa"/>
            <w:tcBorders/>
            <w:shd w:fill="CCEEFF" w:val="clear"/>
            <w:tcMar>
              <w:bottom w:w="0" w:type="dxa"/>
            </w:tcMar>
            <w:vAlign w:val="center"/>
          </w:tcPr>
          <w:p>
            <w:pPr>
              <w:pStyle w:val="TableContents"/>
              <w:bidi w:val="0"/>
              <w:spacing w:before="0" w:after="283"/>
              <w:jc w:val="left"/>
              <w:rPr/>
            </w:pPr>
            <w:r>
              <w:rPr/>
              <w:t>$</w:t>
            </w:r>
          </w:p>
        </w:tc>
        <w:tc>
          <w:tcPr>
            <w:tcW w:w="2491" w:type="dxa"/>
            <w:tcBorders/>
            <w:shd w:fill="CCEEFF" w:val="clear"/>
            <w:tcMar>
              <w:bottom w:w="0" w:type="dxa"/>
            </w:tcMar>
            <w:vAlign w:val="center"/>
          </w:tcPr>
          <w:p>
            <w:pPr>
              <w:pStyle w:val="TableContents"/>
              <w:bidi w:val="0"/>
              <w:spacing w:before="0" w:after="283"/>
              <w:jc w:val="right"/>
              <w:rPr/>
            </w:pPr>
            <w:r>
              <w:rPr/>
              <w:t>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1357" w:type="dxa"/>
            <w:tcBorders/>
            <w:shd w:fill="CCEEFF" w:val="clear"/>
            <w:tcMar>
              <w:bottom w:w="0" w:type="dxa"/>
            </w:tcMar>
            <w:vAlign w:val="center"/>
          </w:tcPr>
          <w:p>
            <w:pPr>
              <w:pStyle w:val="TableContents"/>
              <w:bidi w:val="0"/>
              <w:spacing w:before="0" w:after="283"/>
              <w:jc w:val="right"/>
              <w:rPr/>
            </w:pPr>
            <w:r>
              <w:rPr/>
              <w:t>105,000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142,500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Jeff Saling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3" w:type="dxa"/>
            <w:tcBorders/>
            <w:shd w:fill="FFFFFF" w:val="clear"/>
            <w:tcMar>
              <w:bottom w:w="0" w:type="dxa"/>
            </w:tcMar>
            <w:vAlign w:val="center"/>
          </w:tcPr>
          <w:p>
            <w:pPr>
              <w:pStyle w:val="TableContents"/>
              <w:bidi w:val="0"/>
              <w:spacing w:before="0" w:after="283"/>
              <w:jc w:val="left"/>
              <w:rPr/>
            </w:pPr>
            <w:r>
              <w:rPr/>
              <w:t>$</w:t>
            </w:r>
          </w:p>
        </w:tc>
        <w:tc>
          <w:tcPr>
            <w:tcW w:w="2491" w:type="dxa"/>
            <w:tcBorders/>
            <w:shd w:fill="FFFFFF" w:val="clear"/>
            <w:tcMar>
              <w:bottom w:w="0" w:type="dxa"/>
            </w:tcMar>
            <w:vAlign w:val="center"/>
          </w:tcPr>
          <w:p>
            <w:pPr>
              <w:pStyle w:val="TableContents"/>
              <w:bidi w:val="0"/>
              <w:spacing w:before="0" w:after="283"/>
              <w:jc w:val="right"/>
              <w:rPr/>
            </w:pPr>
            <w:r>
              <w:rPr/>
              <w:t>37,500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w:t>
            </w:r>
          </w:p>
        </w:tc>
        <w:tc>
          <w:tcPr>
            <w:tcW w:w="1357" w:type="dxa"/>
            <w:tcBorders/>
            <w:shd w:fill="FFFFFF" w:val="clear"/>
            <w:tcMar>
              <w:bottom w:w="0" w:type="dxa"/>
            </w:tcMar>
            <w:vAlign w:val="center"/>
          </w:tcPr>
          <w:p>
            <w:pPr>
              <w:pStyle w:val="TableContents"/>
              <w:bidi w:val="0"/>
              <w:spacing w:before="0" w:after="283"/>
              <w:jc w:val="right"/>
              <w:rPr/>
            </w:pPr>
            <w:r>
              <w:rPr/>
              <w:t>105,000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142,500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260"/>
        <w:gridCol w:w="792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the value of the annual retainers payable to our non-employee directors.</w:t>
            </w:r>
          </w:p>
        </w:tc>
      </w:tr>
      <w:tr>
        <w:trPr/>
        <w:tc>
          <w:tcPr>
            <w:tcW w:w="2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283"/>
              <w:jc w:val="both"/>
              <w:rPr/>
            </w:pPr>
            <w:r>
              <w:rPr/>
              <w:t> </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Although earned, we did not grant any option awards to our non-employee directors during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toc_012"/>
      <w:bookmarkEnd w:id="13"/>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we have opted to comply with the executive compensation rules applicable to “smaller reporting companies,” as such term is defined under the Securities Act of 1933, as amended, which require compensation disclosure for our principal executive officer and our next two most highly compensated executive officers (other than our principal executive officer) (collectively, the “Named Executive Officers” or “NEOs”). Also, as an emerging growth company, we are not required to include, and have not included, a Compensation Discussion and Analysis (CD&amp;A) and certain of the other compensation tables required by Item 402 of Regulation S-K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executives are our Named Executive Officers:</w:t>
      </w:r>
    </w:p>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75"/>
        <w:gridCol w:w="170"/>
        <w:gridCol w:w="3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 Nabrotzky, Chief Executive Officer;</w:t>
            </w:r>
          </w:p>
        </w:tc>
      </w:tr>
    </w:tbl>
    <w:p>
      <w:pPr>
        <w:pStyle w:val="TextBody"/>
        <w:bidi w:val="0"/>
        <w:spacing w:before="0" w:after="0"/>
        <w:ind w:left="720" w:right="0" w:hanging="36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Maddox, Chief Financial Officer/Chief Operations Officer; and</w:t>
            </w:r>
          </w:p>
        </w:tc>
      </w:tr>
    </w:tbl>
    <w:p>
      <w:pPr>
        <w:pStyle w:val="TextBody"/>
        <w:bidi w:val="0"/>
        <w:spacing w:before="0" w:after="0"/>
        <w:ind w:left="720" w:right="0" w:hanging="36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75"/>
        <w:gridCol w:w="170"/>
        <w:gridCol w:w="3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Vijayan Nambiar, Chief Technology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compensation of SEE ID’s named executive officers for the years ended December 31, 2025 and 2024.</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83"/>
        <w:gridCol w:w="60"/>
        <w:gridCol w:w="60"/>
        <w:gridCol w:w="500"/>
        <w:gridCol w:w="60"/>
        <w:gridCol w:w="60"/>
        <w:gridCol w:w="140"/>
        <w:gridCol w:w="800"/>
        <w:gridCol w:w="60"/>
        <w:gridCol w:w="60"/>
        <w:gridCol w:w="140"/>
        <w:gridCol w:w="784"/>
        <w:gridCol w:w="60"/>
        <w:gridCol w:w="60"/>
        <w:gridCol w:w="230"/>
        <w:gridCol w:w="1523"/>
        <w:gridCol w:w="60"/>
        <w:gridCol w:w="60"/>
        <w:gridCol w:w="179"/>
        <w:gridCol w:w="486"/>
        <w:gridCol w:w="60"/>
        <w:gridCol w:w="60"/>
        <w:gridCol w:w="239"/>
        <w:gridCol w:w="1377"/>
        <w:gridCol w:w="224"/>
        <w:gridCol w:w="60"/>
        <w:gridCol w:w="140"/>
        <w:gridCol w:w="800"/>
        <w:gridCol w:w="280"/>
      </w:tblGrid>
      <w:tr>
        <w:trPr/>
        <w:tc>
          <w:tcPr>
            <w:tcW w:w="1583" w:type="dxa"/>
            <w:tcBorders>
              <w:bottom w:val="single" w:sz="1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Salary</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4" w:type="dxa"/>
            <w:gridSpan w:val="2"/>
            <w:tcBorders>
              <w:bottom w:val="single" w:sz="12" w:space="0" w:color="000000"/>
            </w:tcBorders>
            <w:vAlign w:val="center"/>
          </w:tcPr>
          <w:p>
            <w:pPr>
              <w:pStyle w:val="TableContents"/>
              <w:bidi w:val="0"/>
              <w:spacing w:before="0" w:after="283"/>
              <w:jc w:val="center"/>
              <w:rPr>
                <w:b/>
              </w:rPr>
            </w:pPr>
            <w:r>
              <w:rPr>
                <w:b/>
              </w:rPr>
              <w:t>Option Awards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53" w:type="dxa"/>
            <w:gridSpan w:val="2"/>
            <w:tcBorders>
              <w:bottom w:val="single" w:sz="12" w:space="0" w:color="000000"/>
            </w:tcBorders>
            <w:vAlign w:val="center"/>
          </w:tcPr>
          <w:p>
            <w:pPr>
              <w:pStyle w:val="TableContents"/>
              <w:bidi w:val="0"/>
              <w:spacing w:before="0" w:after="283"/>
              <w:jc w:val="center"/>
              <w:rPr>
                <w:b/>
              </w:rPr>
            </w:pPr>
            <w:r>
              <w:rPr>
                <w:b/>
              </w:rPr>
              <w:t>Nonequity Incentive 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12" w:space="0" w:color="000000"/>
            </w:tcBorders>
            <w:vAlign w:val="center"/>
          </w:tcPr>
          <w:p>
            <w:pPr>
              <w:pStyle w:val="TableContents"/>
              <w:bidi w:val="0"/>
              <w:spacing w:before="0" w:after="283"/>
              <w:jc w:val="center"/>
              <w:rPr>
                <w:b/>
              </w:rPr>
            </w:pPr>
            <w:r>
              <w:rPr>
                <w:b/>
              </w:rPr>
              <w:t>Bonus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6" w:type="dxa"/>
            <w:gridSpan w:val="2"/>
            <w:tcBorders>
              <w:bottom w:val="single" w:sz="12" w:space="0" w:color="000000"/>
            </w:tcBorders>
            <w:vAlign w:val="center"/>
          </w:tcPr>
          <w:p>
            <w:pPr>
              <w:pStyle w:val="TableContents"/>
              <w:bidi w:val="0"/>
              <w:spacing w:before="0" w:after="283"/>
              <w:jc w:val="center"/>
              <w:rPr>
                <w:b/>
              </w:rPr>
            </w:pPr>
            <w:r>
              <w:rPr>
                <w:b/>
              </w:rPr>
              <w:t>All Other Compensation</w:t>
              <w:br/>
              <w:t>($)</w:t>
            </w:r>
          </w:p>
        </w:tc>
        <w:tc>
          <w:tcPr>
            <w:tcW w:w="22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Total</w:t>
              <w:br/>
              <w:t>($)</w:t>
            </w:r>
          </w:p>
        </w:tc>
        <w:tc>
          <w:tcPr>
            <w:tcW w:w="280" w:type="dxa"/>
            <w:tcBorders/>
            <w:tcMar>
              <w:bottom w:w="0" w:type="dxa"/>
            </w:tcMar>
            <w:vAlign w:val="center"/>
          </w:tcPr>
          <w:p>
            <w:pPr>
              <w:pStyle w:val="TableContents"/>
              <w:bidi w:val="0"/>
              <w:spacing w:before="0" w:after="283"/>
              <w:jc w:val="left"/>
              <w:rPr/>
            </w:pPr>
            <w:r>
              <w:rPr/>
              <w:t> </w:t>
            </w:r>
          </w:p>
        </w:tc>
      </w:tr>
      <w:tr>
        <w:trPr/>
        <w:tc>
          <w:tcPr>
            <w:tcW w:w="1583" w:type="dxa"/>
            <w:tcBorders/>
            <w:shd w:fill="CCEEFF" w:val="clear"/>
            <w:tcMar>
              <w:bottom w:w="0" w:type="dxa"/>
            </w:tcMar>
            <w:vAlign w:val="center"/>
          </w:tcPr>
          <w:p>
            <w:pPr>
              <w:pStyle w:val="TableContents"/>
              <w:bidi w:val="0"/>
              <w:spacing w:before="0" w:after="283"/>
              <w:jc w:val="left"/>
              <w:rPr/>
            </w:pPr>
            <w:r>
              <w:rPr/>
              <w:t>Ed Nabrotzky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285,384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4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w:t>
            </w:r>
          </w:p>
        </w:tc>
        <w:tc>
          <w:tcPr>
            <w:tcW w:w="1377" w:type="dxa"/>
            <w:tcBorders/>
            <w:shd w:fill="CCEEFF" w:val="clear"/>
            <w:tcMar>
              <w:bottom w:w="0" w:type="dxa"/>
            </w:tcMar>
            <w:vAlign w:val="center"/>
          </w:tcPr>
          <w:p>
            <w:pPr>
              <w:pStyle w:val="TableContents"/>
              <w:bidi w:val="0"/>
              <w:spacing w:before="0" w:after="283"/>
              <w:jc w:val="right"/>
              <w:rPr/>
            </w:pPr>
            <w:r>
              <w:rPr/>
              <w:t>357,500</w:t>
            </w:r>
          </w:p>
        </w:tc>
        <w:tc>
          <w:tcPr>
            <w:tcW w:w="224"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642,884</w:t>
            </w:r>
          </w:p>
        </w:tc>
        <w:tc>
          <w:tcPr>
            <w:tcW w:w="280" w:type="dxa"/>
            <w:tcBorders/>
            <w:shd w:fill="CCEEFF" w:val="clear"/>
            <w:tcMar>
              <w:bottom w:w="0" w:type="dxa"/>
            </w:tcMar>
            <w:vAlign w:val="center"/>
          </w:tcPr>
          <w:p>
            <w:pPr>
              <w:pStyle w:val="TableContents"/>
              <w:bidi w:val="0"/>
              <w:spacing w:before="0" w:after="283"/>
              <w:ind w:left="0" w:right="0" w:firstLine="200"/>
              <w:jc w:val="left"/>
              <w:rPr/>
            </w:pPr>
            <w:r>
              <w:rPr/>
              <w:t> </w:t>
            </w:r>
          </w:p>
        </w:tc>
      </w:tr>
      <w:tr>
        <w:trPr/>
        <w:tc>
          <w:tcPr>
            <w:tcW w:w="1583" w:type="dxa"/>
            <w:tcBorders/>
            <w:shd w:fill="CCEEFF" w:val="clear"/>
            <w:tcMar>
              <w:bottom w:w="0" w:type="dxa"/>
            </w:tcMar>
            <w:vAlign w:val="center"/>
          </w:tcPr>
          <w:p>
            <w:pPr>
              <w:pStyle w:val="TableContents"/>
              <w:bidi w:val="0"/>
              <w:spacing w:before="0" w:after="283"/>
              <w:jc w:val="left"/>
              <w:rPr>
                <w:i/>
              </w:rPr>
            </w:pPr>
            <w:r>
              <w:rPr>
                <w:i/>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4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w:t>
            </w:r>
          </w:p>
        </w:tc>
        <w:tc>
          <w:tcPr>
            <w:tcW w:w="1377" w:type="dxa"/>
            <w:tcBorders/>
            <w:shd w:fill="CCEEFF" w:val="clear"/>
            <w:tcMar>
              <w:bottom w:w="0" w:type="dxa"/>
            </w:tcMar>
            <w:vAlign w:val="center"/>
          </w:tcPr>
          <w:p>
            <w:pPr>
              <w:pStyle w:val="TableContents"/>
              <w:bidi w:val="0"/>
              <w:spacing w:before="0" w:after="283"/>
              <w:jc w:val="right"/>
              <w:rPr/>
            </w:pPr>
            <w:r>
              <w:rPr/>
              <w:t>5,821</w:t>
            </w:r>
          </w:p>
        </w:tc>
        <w:tc>
          <w:tcPr>
            <w:tcW w:w="22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235,821</w:t>
            </w:r>
          </w:p>
        </w:tc>
        <w:tc>
          <w:tcPr>
            <w:tcW w:w="280" w:type="dxa"/>
            <w:tcBorders/>
            <w:shd w:fill="CCEEFF" w:val="clear"/>
            <w:tcMar>
              <w:bottom w:w="0" w:type="dxa"/>
            </w:tcMar>
            <w:vAlign w:val="center"/>
          </w:tcPr>
          <w:p>
            <w:pPr>
              <w:pStyle w:val="TableContents"/>
              <w:bidi w:val="0"/>
              <w:spacing w:before="0" w:after="283"/>
              <w:jc w:val="left"/>
              <w:rPr/>
            </w:pPr>
            <w:r>
              <w:rPr/>
              <w:t> </w:t>
            </w:r>
          </w:p>
        </w:tc>
      </w:tr>
      <w:tr>
        <w:trPr/>
        <w:tc>
          <w:tcPr>
            <w:tcW w:w="1583" w:type="dxa"/>
            <w:tcBorders/>
            <w:shd w:fill="FFFFFF" w:val="clear"/>
            <w:tcMar>
              <w:bottom w:w="0" w:type="dxa"/>
            </w:tcMar>
            <w:vAlign w:val="center"/>
          </w:tcPr>
          <w:p>
            <w:pPr>
              <w:pStyle w:val="TableContents"/>
              <w:bidi w:val="0"/>
              <w:spacing w:before="0" w:after="283"/>
              <w:jc w:val="left"/>
              <w:rPr/>
            </w:pPr>
            <w:r>
              <w:rPr/>
              <w:t>Charles Maddox</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263,958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8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w:t>
            </w:r>
          </w:p>
        </w:tc>
        <w:tc>
          <w:tcPr>
            <w:tcW w:w="486" w:type="dxa"/>
            <w:tcBorders/>
            <w:shd w:fill="FFFFFF" w:val="clear"/>
            <w:tcMar>
              <w:bottom w:w="0" w:type="dxa"/>
            </w:tcMar>
            <w:vAlign w:val="center"/>
          </w:tcPr>
          <w:p>
            <w:pPr>
              <w:pStyle w:val="TableContents"/>
              <w:bidi w:val="0"/>
              <w:spacing w:before="0" w:after="283"/>
              <w:jc w:val="right"/>
              <w:rPr/>
            </w:pPr>
            <w:r>
              <w:rPr/>
              <w:t>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w:t>
            </w:r>
          </w:p>
        </w:tc>
        <w:tc>
          <w:tcPr>
            <w:tcW w:w="1377" w:type="dxa"/>
            <w:tcBorders/>
            <w:shd w:fill="FFFFFF" w:val="clear"/>
            <w:tcMar>
              <w:bottom w:w="0" w:type="dxa"/>
            </w:tcMar>
            <w:vAlign w:val="center"/>
          </w:tcPr>
          <w:p>
            <w:pPr>
              <w:pStyle w:val="TableContents"/>
              <w:bidi w:val="0"/>
              <w:spacing w:before="0" w:after="283"/>
              <w:jc w:val="right"/>
              <w:rPr/>
            </w:pPr>
            <w:r>
              <w:rPr/>
              <w:t>250,000</w:t>
            </w:r>
          </w:p>
        </w:tc>
        <w:tc>
          <w:tcPr>
            <w:tcW w:w="224" w:type="dxa"/>
            <w:tcBorders/>
            <w:shd w:fill="FFFFFF" w:val="clear"/>
            <w:tcMar>
              <w:bottom w:w="0" w:type="dxa"/>
            </w:tcMar>
            <w:vAlign w:val="center"/>
          </w:tcPr>
          <w:p>
            <w:pPr>
              <w:pStyle w:val="TableContents"/>
              <w:bidi w:val="0"/>
              <w:spacing w:before="0" w:after="283"/>
              <w:jc w:val="lef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514,558</w:t>
            </w:r>
          </w:p>
        </w:tc>
        <w:tc>
          <w:tcPr>
            <w:tcW w:w="280" w:type="dxa"/>
            <w:tcBorders/>
            <w:shd w:fill="FFFFFF" w:val="clear"/>
            <w:tcMar>
              <w:bottom w:w="0" w:type="dxa"/>
            </w:tcMar>
            <w:vAlign w:val="center"/>
          </w:tcPr>
          <w:p>
            <w:pPr>
              <w:pStyle w:val="TableContents"/>
              <w:bidi w:val="0"/>
              <w:spacing w:before="0" w:after="283"/>
              <w:jc w:val="left"/>
              <w:rPr/>
            </w:pPr>
            <w:r>
              <w:rPr/>
              <w:t> </w:t>
            </w:r>
          </w:p>
        </w:tc>
      </w:tr>
      <w:tr>
        <w:trPr/>
        <w:tc>
          <w:tcPr>
            <w:tcW w:w="1583" w:type="dxa"/>
            <w:tcBorders/>
            <w:shd w:fill="FFFFFF" w:val="clear"/>
            <w:tcMar>
              <w:bottom w:w="0" w:type="dxa"/>
            </w:tcMar>
            <w:vAlign w:val="center"/>
          </w:tcPr>
          <w:p>
            <w:pPr>
              <w:pStyle w:val="TableContents"/>
              <w:bidi w:val="0"/>
              <w:spacing w:before="0" w:after="283"/>
              <w:jc w:val="left"/>
              <w:rPr>
                <w:i/>
              </w:rPr>
            </w:pPr>
            <w:r>
              <w:rPr>
                <w:i/>
              </w:rPr>
              <w:t>Chief Financial Officer/Chief Operations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8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4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1377" w:type="dxa"/>
            <w:tcBorders/>
            <w:shd w:fill="FFFFFF" w:val="clear"/>
            <w:tcMar>
              <w:bottom w:w="0" w:type="dxa"/>
            </w:tcMar>
            <w:vAlign w:val="center"/>
          </w:tcPr>
          <w:p>
            <w:pPr>
              <w:pStyle w:val="TableContents"/>
              <w:bidi w:val="0"/>
              <w:spacing w:before="0" w:after="283"/>
              <w:jc w:val="right"/>
              <w:rPr/>
            </w:pPr>
            <w:r>
              <w:rPr/>
              <w:t>-</w:t>
            </w:r>
          </w:p>
        </w:tc>
        <w:tc>
          <w:tcPr>
            <w:tcW w:w="22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230,000</w:t>
            </w:r>
          </w:p>
        </w:tc>
        <w:tc>
          <w:tcPr>
            <w:tcW w:w="280" w:type="dxa"/>
            <w:tcBorders/>
            <w:shd w:fill="FFFFFF" w:val="clear"/>
            <w:tcMar>
              <w:bottom w:w="0" w:type="dxa"/>
            </w:tcMar>
            <w:vAlign w:val="center"/>
          </w:tcPr>
          <w:p>
            <w:pPr>
              <w:pStyle w:val="TableContents"/>
              <w:bidi w:val="0"/>
              <w:spacing w:before="0" w:after="283"/>
              <w:jc w:val="left"/>
              <w:rPr/>
            </w:pPr>
            <w:r>
              <w:rPr/>
              <w:t> </w:t>
            </w:r>
          </w:p>
        </w:tc>
      </w:tr>
      <w:tr>
        <w:trPr/>
        <w:tc>
          <w:tcPr>
            <w:tcW w:w="1583" w:type="dxa"/>
            <w:tcBorders/>
            <w:shd w:fill="CCEEFF" w:val="clear"/>
            <w:tcMar>
              <w:bottom w:w="0" w:type="dxa"/>
            </w:tcMar>
            <w:vAlign w:val="center"/>
          </w:tcPr>
          <w:p>
            <w:pPr>
              <w:pStyle w:val="TableContents"/>
              <w:bidi w:val="0"/>
              <w:spacing w:before="0" w:after="283"/>
              <w:jc w:val="left"/>
              <w:rPr/>
            </w:pPr>
            <w:r>
              <w:rPr/>
              <w:t>Vijayan Nambiar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276,154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4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w:t>
            </w:r>
          </w:p>
        </w:tc>
        <w:tc>
          <w:tcPr>
            <w:tcW w:w="1377" w:type="dxa"/>
            <w:tcBorders/>
            <w:shd w:fill="CCEEFF" w:val="clear"/>
            <w:tcMar>
              <w:bottom w:w="0" w:type="dxa"/>
            </w:tcMar>
            <w:vAlign w:val="center"/>
          </w:tcPr>
          <w:p>
            <w:pPr>
              <w:pStyle w:val="TableContents"/>
              <w:bidi w:val="0"/>
              <w:spacing w:before="0" w:after="283"/>
              <w:jc w:val="right"/>
              <w:rPr/>
            </w:pPr>
            <w:r>
              <w:rPr/>
              <w:t>200,000</w:t>
            </w:r>
          </w:p>
        </w:tc>
        <w:tc>
          <w:tcPr>
            <w:tcW w:w="224"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476,154</w:t>
            </w:r>
          </w:p>
        </w:tc>
        <w:tc>
          <w:tcPr>
            <w:tcW w:w="280" w:type="dxa"/>
            <w:tcBorders/>
            <w:shd w:fill="CCEEFF" w:val="clear"/>
            <w:tcMar>
              <w:bottom w:w="0" w:type="dxa"/>
            </w:tcMar>
            <w:vAlign w:val="center"/>
          </w:tcPr>
          <w:p>
            <w:pPr>
              <w:pStyle w:val="TableContents"/>
              <w:bidi w:val="0"/>
              <w:spacing w:before="0" w:after="283"/>
              <w:ind w:left="0" w:right="0" w:firstLine="200"/>
              <w:jc w:val="left"/>
              <w:rPr/>
            </w:pPr>
            <w:r>
              <w:rPr/>
              <w:t> </w:t>
            </w:r>
          </w:p>
        </w:tc>
      </w:tr>
      <w:tr>
        <w:trPr/>
        <w:tc>
          <w:tcPr>
            <w:tcW w:w="1583" w:type="dxa"/>
            <w:tcBorders/>
            <w:shd w:fill="CCEEFF" w:val="clear"/>
            <w:tcMar>
              <w:bottom w:w="0" w:type="dxa"/>
            </w:tcMar>
            <w:vAlign w:val="center"/>
          </w:tcPr>
          <w:p>
            <w:pPr>
              <w:pStyle w:val="TableContents"/>
              <w:bidi w:val="0"/>
              <w:spacing w:before="0" w:after="283"/>
              <w:jc w:val="left"/>
              <w:rPr>
                <w:i/>
              </w:rPr>
            </w:pPr>
            <w:r>
              <w:rPr>
                <w:i/>
              </w:rPr>
              <w:t>Chief Technology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4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 </w:t>
            </w:r>
          </w:p>
        </w:tc>
        <w:tc>
          <w:tcPr>
            <w:tcW w:w="1377" w:type="dxa"/>
            <w:tcBorders/>
            <w:shd w:fill="CCEEFF" w:val="clear"/>
            <w:tcMar>
              <w:bottom w:w="0" w:type="dxa"/>
            </w:tcMar>
            <w:vAlign w:val="center"/>
          </w:tcPr>
          <w:p>
            <w:pPr>
              <w:pStyle w:val="TableContents"/>
              <w:bidi w:val="0"/>
              <w:spacing w:before="0" w:after="283"/>
              <w:jc w:val="right"/>
              <w:rPr/>
            </w:pPr>
            <w:r>
              <w:rPr/>
              <w:t>-</w:t>
            </w:r>
          </w:p>
        </w:tc>
        <w:tc>
          <w:tcPr>
            <w:tcW w:w="22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230,000</w:t>
            </w:r>
          </w:p>
        </w:tc>
        <w:tc>
          <w:tcPr>
            <w:tcW w:w="2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include $320,000 transaction bonus paid in connection with the closing of the Business Combination, and $37,500 in fees for service as a member of the Board of Directors.</w:t>
            </w:r>
          </w:p>
        </w:tc>
      </w:tr>
    </w:tbl>
    <w:p>
      <w:pPr>
        <w:pStyle w:val="TextBody"/>
        <w:bidi w:val="0"/>
        <w:spacing w:before="0" w:after="0"/>
        <w:jc w:val="left"/>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245"/>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include transaction bonuses paid in connection with the Business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the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entered into employment agreements with each of our Named Executive Officers, each of which provides for at-will employment and provides for no specified term of employment. The employment agreements are described more fully below under the heading entitled “- </w:t>
      </w:r>
      <w:r>
        <w:rPr>
          <w:rFonts w:ascii="Times New Roman;Times;Serif" w:hAnsi="Times New Roman;Times;Serif"/>
          <w:b w:val="false"/>
          <w:i/>
          <w:caps w:val="false"/>
          <w:smallCaps w:val="false"/>
          <w:sz w:val="20"/>
        </w:rPr>
        <w:t>Employment and Termination Arrangements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Base Salaries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are intended to provide a level of compensation sufficient to attract and retain an effective management team, when considered in combination with the other components of the executive compensation program. In general, we seek to provide a base salary level designed to reflect each executive officer’s scope of responsibility and accountability. Our Compensation Committee reviews the base salaries of our named executive officers each year (or otherwise at the time of a new hire or promotion). Effective as of July 15, 2025, Mr. Nabrotzky’s base salary was increased to $350,000, Mr. Maddox’s base salary was increased to $300,000 and Mr. Nambiar’s base salary was increased to $330,000.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Bonus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Named Executive Officer was eligible to receive a target annual incentive bonus during 2025 at the discretion of the Board of Directors. Pursuant to their individual employment agreements, effective as of September 5, 2025, each of our NEOs is eligible to earn annual incentive bonus compensation of $50,000 per year, payable $10,000 for the first through third calendar quarters and $20,000 for the fourth calendar quarter, based upon achievement of certain performance metrics determined by the Board of Directors. No incentive compensation was paid to our NEOs during 2025 other than a $600 incentive bonus paid to Mr. Maddox, which was made to maintain consistency with our Puerto Rico employees’ statutory Christmas bonus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 Change of Control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recognition of their efforts on the Business Compensation, the Board approved the following change in control transaction bonuses, which were paid to our Named Executive Officers during 2025, subject to the closing of the Business Combination. The actual cash bonuses awarded to the Named Executive Officers in respect of 2025 are set forth in the “All Other Compensation” column of the Summary Compensation Table above.</w:t>
      </w:r>
    </w:p>
    <w:p>
      <w:pPr>
        <w:pStyle w:val="TextBody"/>
        <w:bidi w:val="0"/>
        <w:spacing w:before="0" w:after="0"/>
        <w:ind w:left="0" w:right="0" w:firstLine="36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170"/>
        <w:gridCol w:w="45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Edmund Nabrotzky (Chief Executive Officer): $320,000</w:t>
            </w:r>
          </w:p>
        </w:tc>
      </w:tr>
    </w:tbl>
    <w:p>
      <w:pPr>
        <w:pStyle w:val="TextBody"/>
        <w:bidi w:val="0"/>
        <w:spacing w:before="0" w:after="0"/>
        <w:ind w:left="1080" w:right="0" w:hanging="36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70"/>
        <w:gridCol w:w="6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Charles Maddox (Chief Financial Officer/Chief Operations Officer): $250,000</w:t>
            </w:r>
          </w:p>
        </w:tc>
      </w:tr>
    </w:tbl>
    <w:p>
      <w:pPr>
        <w:pStyle w:val="TextBody"/>
        <w:bidi w:val="0"/>
        <w:spacing w:before="0" w:after="0"/>
        <w:ind w:left="1080" w:right="0" w:hanging="360"/>
        <w:jc w:val="both"/>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75"/>
        <w:gridCol w:w="170"/>
        <w:gridCol w:w="4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Vijayan Nambiar (Chief Technology Officer): $200,000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Incentive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previously granted stock options to our NEOs, all of which are currently vested and were assumed by us and converted into options to purchase common shares of CID Holdco, Inc. in connection with the Business Combination. We maintain the CID Holdco, Inc. 2024 Equity Incentive Plan (the “Equity Incentive Plan”) to provide long-term incentive awards in order to retain talented members of our team, and to motivate eligible executives to achieve long-term financial and strategic objectives. The Equity Incentive Plan is an omnibus plan that permits the grant of stock options, stock appreciation rights, restricted stock, restricted stock units and other stock-based awards. The Board of Directors or its Compensation Committee did not grant any awards under the Equity Incentive Plan during 2025. However, pursuant to their respective employment agreements, Mr. Nabrotzky is eligible to receive a stock option award with a grant date value of $550,000, Mr. Maddox is eligible to receive a stock option award with a grant date value of $400,000 and Mr. Nambiar is eligible to receive a stock option award with a grant date value of $330,000. These options will vest in four equal annual installments on the anniversaries of the grant dates, and the number of shares subject to the option will be determined by dividing the dollar amount of the grant by the fair value of a share of our Common Stock on the date of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maintain a 401(k) or any other retirement savings plan for our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Benefits and Perquisites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full-time employees, including the NEOs, are eligible to participate in our health and welfare plans, including medical, dental and vision benefits, flexible spending accounts, long-term disability insurance and life insurance. We do not provide any perquisites to the NEOs.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and Termination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description of the employment agreements with the NEOs during 2025. Each employment agreement does not have a specific term and provides that the applicable named executive officer is an at-will employee.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Edmund Nabrotzky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Edmund Nabrotzky and SEE 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Business Combination, Mr. Nabrotzky was employed by SEE ID for the position of Chief Executive Officer (CEO), and his duties were those normally associated with his position and such duties as were assigned to him from time to time, subject to the oversight and direction of the Board of Directors of SEE ID or its designee. Mr. Nabrotzky’s annual base salary at the time of the Business Combination was $230,000 and he was entitled to receive a cash bonus from SEE ID as incentive for key performance milestones, to be paid in amounts and at such times as are reasonably determined by the Board of Directors of SEE 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Edmund Nabrotzky and SEE ID Holding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Holding Corp, a wholly-owned subsidiary of CID Holdco, entered into an employment agreement with Mr. Nabrotzky, dated September 5, 2025, for the position of Chief Executive Officer and President, which superseded the agreement with SEE ID. Pursuant to Mr. Nabrotzky’s employment agreement, he is entitled to a base salary of $350,000 (as may be adjusted by the Company in its sole discretion, provided that any decrease will require Mr. Nabrotzky’s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Nabrotzky is eligible to receive a stock option award with a grant date value of $550,000. The stock options will vest as to 25% of the shares on each of the first, second, third and fourth anniversaries of the grant date. If Mr. Nabrotzky’s employment is terminated by the Company without Cause or if Mr. Nabrotzky resigns for Good Reason, as such terms are defined in the employment agreement, and he executes a binding waiver and release of claims, then he is entitled to the following severance benefits: (i) twelve months of continued base salary, (ii) a one-time termination bonus equivalent to 100% of the quarterly bonuses Mr. Nabrotzky may earn during a calendar year ($50,000), (iii) accelerated vesting of any unvested stock options or other equity incentive awards held by Mr. Nabrotzky at the time of termination, and (iv) payment by the Company for COBRA coverage for six months following termination of employment. For purposes of this severance benefit, “Good Reason” generally is defined to include a material reduction in Mr. Nabrotzky’s base salary or target bonus opportunity, a material diminution of Mr. Nabrotzky’s title, role, duties or responsibilities, or the Company’s material breach of his employment agreement. Under the terms of Mr. Nabrotzky’s employment agreement, he is subject to restrictive covenants regarding non-competition and non-solicitation of employees while employed by us and for one year following his termination of employment.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Charles Maddox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Charles Maddox and SEE 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Business Combination, Mr. Maddox was employed by SEE ID for the positions of Chief Operating Officer and Chief Financial Officer, and his duties were those normally associated with his position and such duties as are assigned to him from time to time, subject to the oversight and direction of the CEO or his designee. Mr. Maddox’s annual base salary at the time of the Business Combination was $230,000 and he was eligible to receive an annual cash bonus from SEE ID’s net income, to be paid in amounts and at such times as are reasonably determined by the Board of Directors of SEE 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Charles Maddox and SEE ID Holding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Holding Corp, a wholly-owned subsidiary of CID Holdco, entered into an employment agreement with Mr. Maddox, dated September 5, 2025, for the positions of Chief Operating Officer and Chief Financial Officer, which superseded the agreement with SEE ID. Pursuant to Mr. Maddox’s employment agreement, he is entitled to a base salary of $300,000 (as may be adjusted by the Company in its sole discretion, provided that any decrease will require Mr. Maddox’s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Maddox is eligible to receive a stock option award with a grant date value of $400,000. The stock options will vest as to 25% of the shares on each of the first, second, third and fourth anniversaries of the grant date. If Mr. Maddox’s employment is terminated by the Company without Cause or if Mr. Maddox resigns for Good Reason, as such terms are defined in the employment agreement, and he executes a binding waiver and release of claims, then he is entitled to the following severance benefits: (i) twelve months of continued base salary, (ii) accelerated vesting of any unvested stock options or other equity incentive awards held by Mr. Maddox at the time of termination, and (iii) payment by the Company for COBRA coverage for six months following termination of employment. For purposes of this severance benefit, “Good Reason” generally is defined to include a material reduction in Mr. Maddox’s base salary or target bonus opportunity, a material diminution of Mr. Maddox’s title, role, duties or responsibilities, or the Company’s material breach of his employment agreement. Under the terms of Mr. Maddox’s employment agreement, he is subject to restrictive covenants regarding non-competition and non-solicitation of employees while employed by us and for one year following his termination of employment.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Vijayan Nambiar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Vijayan Nambiar and SEE 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Business Combination, Mr. Nambiar was employed by SEE ID for the position of Chief Technology Officer, and his duties were those normally associated with his position and such duties as are assigned to him from time to time, subject to the oversight and direction of the CEO or his designee. Mr. Nambiar’s annual base salary as of the Business Combination was $230,000.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Vijayan Nambiar and SEE ID Holding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Holding Corp, a wholly-owned subsidiary of CID Holdco, entered into an employment agreement with Mr. Nambiar, dated September 5, 2025, for the positions of Chief Technology Officer, which superseded the agreement with SEE ID. Pursuant to Mr. Nambiar’s employment agreement, he is entitled to a base salary of $330,000 (as may be adjusted by the Company in its sole discretion, provided that any decrease will require Mr. Nambiar’s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Nambiar is eligible to receive a stock option award with a grant date value of $330,000. The stock options will vest as to 25% of the shares on each of the first, second, third and fourth anniversaries of the grant date. If Mr. Nambiar’s employment is terminated by the Company without Cause or if Mr. Nambiar resigns for Good Reason, as such terms are defined in the employment agreement, and he executes a binding waiver and release of claims, then he is entitled to the following severance benefits: (i) twelve months of continued base salary, (ii) accelerated vesting of any unvested stock options or other equity incentive awards held by Mr. Nambiar at the time of termination, and (iii) payment by the Company for COBRA coverage for six months following termination of employment. For purposes of this severance benefit, “Good Reason” generally is defined to include a material reduction in Mr. Nambiar’s base salary or target bonus opportunity, a material diminution of Mr. Nambiar’s title, role, duties or responsibilities, or the Company’s material breach of his employment agreement. Under the terms of Mr. Nambiar’s employment agreement, he is subject to restrictive covenants regarding non-competition and non-solicitation of employees while employed by us and for one year following his termination of employment.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Practices Related to the Grant of Certain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grant equity awards to our executives, including stock options, as part of their total compensation. In 2025, we did not grant stock options on any date that, in relation to our disclosure of material nonpublic information, would require us to provide the tabular disclosures of Item 402(x)(2) of Regulation S-K. Accordingly, we have no specific policy or practice on the timing of awards of such options in relation to the disclosure of material nonpublic information by us. In the event that we determine to grant new awards of such options, the Compensation Committee will evaluate the appropriate steps to take in relation to the foregoing. Our insider trading policy also provides guidelines around the repurchases of our securities, which are generally only made pursuant to a Rule 10b5-1 trading plan established when we are not in possession of material nonpublic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clawback policy intended to comply with Section 10D of the Exchange Act, Rule 10D-1 thereunder and the applicable rules of any national securities exchange on which the Company’s securities are listed. The clawback policy applies to all Affected Officers of the Company. Affected Officers means any current or former “officer” as defined in Exchange Act Rule 16a-1, and any other senior executives as determined by the Compensation Committee. This policy ensures that in the event of an accounting restatement due to material non-compliance with financial reporting requirements, the Company can recover erroneous incentive-based compensation received by an Affected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outstanding option awards held by the Company’s named executive officers as of December 31,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5"/>
        <w:gridCol w:w="60"/>
        <w:gridCol w:w="1047"/>
        <w:gridCol w:w="60"/>
        <w:gridCol w:w="156"/>
        <w:gridCol w:w="2096"/>
        <w:gridCol w:w="417"/>
        <w:gridCol w:w="60"/>
        <w:gridCol w:w="185"/>
        <w:gridCol w:w="2127"/>
        <w:gridCol w:w="60"/>
        <w:gridCol w:w="60"/>
        <w:gridCol w:w="156"/>
        <w:gridCol w:w="761"/>
        <w:gridCol w:w="60"/>
        <w:gridCol w:w="60"/>
        <w:gridCol w:w="1135"/>
      </w:tblGrid>
      <w:tr>
        <w:trPr/>
        <w:tc>
          <w:tcPr>
            <w:tcW w:w="1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7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center"/>
              <w:rPr/>
            </w:pPr>
            <w:r>
              <w:rPr/>
              <w:t> </w:t>
            </w:r>
          </w:p>
        </w:tc>
      </w:tr>
      <w:tr>
        <w:trPr/>
        <w:tc>
          <w:tcPr>
            <w:tcW w:w="1705"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047" w:type="dxa"/>
            <w:tcBorders>
              <w:bottom w:val="single" w:sz="12"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2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Securities</w:t>
              <w:br/>
              <w:t>Underlying Unexercised</w:t>
              <w:br/>
              <w:t>Options</w:t>
              <w:br/>
              <w:t>(#) Exercisable</w:t>
            </w:r>
          </w:p>
        </w:tc>
        <w:tc>
          <w:tcPr>
            <w:tcW w:w="4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Securities</w:t>
              <w:br/>
              <w:t>Underlying Unexercised</w:t>
              <w:br/>
              <w:t xml:space="preserve">Options </w:t>
              <w:br/>
              <w:t>(#) Unexercisable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br/>
              <w:t>Exercise</w:t>
              <w:br/>
              <w:t>Price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tcBorders>
              <w:bottom w:val="single" w:sz="12" w:space="0" w:color="000000"/>
            </w:tcBorders>
            <w:tcMar>
              <w:bottom w:w="28" w:type="dxa"/>
            </w:tcMar>
            <w:vAlign w:val="center"/>
          </w:tcPr>
          <w:p>
            <w:pPr>
              <w:pStyle w:val="TableContents"/>
              <w:bidi w:val="0"/>
              <w:spacing w:before="0" w:after="283"/>
              <w:jc w:val="center"/>
              <w:rPr>
                <w:b/>
              </w:rPr>
            </w:pPr>
            <w:r>
              <w:rPr>
                <w:b/>
              </w:rPr>
              <w:t>Option</w:t>
              <w:br/>
              <w:t>Expiration</w:t>
              <w:br/>
              <w:t>Date</w:t>
            </w:r>
          </w:p>
        </w:tc>
      </w:tr>
      <w:tr>
        <w:trPr/>
        <w:tc>
          <w:tcPr>
            <w:tcW w:w="1705" w:type="dxa"/>
            <w:tcBorders/>
            <w:shd w:fill="CCEEFF" w:val="clear"/>
            <w:vAlign w:val="center"/>
          </w:tcPr>
          <w:p>
            <w:pPr>
              <w:pStyle w:val="TableContents"/>
              <w:bidi w:val="0"/>
              <w:spacing w:before="0" w:after="283"/>
              <w:jc w:val="left"/>
              <w:rPr/>
            </w:pPr>
            <w:r>
              <w:rPr/>
              <w:t>Edmund Nabrotzky</w:t>
            </w:r>
          </w:p>
        </w:tc>
        <w:tc>
          <w:tcPr>
            <w:tcW w:w="60"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center"/>
              <w:rPr/>
            </w:pPr>
            <w:r>
              <w:rPr/>
              <w:t>9/1/2021</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136,572</w:t>
            </w:r>
          </w:p>
        </w:tc>
        <w:tc>
          <w:tcPr>
            <w:tcW w:w="417" w:type="dxa"/>
            <w:tcBorders/>
            <w:shd w:fill="CCEEFF" w:val="clear"/>
            <w:vAlign w:val="center"/>
          </w:tcPr>
          <w:p>
            <w:pPr>
              <w:pStyle w:val="TableContents"/>
              <w:bidi w:val="0"/>
              <w:spacing w:before="0" w:after="283"/>
              <w:jc w:val="left"/>
              <w:rPr>
                <w:position w:val="8"/>
                <w:sz w:val="19"/>
              </w:rPr>
            </w:pP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2127" w:type="dxa"/>
            <w:tcBorders/>
            <w:shd w:fill="CCEEFF" w:val="clear"/>
            <w:vAlign w:val="center"/>
          </w:tcPr>
          <w:p>
            <w:pPr>
              <w:pStyle w:val="TableContents"/>
              <w:bidi w:val="0"/>
              <w:spacing w:before="0" w:after="283"/>
              <w:jc w:val="right"/>
              <w:rPr/>
            </w:pPr>
            <w:r>
              <w:rPr/>
              <w:t>34,143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0.1758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center"/>
              <w:rPr/>
            </w:pPr>
            <w:r>
              <w:rPr/>
              <w:t>9/1/2031</w:t>
            </w:r>
          </w:p>
        </w:tc>
      </w:tr>
      <w:tr>
        <w:trPr/>
        <w:tc>
          <w:tcPr>
            <w:tcW w:w="1705" w:type="dxa"/>
            <w:tcBorders/>
            <w:shd w:fill="FFFFFF" w:val="clear"/>
            <w:vAlign w:val="center"/>
          </w:tcPr>
          <w:p>
            <w:pPr>
              <w:pStyle w:val="TableContents"/>
              <w:bidi w:val="0"/>
              <w:spacing w:before="0" w:after="283"/>
              <w:jc w:val="left"/>
              <w:rPr/>
            </w:pPr>
            <w:r>
              <w:rPr/>
              <w:t>Chales Maddox</w:t>
            </w:r>
          </w:p>
        </w:tc>
        <w:tc>
          <w:tcPr>
            <w:tcW w:w="60"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center"/>
              <w:rPr/>
            </w:pPr>
            <w:r>
              <w:rPr/>
              <w:t>9/1/2021</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136,572</w:t>
            </w:r>
          </w:p>
        </w:tc>
        <w:tc>
          <w:tcPr>
            <w:tcW w:w="417" w:type="dxa"/>
            <w:tcBorders/>
            <w:shd w:fill="FFFFFF" w:val="clear"/>
            <w:vAlign w:val="center"/>
          </w:tcPr>
          <w:p>
            <w:pPr>
              <w:pStyle w:val="TableContents"/>
              <w:bidi w:val="0"/>
              <w:spacing w:before="0" w:after="283"/>
              <w:jc w:val="left"/>
              <w:rPr>
                <w:position w:val="8"/>
                <w:sz w:val="19"/>
              </w:rPr>
            </w:pPr>
            <w:r>
              <w:rPr>
                <w:position w:val="8"/>
                <w:sz w:val="19"/>
              </w:rPr>
              <w:t>(1)(2)</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127" w:type="dxa"/>
            <w:tcBorders/>
            <w:shd w:fill="FFFFFF" w:val="clear"/>
            <w:vAlign w:val="center"/>
          </w:tcPr>
          <w:p>
            <w:pPr>
              <w:pStyle w:val="TableContents"/>
              <w:bidi w:val="0"/>
              <w:spacing w:before="0" w:after="283"/>
              <w:jc w:val="right"/>
              <w:rPr/>
            </w:pPr>
            <w:r>
              <w:rPr/>
              <w:t>34,143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761" w:type="dxa"/>
            <w:tcBorders/>
            <w:shd w:fill="FFFFFF" w:val="clear"/>
            <w:vAlign w:val="center"/>
          </w:tcPr>
          <w:p>
            <w:pPr>
              <w:pStyle w:val="TableContents"/>
              <w:bidi w:val="0"/>
              <w:spacing w:before="0" w:after="283"/>
              <w:jc w:val="right"/>
              <w:rPr/>
            </w:pPr>
            <w:r>
              <w:rPr/>
              <w:t>0.1758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center"/>
              <w:rPr/>
            </w:pPr>
            <w:r>
              <w:rPr/>
              <w:t>9/1/2031</w:t>
            </w:r>
          </w:p>
        </w:tc>
      </w:tr>
      <w:tr>
        <w:trPr/>
        <w:tc>
          <w:tcPr>
            <w:tcW w:w="1705" w:type="dxa"/>
            <w:tcBorders/>
            <w:shd w:fill="CCEEFF" w:val="clear"/>
            <w:vAlign w:val="center"/>
          </w:tcPr>
          <w:p>
            <w:pPr>
              <w:pStyle w:val="TableContents"/>
              <w:bidi w:val="0"/>
              <w:spacing w:before="0" w:after="283"/>
              <w:jc w:val="left"/>
              <w:rPr/>
            </w:pPr>
            <w:r>
              <w:rPr/>
              <w:t>Vijayan Nambiar</w:t>
            </w:r>
          </w:p>
        </w:tc>
        <w:tc>
          <w:tcPr>
            <w:tcW w:w="60"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center"/>
              <w:rPr/>
            </w:pPr>
            <w:r>
              <w:rPr/>
              <w:t>5/7/2022</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518,242</w:t>
            </w:r>
          </w:p>
        </w:tc>
        <w:tc>
          <w:tcPr>
            <w:tcW w:w="417"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212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0.0516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center"/>
              <w:rPr/>
            </w:pPr>
            <w:r>
              <w:rPr/>
              <w:t>5/7/2032</w:t>
            </w:r>
          </w:p>
        </w:tc>
      </w:tr>
      <w:tr>
        <w:trPr/>
        <w:tc>
          <w:tcPr>
            <w:tcW w:w="1705" w:type="dxa"/>
            <w:tcBorders/>
            <w:shd w:fill="FFFFFF" w:val="clear"/>
            <w:vAlign w:val="center"/>
          </w:tcPr>
          <w:p>
            <w:pPr>
              <w:pStyle w:val="TableContents"/>
              <w:bidi w:val="0"/>
              <w:spacing w:before="0" w:after="283"/>
              <w:jc w:val="left"/>
              <w:rPr/>
            </w:pPr>
            <w:r>
              <w:rPr/>
              <w:t>Vijayan Nambiar</w:t>
            </w:r>
          </w:p>
        </w:tc>
        <w:tc>
          <w:tcPr>
            <w:tcW w:w="60"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center"/>
              <w:rPr/>
            </w:pPr>
            <w:r>
              <w:rPr/>
              <w:t>5/7/2022</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518,242</w:t>
            </w:r>
          </w:p>
        </w:tc>
        <w:tc>
          <w:tcPr>
            <w:tcW w:w="417" w:type="dxa"/>
            <w:tcBorders/>
            <w:shd w:fill="FFFFFF" w:val="clear"/>
            <w:vAlign w:val="center"/>
          </w:tcPr>
          <w:p>
            <w:pPr>
              <w:pStyle w:val="TableContents"/>
              <w:bidi w:val="0"/>
              <w:spacing w:before="0" w:after="283"/>
              <w:jc w:val="left"/>
              <w:rPr>
                <w:position w:val="8"/>
                <w:sz w:val="19"/>
              </w:rPr>
            </w:pP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12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761" w:type="dxa"/>
            <w:tcBorders/>
            <w:shd w:fill="FFFFFF" w:val="clear"/>
            <w:vAlign w:val="center"/>
          </w:tcPr>
          <w:p>
            <w:pPr>
              <w:pStyle w:val="TableContents"/>
              <w:bidi w:val="0"/>
              <w:spacing w:before="0" w:after="283"/>
              <w:jc w:val="right"/>
              <w:rPr/>
            </w:pPr>
            <w:r>
              <w:rPr/>
              <w:t>0.0516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center"/>
              <w:rPr/>
            </w:pPr>
            <w:r>
              <w:rPr/>
              <w:t>5/7/2032</w:t>
            </w:r>
          </w:p>
        </w:tc>
      </w:tr>
      <w:tr>
        <w:trPr/>
        <w:tc>
          <w:tcPr>
            <w:tcW w:w="1705" w:type="dxa"/>
            <w:tcBorders/>
            <w:shd w:fill="CCEEFF" w:val="clear"/>
            <w:vAlign w:val="center"/>
          </w:tcPr>
          <w:p>
            <w:pPr>
              <w:pStyle w:val="TableContents"/>
              <w:bidi w:val="0"/>
              <w:spacing w:before="0" w:after="283"/>
              <w:jc w:val="left"/>
              <w:rPr/>
            </w:pPr>
            <w:r>
              <w:rPr/>
              <w:t>Vijayan Nambiar</w:t>
            </w:r>
          </w:p>
        </w:tc>
        <w:tc>
          <w:tcPr>
            <w:tcW w:w="60"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center"/>
              <w:rPr/>
            </w:pPr>
            <w:r>
              <w:rPr/>
              <w:t>11/21/2023</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359,721</w:t>
            </w:r>
          </w:p>
        </w:tc>
        <w:tc>
          <w:tcPr>
            <w:tcW w:w="417"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212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0.0516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center"/>
              <w:rPr/>
            </w:pPr>
            <w:r>
              <w:rPr/>
              <w:t>11/21/2033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options were originally granted by SEE ID, Inc. pursuant to the SEE ID, Inc. 2021 Equity Incentive Plan. The options were assumed and converted into options to purchase shares of common stock of CID Holdco, with the number of shares subject to the options and exercise price adjusted based on the conversion ratio applicable to the conversion of common stock of SEE ID, Inc. in shares of common stock of CID Holdco in connection with the Business Combination.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firstLine="360"/>
        <w:jc w:val="both"/>
        <w:rPr>
          <w:caps w:val="false"/>
          <w:smallCaps w:val="false"/>
        </w:rPr>
      </w:pPr>
      <w:r>
        <w:rPr>
          <w:caps w:val="false"/>
          <w:smallCaps w:val="false"/>
        </w:rPr>
        <w:t> </w:t>
      </w:r>
    </w:p>
    <w:tbl>
      <w:tblPr>
        <w:tblW w:w="7908" w:type="dxa"/>
        <w:jc w:val="left"/>
        <w:tblInd w:w="0" w:type="dxa"/>
        <w:tblLayout w:type="fixed"/>
        <w:tblCellMar>
          <w:top w:w="0" w:type="dxa"/>
          <w:left w:w="0" w:type="dxa"/>
          <w:bottom w:w="0" w:type="dxa"/>
          <w:right w:w="0" w:type="dxa"/>
        </w:tblCellMar>
      </w:tblPr>
      <w:tblGrid>
        <w:gridCol w:w="38"/>
        <w:gridCol w:w="245"/>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 of the shares subject to the option vest on each of the five anniversaries of the grant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under the JOBS Act. As an emerging growth company, we are exempt from certain disclosure requirements related to executive compensation, including the requirement to hold advisory votes on the executive pay of our NEOs, as well as the requirement to disclose the ratio of the CEO’s annual total compensation to the median annual total compensation of our employee who is paid at the median of our employee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and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Bylaws, each of which became effective upon the Closing, provide that we will indemnify our directors and officers, and may indemnify our employees and other agents, to the fullest extent permitted by Delaware law. Delaware law prohibits our Charter from limiting the liability of our directors for the following:</w:t>
      </w:r>
    </w:p>
    <w:p>
      <w:pPr>
        <w:pStyle w:val="TextBody"/>
        <w:bidi w:val="0"/>
        <w:spacing w:before="0" w:after="0"/>
        <w:ind w:left="0" w:right="0" w:firstLine="36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breach of the director’s duty of loyalty to us or to our stockholders;</w:t>
            </w:r>
          </w:p>
        </w:tc>
      </w:tr>
    </w:tbl>
    <w:p>
      <w:pPr>
        <w:pStyle w:val="TextBody"/>
        <w:bidi w:val="0"/>
        <w:spacing w:before="0" w:after="0"/>
        <w:ind w:left="1080" w:right="0" w:hanging="360"/>
        <w:jc w:val="both"/>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acts or omissions not in good faith or that involve intentional misconduct or a knowing violation of law;</w:t>
            </w:r>
          </w:p>
        </w:tc>
      </w:tr>
    </w:tbl>
    <w:p>
      <w:pPr>
        <w:pStyle w:val="TextBody"/>
        <w:bidi w:val="0"/>
        <w:spacing w:before="0" w:after="0"/>
        <w:ind w:left="1080" w:right="0" w:hanging="36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unlawful payment of dividends or unlawful stock repurchases or redemptions; and</w:t>
            </w:r>
          </w:p>
        </w:tc>
      </w:tr>
    </w:tbl>
    <w:p>
      <w:pPr>
        <w:pStyle w:val="TextBody"/>
        <w:bidi w:val="0"/>
        <w:spacing w:before="0" w:after="0"/>
        <w:ind w:left="1080" w:right="0" w:hanging="36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transaction from which the director derived an improper personal benefit.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Delaware law is amended to authorize corporate action further eliminating or limiting the personal liability of a director, then the liability of our directors will be eliminated or limited to the fullest extent permitted by Delaware law, as so amended. Our Charter does not eliminate a director’s duty of care and, in appropriate circumstances, equitable remedies, such as injunctive or other forms of non-monetary relief, remain available under Delaware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provision also does not affect a director’s responsibilities under any other laws, such as the federal securities laws or other state or federal laws. Under our Bylaws, we are also empowered to purchase insurance on behalf of any person whom we are required or permitted to indemnify.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indemnification required in our Charter and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our Charter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toc_013"/>
      <w:bookmarkEnd w:id="14"/>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our Board has adopted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Assumption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Business Combination,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 in and to,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consolidated balance sheets. During the year ended December 31, 2025, the Company delivered the products and recognized $750,000 of revenue from the deferred revenue balance. Pope Technologies LLC is owned by a director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$26,302 and $15,457 for the years ended December 31, 2025 and 2024, respectively. As of December 31, 2025 and 2024, amounts outstanding under this agreement were $2,928 and $1,164, respectively, and are included in “Accounts receivable” on the accompanying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$23,850 and $6,400 for the years ended December 31, 2025 and 2024, respectively. In September 2025, the Company paid a one-time fee of $13,610 to terminate the lease. The lease was terminated as of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toc_014"/>
      <w:bookmarkEnd w:id="15"/>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Common Stock of the Company as of April 6, 2026 by:</w:t>
      </w:r>
    </w:p>
    <w:p>
      <w:pPr>
        <w:pStyle w:val="TextBody"/>
        <w:bidi w:val="0"/>
        <w:spacing w:before="0" w:after="0"/>
        <w:ind w:left="0" w:right="0" w:firstLine="36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170"/>
        <w:gridCol w:w="9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by the Company to be the beneficial owner of more than 5% of the Common Stock of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the Company’s executive officers and directors; and</w:t>
            </w:r>
          </w:p>
        </w:tc>
      </w:tr>
    </w:tbl>
    <w:p>
      <w:pPr>
        <w:pStyle w:val="TextBody"/>
        <w:bidi w:val="0"/>
        <w:spacing w:before="0" w:after="0"/>
        <w:ind w:left="720" w:right="0" w:hanging="36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executive officers and directors of the Company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below have sole voting and investment power with respect to all shares of the Company’s Common Stock beneficially owned by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Common Stock is based on 29,293,322 shares of our Common Stock issued and outstanding as of April 6, 2026.</w:t>
      </w:r>
    </w:p>
    <w:p>
      <w:pPr>
        <w:pStyle w:val="TextBody"/>
        <w:bidi w:val="0"/>
        <w:spacing w:before="0" w:after="0"/>
        <w:ind w:left="0" w:right="0" w:firstLine="360"/>
        <w:jc w:val="both"/>
        <w:rPr>
          <w:caps w:val="false"/>
          <w:smallCaps w:val="false"/>
        </w:rPr>
      </w:pPr>
      <w:r>
        <w:rPr>
          <w:caps w:val="false"/>
          <w:smallCaps w:val="false"/>
        </w:rPr>
        <w:t> </w:t>
      </w:r>
    </w:p>
    <w:tbl>
      <w:tblPr>
        <w:tblW w:w="6409" w:type="dxa"/>
        <w:jc w:val="left"/>
        <w:tblInd w:w="0" w:type="dxa"/>
        <w:tblLayout w:type="fixed"/>
        <w:tblCellMar>
          <w:top w:w="0" w:type="dxa"/>
          <w:left w:w="0" w:type="dxa"/>
          <w:bottom w:w="0" w:type="dxa"/>
          <w:right w:w="0" w:type="dxa"/>
        </w:tblCellMar>
      </w:tblPr>
      <w:tblGrid>
        <w:gridCol w:w="4370"/>
        <w:gridCol w:w="60"/>
        <w:gridCol w:w="65"/>
        <w:gridCol w:w="1064"/>
        <w:gridCol w:w="60"/>
        <w:gridCol w:w="60"/>
        <w:gridCol w:w="60"/>
        <w:gridCol w:w="440"/>
        <w:gridCol w:w="230"/>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3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Name of Beneficial Owners</w:t>
            </w:r>
            <w:r>
              <w:rPr>
                <w:rFonts w:ascii="Times New Roman;Times;Serif" w:hAnsi="Times New Roman;Times;Serif"/>
                <w:b/>
                <w:i/>
                <w:position w:val="7"/>
                <w:sz w:val="16"/>
                <w:sz w:val="20"/>
              </w:rPr>
              <w:t>(1)</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b/>
                <w:i/>
              </w:rPr>
            </w:pPr>
            <w:r>
              <w:rPr>
                <w:b/>
                <w:i/>
              </w:rPr>
              <w:t>Directors and Executive Officers</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Edmund Nabrotzky</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3,571,614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12.2</w:t>
            </w:r>
          </w:p>
        </w:tc>
        <w:tc>
          <w:tcPr>
            <w:tcW w:w="23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pPr>
            <w:r>
              <w:rPr/>
              <w:t>Charles Maddox</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2,052,788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7.0</w:t>
            </w:r>
          </w:p>
        </w:tc>
        <w:tc>
          <w:tcPr>
            <w:tcW w:w="230"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283"/>
              <w:jc w:val="left"/>
              <w:rPr/>
            </w:pPr>
            <w:r>
              <w:rPr/>
              <w:t>Vijayan Nambiar</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Janice Bryant Howroyd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32,983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Walter Skowronski</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David Carlson</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Jeff Saling</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Phyllis Newhouse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2,574,494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8.8</w:t>
            </w:r>
          </w:p>
        </w:tc>
        <w:tc>
          <w:tcPr>
            <w:tcW w:w="230"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283"/>
              <w:jc w:val="left"/>
              <w:rPr/>
            </w:pPr>
            <w:r>
              <w:rPr/>
              <w:t>All directors and executive officers as a group</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8,912,563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30.4</w:t>
            </w:r>
          </w:p>
        </w:tc>
        <w:tc>
          <w:tcPr>
            <w:tcW w:w="23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b/>
                <w:i/>
              </w:rPr>
            </w:pPr>
            <w:r>
              <w:rPr>
                <w:b/>
                <w:i/>
              </w:rPr>
              <w:t>Five Percent Holders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William Tremaine Reny</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2,470,060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8.4</w:t>
            </w:r>
          </w:p>
        </w:tc>
        <w:tc>
          <w:tcPr>
            <w:tcW w:w="23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pPr>
            <w:r>
              <w:rPr/>
              <w:t>Jeffery Andersen</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1,524,924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5.5</w:t>
            </w:r>
          </w:p>
        </w:tc>
        <w:tc>
          <w:tcPr>
            <w:tcW w:w="230"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ShoulderUp 2021 Trust </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1,551,180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170"/>
        <w:gridCol w:w="189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one percent.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noted, the business address of each of those listed in the table above is 5661 S Cameron St, Suite 100, Las Vegas, NV 89118.</w:t>
            </w:r>
          </w:p>
        </w:tc>
      </w:tr>
      <w:tr>
        <w:trPr/>
        <w:tc>
          <w:tcPr>
            <w:tcW w:w="223" w:type="dxa"/>
            <w:tcBorders/>
            <w:vAlign w:val="center"/>
          </w:tcPr>
          <w:p>
            <w:pPr>
              <w:pStyle w:val="TableContents"/>
              <w:bidi w:val="0"/>
              <w:spacing w:before="0" w:after="283"/>
              <w:jc w:val="left"/>
              <w:rPr/>
            </w:pPr>
            <w:r>
              <w:rPr/>
              <w:t> </w:t>
            </w:r>
          </w:p>
        </w:tc>
        <w:tc>
          <w:tcPr>
            <w:tcW w:w="9982" w:type="dxa"/>
            <w:tcBorders/>
            <w:vAlign w:val="center"/>
          </w:tcPr>
          <w:p>
            <w:pPr>
              <w:pStyle w:val="TableContents"/>
              <w:bidi w:val="0"/>
              <w:spacing w:before="0" w:after="283"/>
              <w:jc w:val="both"/>
              <w:rPr/>
            </w:pPr>
            <w:r>
              <w:rPr/>
              <w:t> </w:t>
            </w:r>
          </w:p>
        </w:tc>
      </w:tr>
      <w:tr>
        <w:trPr/>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ASK, LLC. Janice Howroyd is the sole member of ASK, LLC and has voting and investment control of the shares held by ASK, LLC.</w:t>
            </w:r>
          </w:p>
        </w:tc>
      </w:tr>
      <w:tr>
        <w:trPr/>
        <w:tc>
          <w:tcPr>
            <w:tcW w:w="223" w:type="dxa"/>
            <w:tcBorders/>
            <w:vAlign w:val="center"/>
          </w:tcPr>
          <w:p>
            <w:pPr>
              <w:pStyle w:val="TableContents"/>
              <w:bidi w:val="0"/>
              <w:spacing w:before="0" w:after="283"/>
              <w:jc w:val="left"/>
              <w:rPr/>
            </w:pPr>
            <w:r>
              <w:rPr/>
              <w:t> </w:t>
            </w:r>
          </w:p>
        </w:tc>
        <w:tc>
          <w:tcPr>
            <w:tcW w:w="9982" w:type="dxa"/>
            <w:tcBorders/>
            <w:vAlign w:val="center"/>
          </w:tcPr>
          <w:p>
            <w:pPr>
              <w:pStyle w:val="TableContents"/>
              <w:bidi w:val="0"/>
              <w:spacing w:before="0" w:after="283"/>
              <w:jc w:val="both"/>
              <w:rPr/>
            </w:pPr>
            <w:r>
              <w:rPr/>
              <w:t> </w:t>
            </w:r>
          </w:p>
        </w:tc>
      </w:tr>
      <w:tr>
        <w:trPr/>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(i) 1,023,314 shares directly held by Phyllis Newhouse; and (ii) 1,551,180 shares directly held by ShoulderUp 2021 Trust. Ms. Newhouse is the trustee of ShoulderUp 2021 Trust and may be deemed to share voting and investment power over the shares held by ShoulderUp 2021 Trust.</w:t>
            </w:r>
          </w:p>
        </w:tc>
      </w:tr>
      <w:tr>
        <w:trPr/>
        <w:tc>
          <w:tcPr>
            <w:tcW w:w="223" w:type="dxa"/>
            <w:tcBorders/>
            <w:vAlign w:val="center"/>
          </w:tcPr>
          <w:p>
            <w:pPr>
              <w:pStyle w:val="TableContents"/>
              <w:bidi w:val="0"/>
              <w:spacing w:before="0" w:after="283"/>
              <w:jc w:val="left"/>
              <w:rPr/>
            </w:pPr>
            <w:r>
              <w:rPr/>
              <w:t> </w:t>
            </w:r>
          </w:p>
        </w:tc>
        <w:tc>
          <w:tcPr>
            <w:tcW w:w="9982" w:type="dxa"/>
            <w:tcBorders/>
            <w:vAlign w:val="center"/>
          </w:tcPr>
          <w:p>
            <w:pPr>
              <w:pStyle w:val="TableContents"/>
              <w:bidi w:val="0"/>
              <w:spacing w:before="0" w:after="283"/>
              <w:jc w:val="both"/>
              <w:rPr/>
            </w:pPr>
            <w:r>
              <w:rPr/>
              <w:t> </w:t>
            </w:r>
          </w:p>
        </w:tc>
      </w:tr>
      <w:tr>
        <w:trPr/>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ShoulderUp 2021 Trust. The address of the principal business office of ShoulderUp 2021 Trust is 2291 Loring Oak PL NW Marietta, GA 30064.</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toc_015"/>
      <w:bookmarkEnd w:id="16"/>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possible resale from time to time by the Selling Securityholder of any or all of the shares of Common Stock that may be issued by us to White Lion under the Common Stock Purchase Agreement, the Commitment Warrant, and the Convertible Notes. For additional information regarding the issuance of Common Stock covered by this prospectus, see the section titled “The White Lion Transaction” above. We are registering the shares of Common Stock pursuant to the provisions of the Registration Rights Agreement we entered into with White Lion in order to permit the Selling Securityholder to offer the shares for resale from time to time. Except for the transactions contemplated by the Common Stock Purchase Agreement, the Note Purchase Agreement, the Commitment Warrant, the Registration Rights Agreement, and as otherwise disclosed in this prospectus, White Lion has not had any material relationship with us within the past three years. As used in this prospectus, the term “Selling Securityholder” means White Lion Capital,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shares issuable pursuant to the Common Stock Purchase Agreement, the Selling Securityholder is deemed to be an “underwriter” within the meaning of Section 2(a)(11) of the Securities Act. Any underwriters, broker-dealers, or agents that participate in the sale of the shares or interests therein may also be “underwriters” within the meaning of Section 2(a)(11)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regarding the Selling Securityholder and the shares of Common Stock that it may offer from time to time under this prospectus. This table is prepared based on information supplied to us by the Selling Securityholder, and reflects holdings as of April 22, 2026. The number of shares in the column “Maximum Number of Shares of Common Stock to be Offered Pursuant to this Prospectus” represents all of the shares of Common Stock that the Selling Securityholder may offer under this prospectus. The Selling Securityholder may sell some, all or none of its shares in this offering. We do not know how long the Selling Securityholder will hold the shares before selling them, and we currently have no agreements, arrangements or understandings with the Selling Securityholder regarding the sale of any of the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13d-3(d) promulgated by the SEC under the Exchange Act, and includes shares of Common Stock with respect to which the Selling Securityholder has voting and investment power. The percentage of shares of Common Stock beneficially owned by the Selling Securityholder prior to the offering shown in the table below is based on an aggregate of 29,293,322 shares of our Common Stock outstanding on April 6, 2026. Because the purchase price of the shares of Common Stock issuable under the Common Stock Purchase Agreement is determined at the time of each purchase, the number of shares that may actually be sold by the Company under the Common Stock Purchase Agreement may be fewer than the number of shares being offered by this prospectus. The fourth column assumes the sale of all of the shares offered by the Selling Securityholder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further information regarding the stockholders’ method of distributing these shares.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80"/>
        <w:gridCol w:w="60"/>
        <w:gridCol w:w="273"/>
        <w:gridCol w:w="635"/>
        <w:gridCol w:w="257"/>
        <w:gridCol w:w="257"/>
        <w:gridCol w:w="327"/>
        <w:gridCol w:w="537"/>
        <w:gridCol w:w="60"/>
        <w:gridCol w:w="60"/>
        <w:gridCol w:w="111"/>
        <w:gridCol w:w="2059"/>
        <w:gridCol w:w="60"/>
        <w:gridCol w:w="60"/>
        <w:gridCol w:w="273"/>
        <w:gridCol w:w="635"/>
        <w:gridCol w:w="257"/>
        <w:gridCol w:w="257"/>
        <w:gridCol w:w="327"/>
        <w:gridCol w:w="537"/>
        <w:gridCol w:w="83"/>
      </w:tblGrid>
      <w:tr>
        <w:trPr/>
        <w:tc>
          <w:tcPr>
            <w:tcW w:w="3080" w:type="dxa"/>
            <w:tcBorders>
              <w:bottom w:val="single" w:sz="12" w:space="0" w:color="000000"/>
            </w:tcBorders>
            <w:vAlign w:val="center"/>
          </w:tcPr>
          <w:p>
            <w:pPr>
              <w:pStyle w:val="TableContents"/>
              <w:bidi w:val="0"/>
              <w:spacing w:before="0" w:after="283"/>
              <w:jc w:val="left"/>
              <w:rPr>
                <w:b/>
              </w:rPr>
            </w:pPr>
            <w:r>
              <w:rPr>
                <w:b/>
              </w:rPr>
              <w:t>Name of Selling Securityholder</w:t>
            </w:r>
          </w:p>
        </w:tc>
        <w:tc>
          <w:tcPr>
            <w:tcW w:w="60" w:type="dxa"/>
            <w:tcBorders/>
            <w:tcMar>
              <w:bottom w:w="0" w:type="dxa"/>
            </w:tcMar>
            <w:vAlign w:val="center"/>
          </w:tcPr>
          <w:p>
            <w:pPr>
              <w:pStyle w:val="TableContents"/>
              <w:bidi w:val="0"/>
              <w:spacing w:before="0" w:after="283"/>
              <w:jc w:val="left"/>
              <w:rPr/>
            </w:pPr>
            <w:r>
              <w:rPr/>
              <w:t> </w:t>
            </w:r>
          </w:p>
        </w:tc>
        <w:tc>
          <w:tcPr>
            <w:tcW w:w="2286" w:type="dxa"/>
            <w:gridSpan w:val="6"/>
            <w:tcBorders>
              <w:bottom w:val="single" w:sz="12" w:space="0" w:color="000000"/>
            </w:tcBorders>
            <w:vAlign w:val="center"/>
          </w:tcPr>
          <w:p>
            <w:pPr>
              <w:pStyle w:val="TableContents"/>
              <w:bidi w:val="0"/>
              <w:spacing w:before="0" w:after="283"/>
              <w:jc w:val="center"/>
              <w:rPr>
                <w:b/>
              </w:rPr>
            </w:pPr>
            <w:r>
              <w:rPr>
                <w:b/>
              </w:rPr>
              <w:t>Number of Shares of</w:t>
              <w:br/>
              <w:t xml:space="preserve">Common Stock </w:t>
              <w:br/>
              <w:t>Owned Prior to</w:t>
              <w:b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70" w:type="dxa"/>
            <w:gridSpan w:val="2"/>
            <w:tcBorders>
              <w:bottom w:val="single" w:sz="12" w:space="0" w:color="000000"/>
            </w:tcBorders>
            <w:vAlign w:val="center"/>
          </w:tcPr>
          <w:p>
            <w:pPr>
              <w:pStyle w:val="TableContents"/>
              <w:bidi w:val="0"/>
              <w:spacing w:before="0" w:after="283"/>
              <w:jc w:val="center"/>
              <w:rPr>
                <w:b/>
              </w:rPr>
            </w:pPr>
            <w:r>
              <w:rPr>
                <w:b/>
              </w:rPr>
              <w:t>Maximum Number of</w:t>
              <w:br/>
              <w:t>Shares of Common</w:t>
              <w:br/>
              <w:t>Stock to be</w:t>
              <w:br/>
              <w:t>Offered</w:t>
              <w:br/>
              <w:t>Pursuant to</w:t>
              <w:br/>
              <w:t>this Prospectus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86" w:type="dxa"/>
            <w:gridSpan w:val="6"/>
            <w:tcBorders>
              <w:bottom w:val="single" w:sz="12" w:space="0" w:color="000000"/>
            </w:tcBorders>
            <w:vAlign w:val="center"/>
          </w:tcPr>
          <w:p>
            <w:pPr>
              <w:pStyle w:val="TableContents"/>
              <w:bidi w:val="0"/>
              <w:spacing w:before="0" w:after="283"/>
              <w:jc w:val="center"/>
              <w:rPr>
                <w:b/>
              </w:rPr>
            </w:pPr>
            <w:r>
              <w:rPr>
                <w:b/>
              </w:rPr>
              <w:t>Number of Shares of</w:t>
              <w:br/>
              <w:t xml:space="preserve">Common Stock </w:t>
              <w:br/>
              <w:t>Owned After</w:t>
              <w:br/>
              <w:t>Offering</w:t>
            </w:r>
          </w:p>
        </w:tc>
        <w:tc>
          <w:tcPr>
            <w:tcW w:w="83" w:type="dxa"/>
            <w:tcBorders/>
            <w:tcMar>
              <w:bottom w:w="0" w:type="dxa"/>
            </w:tcMar>
            <w:vAlign w:val="center"/>
          </w:tcPr>
          <w:p>
            <w:pPr>
              <w:pStyle w:val="TableContents"/>
              <w:bidi w:val="0"/>
              <w:spacing w:before="0" w:after="283"/>
              <w:jc w:val="left"/>
              <w:rPr/>
            </w:pPr>
            <w:r>
              <w:rPr/>
              <w:t> </w:t>
            </w:r>
          </w:p>
        </w:tc>
      </w:tr>
      <w:tr>
        <w:trPr/>
        <w:tc>
          <w:tcPr>
            <w:tcW w:w="30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08"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r>
              <w:rPr>
                <w:rFonts w:ascii="Times New Roman;Times;Serif" w:hAnsi="Times New Roman;Times;Serif"/>
                <w:b/>
                <w:position w:val="7"/>
                <w:sz w:val="16"/>
                <w:sz w:val="20"/>
              </w:rPr>
              <w:t>(1)</w:t>
            </w:r>
          </w:p>
        </w:tc>
        <w:tc>
          <w:tcPr>
            <w:tcW w:w="257" w:type="dxa"/>
            <w:tcBorders/>
            <w:tcMar>
              <w:bottom w:w="0" w:type="dxa"/>
            </w:tcMar>
            <w:vAlign w:val="center"/>
          </w:tcPr>
          <w:p>
            <w:pPr>
              <w:pStyle w:val="TableContents"/>
              <w:bidi w:val="0"/>
              <w:spacing w:before="0" w:after="283"/>
              <w:jc w:val="center"/>
              <w:rPr/>
            </w:pPr>
            <w:r>
              <w:rPr/>
              <w:t> </w:t>
            </w:r>
          </w:p>
        </w:tc>
        <w:tc>
          <w:tcPr>
            <w:tcW w:w="257" w:type="dxa"/>
            <w:tcBorders/>
            <w:tcMar>
              <w:bottom w:w="0" w:type="dxa"/>
            </w:tcMar>
            <w:vAlign w:val="center"/>
          </w:tcPr>
          <w:p>
            <w:pPr>
              <w:pStyle w:val="TableContents"/>
              <w:bidi w:val="0"/>
              <w:spacing w:before="0" w:after="283"/>
              <w:jc w:val="center"/>
              <w:rPr/>
            </w:pPr>
            <w:r>
              <w:rPr/>
              <w:t> </w:t>
            </w:r>
          </w:p>
        </w:tc>
        <w:tc>
          <w:tcPr>
            <w:tcW w:w="86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17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08"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r>
              <w:rPr>
                <w:rFonts w:ascii="Times New Roman;Times;Serif" w:hAnsi="Times New Roman;Times;Serif"/>
                <w:b/>
                <w:position w:val="7"/>
                <w:sz w:val="16"/>
                <w:sz w:val="20"/>
              </w:rPr>
              <w:t>(3)</w:t>
            </w:r>
          </w:p>
        </w:tc>
        <w:tc>
          <w:tcPr>
            <w:tcW w:w="257" w:type="dxa"/>
            <w:tcBorders/>
            <w:tcMar>
              <w:bottom w:w="0" w:type="dxa"/>
            </w:tcMar>
            <w:vAlign w:val="center"/>
          </w:tcPr>
          <w:p>
            <w:pPr>
              <w:pStyle w:val="TableContents"/>
              <w:bidi w:val="0"/>
              <w:spacing w:before="0" w:after="283"/>
              <w:jc w:val="center"/>
              <w:rPr/>
            </w:pPr>
            <w:r>
              <w:rPr/>
              <w:t> </w:t>
            </w:r>
          </w:p>
        </w:tc>
        <w:tc>
          <w:tcPr>
            <w:tcW w:w="257" w:type="dxa"/>
            <w:tcBorders/>
            <w:tcMar>
              <w:bottom w:w="0" w:type="dxa"/>
            </w:tcMar>
            <w:vAlign w:val="center"/>
          </w:tcPr>
          <w:p>
            <w:pPr>
              <w:pStyle w:val="TableContents"/>
              <w:bidi w:val="0"/>
              <w:spacing w:before="0" w:after="283"/>
              <w:jc w:val="center"/>
              <w:rPr/>
            </w:pPr>
            <w:r>
              <w:rPr/>
              <w:t> </w:t>
            </w:r>
          </w:p>
        </w:tc>
        <w:tc>
          <w:tcPr>
            <w:tcW w:w="86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r>
              <w:rPr>
                <w:rFonts w:ascii="Times New Roman;Times;Serif" w:hAnsi="Times New Roman;Times;Serif"/>
                <w:b/>
                <w:position w:val="7"/>
                <w:sz w:val="16"/>
                <w:sz w:val="20"/>
              </w:rPr>
              <w:t>(2)</w:t>
            </w:r>
          </w:p>
        </w:tc>
        <w:tc>
          <w:tcPr>
            <w:tcW w:w="83" w:type="dxa"/>
            <w:tcBorders/>
            <w:tcMar>
              <w:bottom w:w="0" w:type="dxa"/>
            </w:tcMar>
            <w:vAlign w:val="center"/>
          </w:tcPr>
          <w:p>
            <w:pPr>
              <w:pStyle w:val="TableContents"/>
              <w:bidi w:val="0"/>
              <w:spacing w:before="0" w:after="283"/>
              <w:jc w:val="center"/>
              <w:rPr/>
            </w:pPr>
            <w:r>
              <w:rPr/>
              <w:t> </w:t>
            </w:r>
          </w:p>
        </w:tc>
      </w:tr>
      <w:tr>
        <w:trPr/>
        <w:tc>
          <w:tcPr>
            <w:tcW w:w="30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White Lion Capital, LLC</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0</w:t>
            </w:r>
          </w:p>
        </w:tc>
        <w:tc>
          <w:tcPr>
            <w:tcW w:w="257"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pPr>
            <w:r>
              <w:rPr/>
              <w:t> </w:t>
            </w:r>
          </w:p>
        </w:tc>
        <w:tc>
          <w:tcPr>
            <w:tcW w:w="5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right"/>
              <w:rPr/>
            </w:pPr>
            <w:r>
              <w:rPr/>
              <w:t>51,000,000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0</w:t>
            </w:r>
          </w:p>
        </w:tc>
        <w:tc>
          <w:tcPr>
            <w:tcW w:w="257"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pPr>
            <w:r>
              <w:rPr/>
              <w:t> </w:t>
            </w:r>
          </w:p>
        </w:tc>
        <w:tc>
          <w:tcPr>
            <w:tcW w:w="537" w:type="dxa"/>
            <w:tcBorders/>
            <w:shd w:fill="CCEEFF" w:val="clear"/>
            <w:tcMar>
              <w:bottom w:w="0" w:type="dxa"/>
            </w:tcMar>
            <w:vAlign w:val="center"/>
          </w:tcPr>
          <w:p>
            <w:pPr>
              <w:pStyle w:val="TableContents"/>
              <w:bidi w:val="0"/>
              <w:spacing w:before="0" w:after="283"/>
              <w:jc w:val="right"/>
              <w:rPr/>
            </w:pPr>
            <w:r>
              <w:rPr/>
              <w:t>-</w:t>
            </w:r>
          </w:p>
        </w:tc>
        <w:tc>
          <w:tcPr>
            <w:tcW w:w="8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business address of White Lion Capital, LLC (“</w:t>
            </w:r>
            <w:r>
              <w:rPr>
                <w:rFonts w:ascii="Times New Roman;Times;Serif" w:hAnsi="Times New Roman;Times;Serif"/>
                <w:sz w:val="20"/>
                <w:u w:val="single"/>
              </w:rPr>
              <w:t>WLC</w:t>
            </w:r>
            <w:r>
              <w:rPr>
                <w:rFonts w:ascii="Times New Roman;Times;Serif" w:hAnsi="Times New Roman;Times;Serif"/>
                <w:sz w:val="20"/>
              </w:rPr>
              <w:t>”), is 21031 Ventura Blvd #920 Woodland Hills, CA 91364. WLC’s principal business is that of a private investor. Yash Thukral, Sam Yaffa, and Nathan Yee are the managing principals of WLC. Therefore, each of Thukral, Yaffa, and Yee may be deemed to have sole voting control and investment discretion over securities beneficially owned directly by WLC and, indirectly, by WLC. The foregoing should not be construed in and of itself as an admission by Thukral, Yaffa, and Yee as to beneficial ownership of the securities beneficially owned directly by WLC and, indirectly, by WLC.</w:t>
            </w:r>
          </w:p>
        </w:tc>
      </w:tr>
    </w:tbl>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toc_016"/>
      <w:bookmarkEnd w:id="17"/>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the material terms of the Company’s securities is not intended to be a complete summary of the rights and preferences of such securities. The full text of the Certificate of Incorporation, Bylaws and the Certificate of Designations are filed as exhibits to this registration statement. We urge you to read the Certificate of Incorporation, Bylaws and Certificate of Designations in their entirety for a complete description of the rights and preferences of the Company’s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authorizes the Company to issue 300,000,000 shares, consisting of (A) 10,000,000 shares of Preferred Stock, par value $0.0001 per share (“Preferred Stock”) and (B) 290,000,000 shares of Common Stock, par value $0.0001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capital stock and provisions of the Certificate of Incorporation, Bylaws and Certificate of Designations are summaries and are qualified by reference to the Certificate of Incorporation, Bylaws and Certificate of Designations, substantially in the form filed as exhibits to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preferred stock, holders of shares of Common Stock are entitled to receive such dividends, if any, as may be declared from time-to-time by the Board out of legally available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each holder of Common Stock is entitled to one vote for each share on all matters properly submitted to a vote of the stockholders, including the election of directors. Holders of Common Stock do not have cumulative voting rights in the election of directors. Accordingly, holders of a majority of the voting shares are able to elect all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the rights, if any, of the holders of any outstanding series of the preferred stock, in the event of any voluntary or involuntary liquidation, dissolution or winding up of the Company, after payment or provision for payment of the debts and other liabilities of the Company, the holders of shares of Common Stock will be entitled to receive all the remaining assets of the Company available for distribution to its stockholders, ratably in proportion to the number of shares of Common Stock held by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and preferences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have no preemptive, conversion, subscription or other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the Company may designate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Lock-Up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Registration Rights and Lock-Up Agreement, the Holders (as defined therein) will be subject to a 180 day lock up period (subject to customary exceptions) in respect of their shares of Common Stock received in the Business Combination (subject to certain customary exceptions).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the authority, without further action by the Company’s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of the Company or other corporate 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outstanding for the purchase of one share of Common Stock is exercisable for one share of Common Stock, with all other terms of such warrants remaining unchanged. The following is a description of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became exercisable on July 18, 2025, provided the Company has an effective registration statement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entitles the registered holder to purchase one share of Common Stock at a price of $11.50 per share, subject to adjustment as discussed below, at any time commencing on July 18, 2025, provided the Company has an effective registration statement under the Securities Act covering the shares of Common Stock issuable upon exercise of the Warrants and a current prospectus relating to them is available (or the Company permits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Common Stock. This means only a whole warrant may be exercised at a given time by a warrant holder. The Warrants will expire at 5:00 p.m., New York City time, on June 18, 2030, or earlier upon redemption or liquidation.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Common Stock pursuant to the exercise of a warrant and will have no obligation to settle such warrant exercise unless a registration statement under the Securities Act with respect to the Common Stock underlying the warrants is then effective and a prospectus relating thereto is current, subject to the Company satisfying their obligations described below with respect to registration. No Warrant will be exercisable and the Company will not be obligated to issue a share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Holders of our Warrants cannot pay cash to exercise their warrants unless we have an effective and current registration statement covering the issuance of the shares underlying such warrants and a current prospectus relating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that as soon as practicable, but in no event later than 15 business days after the closing of an initial business combination, the Company will use commercially reasonable efforts to file with the SEC a registration statement for the registration, under the Securities Act, of the Common Stock issuable upon exercise of the Warrants. The Company will use commercially reasonable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issuance of the shares issuable upon exercise of the Warrants is not effective within 60 business days from the Closing, warrant holders may, until such time as there is an effective registration statement and during any period when the Company will have failed to maintain an effective registration statement or a current prospectus, exercise Warrants on a cashless basis pursuant to an available exemption from registration under the Securities Act. Notwithstanding the above, if the shares of Common Stock are at the time of any exercise of Warrants not listed on a national securities exchange such that they satisfy the definition of a “covered security” under Section 18(b)(1) of the Securities Act, the Company may, at their option, require holders of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commercially reasonable efforts to register or qualify the shares under applicable blue sky laws to the extent an exemption is not available.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Public Warrants for Cash when the price per share of Common Stock equals or exceeds $18.00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the Company may redeem the outstanding Public Warrants:</w:t>
      </w:r>
    </w:p>
    <w:p>
      <w:pPr>
        <w:pStyle w:val="TextBody"/>
        <w:bidi w:val="0"/>
        <w:spacing w:before="0" w:after="0"/>
        <w:ind w:left="0" w:right="0" w:firstLine="36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and not in part;</w:t>
            </w:r>
          </w:p>
        </w:tc>
      </w:tr>
    </w:tbl>
    <w:p>
      <w:pPr>
        <w:pStyle w:val="TextBody"/>
        <w:bidi w:val="0"/>
        <w:spacing w:before="0" w:after="0"/>
        <w:ind w:left="280" w:right="0" w:hanging="36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170"/>
        <w:gridCol w:w="2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 price of $0.01 per warrant;</w:t>
            </w:r>
          </w:p>
        </w:tc>
      </w:tr>
    </w:tbl>
    <w:p>
      <w:pPr>
        <w:pStyle w:val="TextBody"/>
        <w:bidi w:val="0"/>
        <w:spacing w:before="0" w:after="0"/>
        <w:ind w:left="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a minimum of 30 days’ prior written notice of redemption (the “30-day redemption period”) to each warrant holder; and</w:t>
            </w:r>
          </w:p>
        </w:tc>
      </w:tr>
    </w:tbl>
    <w:p>
      <w:pPr>
        <w:pStyle w:val="TextBody"/>
        <w:bidi w:val="0"/>
        <w:spacing w:before="0" w:after="0"/>
        <w:ind w:left="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and only if, the closing price of the Common Stock equals or exceeds $18.00 per share (as adjusted for adjustments to the number of shares issuable upon exercise or the exercise price of a warrant as described under the heading “— Anti-Dilution Adjustments”) for any 20 trading days within a 30-trading day period ending on the third trading day prior to the date on which the Company sends the notice of redemption to the warrant 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an effective registration statement under the Securities Act covering the issuance of the shares of Common Stock issuable upon exercise of the Public Warrants is effective and a current prospectus relating to those shares of Common Stock is available throughout the 30 day redemption period, except if the Public Warrants may be exercised on a cashless basis and such cashless exercise is exempt from registration under the Securities Act. If and when the Public Warrants become redeemable by the Company, the Company may exercise their redemption right even if the Company is unable to register or qualify the underlying securities for sale under all applicable state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criteria for the Public Warrants discussed above have been established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warrant prior to the scheduled redemption date. However, the price of the shares of Common Stock may fall below the $18.00 redemption trigger price (as adjusted for share sub-divisions, share capitalizations, reorganizations, recapitalizations and the like) as well as the $11.50 (for whole shares) Public Warrant exercise price after the redemption notice is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Procedures and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calls the Public Warrants for redemption as described above when the shares of Common Stock are trading at or above $18.00 per share, the Company’s management will have the option to require all holders that wish to exercise their warrants to do so on a “cashless basis.” In making such determination, the Company’s management will consider, among other factors, the Company’s cash position, the number of Public Warrants that are outstanding and the dilutive effect on our stockholders of issuing the maximum number of shares of Common Stock issuable upon the exercise of outstanding Warrants. In such event, all holders of Public Warrants would pay the exercise price by surrendering their warrants for that number of shares of Common Stock equal to the lesser of (i) the quotient obtained by dividing (x) the product of the number of shares of Common Stock underlying such Public Warrants, multiplied by the excess of the “fair market value” (as defined below) of shares of Common Stock over the exercise prices of the Public Warrants by (y) the fair market value. If the Company’s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If the Company calls the Warrants for redemption and the Company’s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market value” of the shares of Common Stock means the average last reported sale price of the shares of Common Stock for the 10 trading days ending on the third trading day prior to the date on which the notice of redemption is sent to the holders of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 Election to Limit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Common Stock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Anti-Dilution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Common Stock is increased by a share capitalization payable in shares of Common Stock, or by a sub-division of shares of Common Stock or other similar event, then, on the effective date of such share capitalization, sub-division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“historical fair market value” (as defined below) will be deemed a share capitalization of a number of shares of Common Stock equal to the product of (a) the number of shares of Common Stock actually sold in such rights offering (or issuable under any other equity securities sold in such rights offering that are convertible into or exercisable for shares of Common Stock) multiplied by (b) one minus the quotient of (i) the price per share of Common Stock paid in such rights offering divided by (ii) the historical fair market value. For these purposes (x) if the rights offering is for securities convertible into or exercisable for shares of Common Stock, in determining the price payable for Common Stock, there will be taken into account any consideration received for such rights, as well as any additional amount payable upon exercise or conversion and (y) “historical fair market value” means the volume-weighted average price of shares of Common Stock as reported during the ten-trading day period ending on the trading day prior to the first date on which the Common Stock trade on the applicable exchange or in the applicable market, regular way, without the right to receive such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Company, at any time while the warrants are outstanding and unexpired, pays a dividend or makes a distribution in cash, securities or other assets to holders of Common Stock on account of such Common Stock (or other securities into which the warrants are convertible), other than (a) as described above, or (b) any cash dividends or cash distributions which, when combined on a per share basis with all other cash dividends and cash distributions paid on the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Common Stock issuable on exercise of each warrant), do not exceed $0.50, then the warrant exercise price will be decreased, effective immediately after the effective date of such event, by the amount of cash and/or the fair market value of any securities or other assets paid on each share of Common Stock in respect of such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Common Stock is decreased by a consolidation, combination, reverse share sub-division or reclassification of Common Stock or other similar event, then, on the effective date of such consolidation, combination, reverse share sub-division, reclassification or similar event, the number of shares of Common Stock issuable on exercise of each warrant will be decreased in proportion to such decrease in outstanding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the Company issues additional shares of Common Stock or equity-linked securities at an issue price or effective issue price of less than $9.20 per share of Common Stock (with such issue price or effective issue price to be determined in good faith by the Company Board) (the “Newly Issued Price”), and (y) the volume-weighted average trading price of shares of our Common Stock during the 20-trading day period starting on the trading day prior to the day on which the Company consummate our initial business combination (such price, the “Market Value”) of shares of Common Stock is below $9.20 per share, then the exercise price of the warrants will be adjusted (to the nearest cent) to be equal to 115% of the higher of the Market Value and the Newly Issued Price, and the $18.00 per share redemption trigger price described under “- Redemption” will be adjusted (to the nearest cent) to be equal to 180% of the higher of the Market Value and the Newly Issued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Common Stock (other than those described above or that solely affects the par value of such Common Stock), or in the case of any merger or consolidation of the Company with or into another corporation (other than a consolidation or merger in which the Company are the continuing corporation and that does not result in any reclassification or reorganization of the issued and outstanding Common Stock), or in the case of any sale or conveyance to another corporation or entity of the assets or other property of the Company as an entirety or substantially as an entirety in connection with which the Company are dissolved, the holders of the warrants will thereafter have the right to purchase and receive, upon the basis and upon the terms and conditions specified in the warrants and in lieu of the Common Stock immediately theretofore purchasable and receivable upon the exercise of the rights represented thereby,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as provided for in its amended and restated certificate of incorporation or as a result of the redemption of Common Stock by the Company if a proposed initial business combination is presented to the Company’s stockholders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shares of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be issued in registered form under a warrant agreement between Continental Stock Transfer &amp; Trust Company, as warrant agent, and the Company.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thereof. You should review a copy of the warrant agreement, which will be filed as an exhibit to the registration statement of which this prospectus is a part, for a complete description of the terms and conditions applicable to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Common Stock. After the issuance of Common Stock upon exercise of the warrants, each holder will be entitled to one vote for each share held of record on all matters to be voted on by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below, the Private Warrants have terms and provisions that are identical to those of the Public Warrants. The Private Warrants (including the Common Stock issuable upon exercise of such Private Warrants) will not be transferable, assignable or salable until July 18, 2025 (except, among other limited exceptions to certain officers and directors and other persons or entities affiliated with the holder of such Private Warrants) and they will not be redeemable by the Company so long as they are held by the Sponsor, members of the Sponsor, or their permitted transferees. The Sponsor, members of the Sponsor, or their permitted transferees have the option to exercise the Private Warrants on a cashless basis. If the Private Warrants are held by holders other than the Sponsor, members of the Sponsor, the Wentworth Members or their permitted transferees, the Private Warrants will be redeemable by the Company in all redemption scenarios and exercisable by the holders on the same basis as the Public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the Private Warrants elect to exercise its Private Warrants on a cashless basis, they would pay the exercise price by surrendering their warrants for that number of shares of Common Stock equal to the quotient obtained by dividing (x) the product of the number of shares of Common Stock underlying the warrants, multiplied by the excess of the “exercise fair market value” (defined below) over the exercise price of the warrants by (y) the exercise fair market value. The “exercise fair market value” will mean the average reported closing price of the Common Stock for the 10 trading days ending on the third trading day prior to the date on which the notice of warrant exercise is sent to the warrant agent. The Private Warrants will be exercisable on a cashless basis so long as they are held by the Sponsor, members of the Sponsor, the Wentworth Members or their permitted transferees because they may be affiliated with the Company following the Business Combination. If they remain affiliated with the Company, their ability to sell the Company’s securities in the open market will be significantly limited. the Company has policies in place that prohibit insiders from selling the Company’s securities except during specific periods of time. Even during such periods of time when insiders will be permitted to sell the Company’s securities, an insider cannot trade in the Company’s securities if they are in possession of material non-public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unlike public stockholders who could exercise their warrants and sell the shares of Common Stock received upon such exercise freely in the open market in order to recoup the cost of such exercise, the insiders could be significantly restricted from selling such securities. As a result, the Company believes that allowing the holders to exercise such Private Warrants on a cashless basis is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Common Stock Purchase Agreement, we issued to White Lion a common stock purchase warrant (the “Commitment Warrant”) entitling White Lion to purchase from the Company up to $10,000,000 worth of Common Stock. The exercise price per share is equal to 99% of the closing sales price of the Common Stock on the trading day immediately preceding the date of exercise, subject to customary adjustments for stock splits, stock dividends, combinations, recapitalizations, reclassifications, and similar events. The Commitment Warrant is exercisable at any time from the Initial Exercise Date through and including the fifth anniversary thereof (the “Termination Date”). The Commitment Warrant may be exercised for cash or, if at the time of exercise there is no effective registration statement covering the Warrant Shares, on a cashless basis. The Commitment Warrant contains a beneficial ownership limitation of 4.99% (adjustable to 9.99% upon 61 days’ prior written notice). In the event of a Fundamental Transaction (as defined in the Commitment Warrant), the holder shall have the right to receive, upon exercise, the same consideration that would have been payable had the holder exercised immediately prior to such event. The Commitment Warrant also contains anti-dilution protections, including a full ratchet anti-dilution provision pursuant to which the exercise price will be reduced to the effective price per share of any new issuance of Common Stock or Common Stock equivalents below the then-current exercise price (subject to exceptions for certain exempt issuances).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Declaration and payment of any dividend will be subject to the discretion of the Board. The time and amount of dividends will be dependent upon, among other things, the Company’s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may regard as relevant. Dividends may be payable in cash, stock or property of the Holdings.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Holdings currently intends to retain all available funds and any future earnings to fund the development and growth of the business, and therefore does not anticipate declaring or paying any cash dividends on Common Stock in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Charter provides that the Board will consist of three classes of directors, Class I, Class II and Class II, with the members of the board of directors of the Company being elected to serve as Class I, Class II and Class III directors to serve staggered terms until the first, second and third annual meeting of stockholders of the Company, respectively, or until their respective successors are duly elected and qualified, or until their earlier resignation, removal, or death. At each succeeding annual meeting of stockholders, directors will be elected for a full term of three years to succeed the directors of the class whose terms expire at such annual meeting. Any director may be removed from office by the stockholders of the Company as provided in Section 141(k) of the DGCL only for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Charter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the Board, which we believe may result in an improvement of the terms of any such acquisition in favor of the stockholders. However, they also give the Board the power to discourage acquisitions that some stockholders may favor. Additionally, the creation of a classified board of directors may prevent attempts by our stockholders to replace or remove our current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shares of Common Stock and preferred stock are available for future issuance without stockholder approval, subject to any limitations imposed by the listing standards of Nasdaq. These additional shares may be used for a variety of corporate purposes, including corporate finance transactions, acquisitions and employee benefit plans. The existence of authorized but unissued and unreserved Holdings Common Stock and preferred stock could make more difficult or discourage an attempt to obtain control of us by means of a proxy contest, tender offer, merger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Action; Stockholders’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Charter provides that stockholders may not take action by written consent to remove a director. As a result, a holder controlling a majority of the Company’s capital stock would not be able to amend the bylaws or remove directors without holding a meeting of stockholders called for that purpose in accordance with the Company’s bylaws. Further, the Company Charter provides that only the chairperson of the Board, the Chief Executive Officer, or a majority of the Board, by resolution, may call a special Stockholders’ Meeting of the stockholders, thus prohibiting a stockholder from calling a special Stockholders’ Meeting. These provisions might delay the ability of the stockholders to force consideration of a proposal or for the stockholders controlling a majority of the Company’s capital stock to take any action, including the removal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Requirements for Stockholder Proposals and Director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Bylaws establish an advance notice procedure for stockholder proposals to be brought before an annual meeting of stockholders. Generally, in order for any matter to be “properly brought” before an annual meeting, the matter must be (i) specified in a notice of meeting given by or at the direction of the Board, (ii) if not specified in a notice of meeting, otherwise brought before the meeting by or at the direction of the Board, or (iii) otherwise properly brought before the meeting by a stockholder present in person who (A) was a stockholder both at the time of giving the notice and on the record date for the determination of stockholders entitled to vote at such annual meeting, (B) is entitled to vote at the meeting, and (C) has complied with the advance notice procedures specified in the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provide Timely Notice (as defined herein) thereof in writing and in proper form to the secretary of the Company. To be timely, a stockholder’s notice must be received at, the Company’s principal executive offices not less than 90 days nor more than 120 days prior to the one-year anniversary of the preceding year’s annual meeting; provided, however, that if the date of the annual meeting is more than 30 days before or more than 30 days after such anniversary date, notice by the stockholder to be timely must be received, not earlier than the close of business 120 days before the meeting and not later than the later of (x) the close of business 90 days before the meeting or (y) the close of business on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public disclosure of the date of such annual meeting was first made by the Company (such notice within such time periods, “</w:t>
      </w:r>
      <w:r>
        <w:rPr>
          <w:rFonts w:ascii="Times New Roman;Times;Serif" w:hAnsi="Times New Roman;Times;Serif"/>
          <w:b/>
          <w:i/>
          <w:caps w:val="false"/>
          <w:smallCaps w:val="false"/>
          <w:sz w:val="20"/>
        </w:rPr>
        <w:t>Timely Notice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at an annual meeting or Stockholders’ Meeting may only consider proposals or nominations specified in the notice of meeting or brought before the meeting by or at the direction of the Board or by a qualified stockholder of record on the record date for the meeting, who is entitled to vote at the meeting and who has delivered written Timely Notice in proper form to the Company’s secretary of the stockholder’s intention to bring such business before the meeting. These provisions could have the effect of delaying stockholder actions that are favored by the holders of a majority of the outstanding voting securities until the next stockholder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Charter or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the bylaws may be amended or repealed by a majority vote of the Board or by the holders of at least a majority of the voting power of all of the then-outstanding shares entitled to vote generally in the election of directors, voting as a single class. The Charter can be amended in accordance with the DGCL which requires approval by the Board and stockholders of the Holdings.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Liability and Indemnification of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Bylaws will provide indemnification and advancement of expenses for the Company’s directors and officers to the fullest extent permitted by the DGCL, subject to certain limited exceptions. The Company has entered into, or will enter into, indemnification agreements with each of its directors and officers. Under the terms of such indemnification agreements, the Company will be required to indemnify each of the Company’s directors and officers, if the basis of the indemnitee’s involvement was by reason of the fact that the indemnitee is or was a director of officer of the Company or any of its subsidiaries or was serving at the request of the Company in an official capacity of another entity. In some cases, the provisions of those indemnification agreements may be broader than the specific indemnification provisions contained under Delaware law. In addition, as permitted by Delaware law, the Charter and the Bylaws will include provisions that eliminate the personal liability of directors for monetary damages resulting from breaches of certain fiduciary duties as a director.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this provision is to restrict the Company’s rights and the rights of the Company’s stockholders in derivative suits to recover monetary damages against a director for breach of fiduciary duties as a director.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be held not to be enforceable for violations of the federal securities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Dissenters’ Rights of Appraisal and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Derivative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stockholder may bring an action in the Company’s name to procure a judgment in its favor, also known as a derivative action, provided that the stockholder bringing the action is a holder of the Holdings’ shares at the time of the transaction to which the action relates.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Forum Selection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unless the Company consents in writing to the selection of an alternative forum, the Court of Chancery of the State of Delaware will, to the fullest extent permitted by applicable law, be the sole and exclusive forum for: (i) any derivative action brought by a stockholder on behalf of the Company, (ii) any claim of breach of a fiduciary duty owed by any of the Company’s directors, officers, stockholders, employees or agents to the Company or the Company’s stockholders, (iii) any claim against the Company, its directors, officers or employees arising under its charter, bylaws or the DGCL, or (iv) any claim against the Company, its directors, officers or employees governed by the internal affairs doctrine. The Proposed Charter designates the federal district courts of the United States of America as the exclusive forum for the resolution of any complaint asserting a cause of action arising under the Securities Act of 1933,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and Warrants are listed on the Nasdaq under the symbols “DAIC” and “DAICW,”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Company’s securities is Continental Stock Transfer &amp; Trust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toc_017"/>
      <w:bookmarkEnd w:id="1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of the securities and any of its pledgees, assignees and successors-in-interest may, from time to time, sell any or all of its securities covered hereby on the principal trading market or any other stock exchange, market or trading facility on which the securities are traded or in private transactions. These sales may be at fixed or negotiated prices. Such selling stockholder may use any one or more of the following methods when selling securities:</w:t>
      </w:r>
    </w:p>
    <w:p>
      <w:pPr>
        <w:pStyle w:val="TextBody"/>
        <w:bidi w:val="0"/>
        <w:spacing w:before="0" w:after="0"/>
        <w:ind w:left="0" w:right="0" w:firstLine="360"/>
        <w:jc w:val="both"/>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brokers’ transactions;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397"/>
        <w:gridCol w:w="9720"/>
      </w:tblGrid>
      <w:tr>
        <w:trPr/>
        <w:tc>
          <w:tcPr>
            <w:tcW w:w="8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pPr>
            <w:r>
              <w:rPr/>
              <w:t>●</w:t>
            </w:r>
          </w:p>
        </w:tc>
        <w:tc>
          <w:tcPr>
            <w:tcW w:w="97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transactions involving cross or block trades;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0"/>
        <w:gridCol w:w="9900"/>
      </w:tblGrid>
      <w:tr>
        <w:trPr/>
        <w:tc>
          <w:tcPr>
            <w:tcW w:w="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brokers, dealers, or underwriters who may act solely as agents;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81"/>
        <w:gridCol w:w="9862"/>
      </w:tblGrid>
      <w:tr>
        <w:trPr/>
        <w:tc>
          <w:tcPr>
            <w:tcW w:w="6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w:t>
            </w:r>
          </w:p>
        </w:tc>
        <w:tc>
          <w:tcPr>
            <w:tcW w:w="9862" w:type="dxa"/>
            <w:tcBorders/>
            <w:vAlign w:val="center"/>
          </w:tcPr>
          <w:p>
            <w:pPr>
              <w:pStyle w:val="TableContents"/>
              <w:bidi w:val="0"/>
              <w:spacing w:before="0" w:after="283"/>
              <w:jc w:val="both"/>
              <w:rPr/>
            </w:pPr>
            <w:r>
              <w:rPr/>
              <w:t>“</w:t>
            </w:r>
            <w:r>
              <w:rPr>
                <w:rFonts w:ascii="Times New Roman;Times;Serif" w:hAnsi="Times New Roman;Times;Serif"/>
              </w:rPr>
              <w:t>at the market” into an existing market for our Common Stock;</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other ways not involving market makers or established business markets, including direct sales to purchasers or sales effected through agents;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485"/>
        <w:gridCol w:w="9612"/>
      </w:tblGrid>
      <w:tr>
        <w:trPr/>
        <w:tc>
          <w:tcPr>
            <w:tcW w:w="10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pPr>
            <w:r>
              <w:rPr/>
              <w:t>●</w:t>
            </w:r>
          </w:p>
        </w:tc>
        <w:tc>
          <w:tcPr>
            <w:tcW w:w="96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privately negotiated transactions;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468"/>
        <w:gridCol w:w="9633"/>
      </w:tblGrid>
      <w:tr>
        <w:trPr/>
        <w:tc>
          <w:tcPr>
            <w:tcW w:w="10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pPr>
            <w:r>
              <w:rPr/>
              <w:t>●</w:t>
            </w:r>
          </w:p>
        </w:tc>
        <w:tc>
          <w:tcPr>
            <w:tcW w:w="963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combination of the foregoing; or</w:t>
            </w:r>
          </w:p>
        </w:tc>
      </w:tr>
    </w:tbl>
    <w:p>
      <w:pPr>
        <w:pStyle w:val="TextBody"/>
        <w:bidi w:val="0"/>
        <w:spacing w:before="0" w:after="0"/>
        <w:ind w:left="1080" w:right="0" w:hanging="360"/>
        <w:jc w:val="both"/>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pPr>
            <w:r>
              <w:rPr/>
              <w:t>any method permitted pursuant to applicable law.</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Lion is deemed to be an “underwriter” within the meaning of Section 2(a)(11) of the Securities Act, and any profits on the sales of the shares of Common Stock by White Lion and any discounts, commissions, or concessions received by White Lion are deemed to be underwriting discounts and commissions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Lion has informed us that it intends to use one or more registered broker-dealers to effectuate all sales, if any, of our Common Stock that it may acquire from us pursuant to the Common Stock Purchase Agreement, the Commitment Warrant, or the Convertible Notes. Such sales will be made at prices and at terms then prevailing or at prices related to the then current market price. Each such registered broker-dealer will be an underwriter within the meaning of Section 2(a)(11) of the Securities Act. White Lion has informed us that each such broker-dealer may receive commissions from White Lion and, if so, such commissions will not exceed customary brokerage commissions.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the Selling Securityholder through this prospectus. The compensation paid to any such particular broker-dealer by any such purchasers of shares of our Common Stock sold by the Selling Securityholder may be less than or in excess of customary commissions. Neither we nor the Selling Securityholder can presently estimate the amount of compensation that any agent will receive from any purchasers of shares of our Common Stock sold by the Selling Securityholder.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Selling Securityholder may be deemed to be an “underwriter” within the meaning of the Securities Act, it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We know of no existing arrangements between the Selling Securityholder or any other stockholder, broker, dealer, underwriter or agent relating to the sale or distribution of the shares of our Common Stock offered by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Securityholder, including the names of any brokers, dealers, underwriters or agents participating in the distribution of such shares by the Selling Securityholder, any compensation paid by the Selling Securityholder to any such brokers, dealers, underwriters or agents, and any other required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agreed to indemnify White Lion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White Lion has agreed to indemnify us against liabilities under the Securities Act that may arise from certain written information furnished to us by White Lion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total expenses for the offering will be approximately $75,000.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Lion has represented to us that at no time prior to the date of the Common Stock Purchase Agreement has White Lion, any of its affiliates or any entity managed or controlled by White Lion engaged in or effected, directly or indirectly, for its own principal account, any short sale (as such term is defined in Rule 200 of Regulation SHO of the Exchange Act) of our Common Stock that establishes a net short position with respect to our Common Stock. White Lion has agreed that during the term of the Common Stock Purchase Agreement, none of White Lion, any of its affiliates nor any entity managed or controlled by White Lion will enter into or effect, directly or indirectly, any of the foregoing transactions for its own principal account or for the principal account of any other such entity.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Securityholder that it is required to comply with Regulation M promulgated under the Exchange Act. With certain exceptions, Regulation M precludes the Selling Securityholder,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Selling Securityholder may be deemed to be an “underwriter” within the meaning of the Securities Act, it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earlier of (i) the end of the Commitment Period, (ii) the date that, pursuant to or within the meaning of any bankruptcy law, the Company commences a voluntary case or any person commences a proceeding against the Company, or (iii) the date that all shares of our Common Stock offered by this prospectus have been sold by the Selling Securityholder.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Capital Market under the symbol “DAIC”.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toc_018"/>
      <w:bookmarkEnd w:id="19"/>
      <w:r>
        <w:rPr>
          <w:rFonts w:ascii="Times New Roman;Times;Serif" w:hAnsi="Times New Roman;Times;Serif"/>
          <w:b/>
          <w:i w:val="false"/>
          <w:caps w:val="false"/>
          <w:smallCaps w:val="false"/>
          <w:sz w:val="20"/>
        </w:rPr>
        <w:t>UNITED STATES FEDERAL INCOME TAX CONSIDERATIONS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consequences of the acquisition, ownership and disposition of our Common Stock and Warrants, which we refer to collectively as our securities. This discussion applies only to securities that are held as capital assets for U.S. federal income tax purposes and is applicable only to holders who are receiving our securities in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institutions or financial services entities;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governments or agencies or instrumentalities thereof;</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actually or constructively own five percent or more of our voting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dealers or traders subject to a mark-to-market method of accounting with respect to the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holding the securities as part of a “straddle,” hedge, integrated transaction or similar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 acquired the securities through the exercise or cancellation of employee stock options or otherwise as compensation for their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holders (as defined below) whose functional currency is not the U.S. dollar;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expatriates or former long-term residents of the 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partnerships or other pass-through entities for U.S. federal income tax purposes and any beneficial owners of such entities;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entities.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and administrative pronouncements, judicial decisions and final, temporary and proposed U.S.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consider the tax treatment of partnerships or other pass-through entities or persons who hold our securities through such entities. If a partnership (or other entity or arrangement classified as a partnership or other pass-through entity for U.S. federal income tax purposes) is the beneficial owner of our securities, the U.S.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own tax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applies to you if you are a “U.S. holder.” A U.S. holder is a beneficial owner of shares of our Common Stock or Warrants who or that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taxable as a corporation) organized in or under the laws of the United States, any state thereof or the District of Columbia;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includible in gross income for U.S. federal income tax purposes regardless of its source;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U.S. Treasury regulations to be treated as a U.S. person.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Taxation of Distributions. </w:t>
      </w:r>
      <w:r>
        <w:rPr>
          <w:rFonts w:ascii="Times New Roman;Times;Serif" w:hAnsi="Times New Roman;Times;Serif"/>
          <w:b w:val="false"/>
          <w:i w:val="false"/>
          <w:caps w:val="false"/>
          <w:smallCaps w:val="false"/>
          <w:sz w:val="20"/>
        </w:rPr>
        <w:t>If we pay distributions in cash or other property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Times;Serif" w:hAnsi="Times New Roman;Times;Serif"/>
          <w:b w:val="false"/>
          <w:i/>
          <w:caps w:val="false"/>
          <w:smallCaps w:val="false"/>
          <w:sz w:val="20"/>
        </w:rPr>
        <w:t>U.S. Holders-Gain or Loss on Sale, Taxable Exchange or Other Taxable Disposition of Common Stock and Warrants</w:t>
      </w:r>
      <w:r>
        <w:rPr>
          <w:rFonts w:ascii="Times New Roman;Times;Serif" w:hAnsi="Times New Roman;Times;Serif"/>
          <w:b w:val="false"/>
          <w:i w:val="false"/>
          <w:caps w:val="false"/>
          <w:smallCaps w:val="false"/>
          <w:sz w:val="20"/>
        </w:rPr>
        <w:t>”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 or Loss on Sale, Taxable Exchange or Other Taxable Disposition of Common Stock and Warrants. </w:t>
      </w:r>
      <w:r>
        <w:rPr>
          <w:rFonts w:ascii="Times New Roman;Times;Serif" w:hAnsi="Times New Roman;Times;Serif"/>
          <w:b w:val="false"/>
          <w:i w:val="false"/>
          <w:caps w:val="false"/>
          <w:smallCaps w:val="false"/>
          <w:sz w:val="20"/>
        </w:rPr>
        <w:t>A U.S. holder will generally recognize gain or loss on the sale, taxable exchange or other taxable disposition of our Common Stock or Warrants which, in general, would include a redemption of Warrants that is treated as a sale as described below. Any such gain or loss will be capital gain or loss in an amount equal to the difference between the amount realized and the U.S. holder’s adjusted tax basis in the Common Stock or Warrants. Any such capital gain or loss generally will be long-term capital gain or loss if the U.S. holder’s holding period for the Common Stock or Warrants so disposed of exceeds one year. Long-term capital gains recognized by non-corporate U.S. holders may be eligible to be taxed at reduced rates. If the holding period requirements are not satisfied, any gain on a sale or taxable disposition of the shares or warrants would be subject to short-term capital gain treatment and would be taxed at regular ordinary income tax rates. The deductibility of capital losses is subject to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or Warrants so disposed of. A U.S. holder’s adjusted tax basis in its Common Stock or Warrants generally will equal the U.S. holder’s acquisition cost for the Common Stock or Warrants less, in the case of a share of Common Stock, any prior distributions treated as a return of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Exercise, Lapse or Redemption of a Warrant. </w:t>
      </w:r>
      <w:r>
        <w:rPr>
          <w:rFonts w:ascii="Times New Roman;Times;Serif" w:hAnsi="Times New Roman;Times;Serif"/>
          <w:b w:val="false"/>
          <w:i w:val="false"/>
          <w:caps w:val="false"/>
          <w:smallCaps w:val="false"/>
          <w:sz w:val="20"/>
        </w:rPr>
        <w:t>Except as discussed below with respect to the cashless exercise of a warrant, a U.S. holder generally will not recognize taxable gain or loss on the acquisition of our Common Stock upon exercise of a Warrant for cash. The U.S. holder’s tax basis in the share of our Common Stock received upon exercise of the Warrants generally will be an amount equal to the sum of the U.S. holder’s initial investment in the Warrants and the exercise price.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Common Stock received would equal the holder’s basis in the Warrant. If the cashless exercise were treated as not being a gain realization event, a U.S. holder’s holding period in the Common Stock would either include the period during which the U.S. holder held the Warrant or be treated as commencing on the date following the date of exercise (or possibly the date of exercise) of the Warrant. If the cashless exercise were treated as a recapitalization, the holding period of the Common Stock would include the holding period of the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in an amount equal to the difference between the fair market value of the surrendered warrants and the U.S. holder’s tax basis in such Warrants. In this case, a U.S. holder’s tax basis in the Common Stock received would equal the sum of the U.S. holder’s initial tax basis in the Warrants exercised (except for any such tax basis allocable to the surrendered warrants) and the exercise price of the exercised Warrants. A U.S. holder’s holding period for the Common Stock would commence on the date following the date of exercise (or possibly the date of exercise) of the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including when a U.S. holder’s holding period would commence with respect to the Common Stock received, there can be no assurance which of the alternative tax consequences and holding periods described above would be adopted by the IRS or a court of law. Accordingly, U.S. holders should consult their tax advisors regarding the tax consequences of a cashless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redeem Warrants for cash pursuant to the redemption provisions described in the section of this prospectus entitled “</w:t>
      </w:r>
      <w:r>
        <w:rPr>
          <w:rFonts w:ascii="Times New Roman;Times;Serif" w:hAnsi="Times New Roman;Times;Serif"/>
          <w:b w:val="false"/>
          <w:i/>
          <w:caps w:val="false"/>
          <w:smallCaps w:val="false"/>
          <w:sz w:val="20"/>
        </w:rPr>
        <w:t>Description of Securities-Warrants</w:t>
      </w:r>
      <w:r>
        <w:rPr>
          <w:rFonts w:ascii="Times New Roman;Times;Serif" w:hAnsi="Times New Roman;Times;Serif"/>
          <w:b w:val="false"/>
          <w:i w:val="false"/>
          <w:caps w:val="false"/>
          <w:smallCaps w:val="false"/>
          <w:sz w:val="20"/>
        </w:rPr>
        <w:t>” or if we purchase Warrants in an open market transaction, such redemption or purchase generally will be treated as a taxable disposition to the U.S. holder, taxed as described above under “-</w:t>
      </w:r>
      <w:r>
        <w:rPr>
          <w:rFonts w:ascii="Times New Roman;Times;Serif" w:hAnsi="Times New Roman;Times;Serif"/>
          <w:b w:val="false"/>
          <w:i/>
          <w:caps w:val="false"/>
          <w:smallCaps w:val="false"/>
          <w:sz w:val="20"/>
        </w:rPr>
        <w:t>Gain or Loss on Sale, Taxable Exchange or Other Taxable Disposition of Common Stock and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Possible Constructive Distributions. </w:t>
      </w: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entitled “</w:t>
      </w:r>
      <w:r>
        <w:rPr>
          <w:rFonts w:ascii="Times New Roman;Times;Serif" w:hAnsi="Times New Roman;Times;Serif"/>
          <w:b w:val="false"/>
          <w:i/>
          <w:caps w:val="false"/>
          <w:smallCaps w:val="false"/>
          <w:sz w:val="20"/>
        </w:rPr>
        <w:t>Description of Securities-Warrants</w:t>
      </w:r>
      <w:r>
        <w:rPr>
          <w:rFonts w:ascii="Times New Roman;Times;Serif" w:hAnsi="Times New Roman;Times;Serif"/>
          <w:b w:val="false"/>
          <w:i w:val="false"/>
          <w:caps w:val="false"/>
          <w:smallCaps w:val="false"/>
          <w:sz w:val="20"/>
        </w:rPr>
        <w:t>.” An adjustment which has the effect of preventing dilution generally is not taxable. The U.S. holders of the Warrants would, however, be treated as receiving a constructive distribution from us if, for example, the adjustment to the number of such shares or to such exercise price increases the warrantholders’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Such constructive distribution would be subject to tax as described under “-</w:t>
      </w:r>
      <w:r>
        <w:rPr>
          <w:rFonts w:ascii="Times New Roman;Times;Serif" w:hAnsi="Times New Roman;Times;Serif"/>
          <w:b w:val="false"/>
          <w:i/>
          <w:caps w:val="false"/>
          <w:smallCaps w:val="false"/>
          <w:sz w:val="20"/>
        </w:rPr>
        <w:t>Taxation of Distributions</w:t>
      </w:r>
      <w:r>
        <w:rPr>
          <w:rFonts w:ascii="Times New Roman;Times;Serif" w:hAnsi="Times New Roman;Times;Serif"/>
          <w:b w:val="false"/>
          <w:i w:val="false"/>
          <w:caps w:val="false"/>
          <w:smallCaps w:val="false"/>
          <w:sz w:val="20"/>
        </w:rPr>
        <w:t>” in the same manner as if the U.S. holders of the Warrants received a cash distribution from us equal to the fair market value of such increased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Reporting and Backup Withholding. </w:t>
      </w:r>
      <w:r>
        <w:rPr>
          <w:rFonts w:ascii="Times New Roman;Times;Serif" w:hAnsi="Times New Roman;Times;Serif"/>
          <w:b w:val="false"/>
          <w:i w:val="false"/>
          <w:caps w:val="false"/>
          <w:smallCaps w:val="false"/>
          <w:sz w:val="20"/>
        </w:rPr>
        <w:t>In general, information reporting requirements may apply to dividends paid to a U.S. holder and to the proceeds of the sale or other disposition of shares of our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amounts withheld under the backup withholding rules generally should be allowed as a refund or a credit against a U.S. holder’s U.S. federal income tax liability provided the required information is timely furnished to the IRS.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applies to you if you are a “Non-U.S. holder.” As used herein, the term “Non-U.S. holder” means a beneficial owner of our Common Stock or Warrants who or that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non-resident alien individual (other than certain former citizens and residents of the U.S. subject to U.S. tax as expatriates);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foreign corporation;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or trust that is not a U.S. holder;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Taxation of Distributions. </w:t>
      </w:r>
      <w:r>
        <w:rPr>
          <w:rFonts w:ascii="Times New Roman;Times;Serif" w:hAnsi="Times New Roman;Times;Serif"/>
          <w:b w:val="false"/>
          <w:i w:val="false"/>
          <w:caps w:val="false"/>
          <w:smallCaps w:val="false"/>
          <w:sz w:val="20"/>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Times;Serif" w:hAnsi="Times New Roman;Times;Serif"/>
          <w:b w:val="false"/>
          <w:i/>
          <w:caps w:val="false"/>
          <w:smallCaps w:val="false"/>
          <w:sz w:val="20"/>
        </w:rPr>
        <w:t>Non-U.S. Holders-Gain on Sale, Taxable Exchange or Other Taxable Disposition of Common Stock and Warrants</w:t>
      </w:r>
      <w:r>
        <w:rPr>
          <w:rFonts w:ascii="Times New Roman;Times;Serif" w:hAnsi="Times New Roman;Times;Serif"/>
          <w:b w:val="false"/>
          <w:i w:val="false"/>
          <w:caps w:val="false"/>
          <w:smallCaps w:val="false"/>
          <w:sz w:val="20"/>
        </w:rPr>
        <w:t>”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withholding tax does not apply to dividends paid to a Non-U.S. holder who provides a Form W-8ECI, certifying that the dividends are effectively connected with the Non-U.S. holder’s conduct of a trade or business within the United States (or if a tax treaty applies, are attributable to a U.S. permanent establishment or fixed base maintained by the Non-U.S. holder). Instead, the effectively connected dividends will be subject to regular U.S. income tax as if the Non-U.S. holder were a U.S. holder, subject to an applicable income tax treaty providing otherwise. A non-U.S. corporation receiving effectively connected dividends may also be subject to an additional “branch profits tax” imposed at a rate of 30% (or a lower treaty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Exercise, Lapse or Redemption of a Warrant. </w:t>
      </w:r>
      <w:r>
        <w:rPr>
          <w:rFonts w:ascii="Times New Roman;Times;Serif" w:hAnsi="Times New Roman;Times;Serif"/>
          <w:b w:val="false"/>
          <w:i w:val="false"/>
          <w:caps w:val="false"/>
          <w:smallCaps w:val="false"/>
          <w:sz w:val="20"/>
        </w:rPr>
        <w:t>The U.S. federal income tax treatment of a Non-U.S. holder’s exercise of a warrant, or the lapse of a warrant held by a Non-U.S. holder, generally will correspond to the U.S. federal income tax treatment of the exercise or lapse of a warrant by a U.S. holder, as described under “</w:t>
      </w:r>
      <w:r>
        <w:rPr>
          <w:rFonts w:ascii="Times New Roman;Times;Serif" w:hAnsi="Times New Roman;Times;Serif"/>
          <w:b w:val="false"/>
          <w:i/>
          <w:caps w:val="false"/>
          <w:smallCaps w:val="false"/>
          <w:sz w:val="20"/>
        </w:rPr>
        <w:t>U.S. Holders-Exercise, Lapse or Redemption of a Warrant</w:t>
      </w:r>
      <w:r>
        <w:rPr>
          <w:rFonts w:ascii="Times New Roman;Times;Serif" w:hAnsi="Times New Roman;Times;Serif"/>
          <w:b w:val="false"/>
          <w:i w:val="false"/>
          <w:caps w:val="false"/>
          <w:smallCaps w:val="false"/>
          <w:sz w:val="20"/>
        </w:rPr>
        <w:t>” above, although to the extent a cashless exercise results in a taxable exchange, the consequences would be similar to those described below in “</w:t>
      </w:r>
      <w:r>
        <w:rPr>
          <w:rFonts w:ascii="Times New Roman;Times;Serif" w:hAnsi="Times New Roman;Times;Serif"/>
          <w:b w:val="false"/>
          <w:i/>
          <w:caps w:val="false"/>
          <w:smallCaps w:val="false"/>
          <w:sz w:val="20"/>
        </w:rPr>
        <w:t>Non-U.S. Holders-Gain on Sale, Taxable Exchange or Other Taxable Disposition of Common Stock and Warrants</w:t>
      </w:r>
      <w:r>
        <w:rPr>
          <w:rFonts w:ascii="Times New Roman;Times;Serif" w:hAnsi="Times New Roman;Times;Serif"/>
          <w:b w:val="false"/>
          <w:i w:val="false"/>
          <w:caps w:val="false"/>
          <w:smallCaps w:val="false"/>
          <w:sz w:val="20"/>
        </w:rPr>
        <w:t>.” The U.S. federal income tax treatment for a Non-U.S. holder of a redemption of Warrants for cash described in the section of this prospectus entitled “</w:t>
      </w:r>
      <w:r>
        <w:rPr>
          <w:rFonts w:ascii="Times New Roman;Times;Serif" w:hAnsi="Times New Roman;Times;Serif"/>
          <w:b w:val="false"/>
          <w:i/>
          <w:caps w:val="false"/>
          <w:smallCaps w:val="false"/>
          <w:sz w:val="20"/>
        </w:rPr>
        <w:t>Description of Securities-Warrants</w:t>
      </w:r>
      <w:r>
        <w:rPr>
          <w:rFonts w:ascii="Times New Roman;Times;Serif" w:hAnsi="Times New Roman;Times;Serif"/>
          <w:b w:val="false"/>
          <w:i w:val="false"/>
          <w:caps w:val="false"/>
          <w:smallCaps w:val="false"/>
          <w:sz w:val="20"/>
        </w:rPr>
        <w:t>” (or if we purchase Warrants in an open market transaction) would be similar to that described below in “</w:t>
      </w:r>
      <w:r>
        <w:rPr>
          <w:rFonts w:ascii="Times New Roman;Times;Serif" w:hAnsi="Times New Roman;Times;Serif"/>
          <w:b w:val="false"/>
          <w:i/>
          <w:caps w:val="false"/>
          <w:smallCaps w:val="false"/>
          <w:sz w:val="20"/>
        </w:rPr>
        <w:t>Non-U.S. Holders-Gain on Sale, Taxable Exchange or Other Taxable Disposition of Common Stock and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 on Sale, Taxable Exchange or Other Taxable Disposition of Common Stock and Warrants. </w:t>
      </w:r>
      <w:r>
        <w:rPr>
          <w:rFonts w:ascii="Times New Roman;Times;Serif" w:hAnsi="Times New Roman;Times;Serif"/>
          <w:b w:val="false"/>
          <w:i w:val="false"/>
          <w:caps w:val="false"/>
          <w:smallCaps w:val="false"/>
          <w:sz w:val="20"/>
        </w:rPr>
        <w:t>A Non-U.S. holder generally will not be subject to U.S. federal income or withholding tax in respect of gain recognized on a sale, taxable exchange or other taxable disposition of our Common Stock or Warrants (including a redemption of our Warrants),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not, and do not anticipate becoming, a U.S. real property holding corporation; however, there can be no assurance that we will not become a U.S. real property holding corporation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applicable treaty provides otherwise, gain described in the first bullet point above will be subject to tax at generally applicable U.S. federal income tax rates as if the Non-U.S. holder were a U.S. holder. Any gains described in the first bullet point above of a Non-U.S. holder that is a foreign corporation may also be subject to an additional “branch profits tax” at a 30% rate (or lower treaty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Possible Constructive Distributions. </w:t>
      </w: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entitled “</w:t>
      </w:r>
      <w:r>
        <w:rPr>
          <w:rFonts w:ascii="Times New Roman;Times;Serif" w:hAnsi="Times New Roman;Times;Serif"/>
          <w:b w:val="false"/>
          <w:i/>
          <w:caps w:val="false"/>
          <w:smallCaps w:val="false"/>
          <w:sz w:val="20"/>
        </w:rPr>
        <w:t>Description of Securities-Warrants</w:t>
      </w:r>
      <w:r>
        <w:rPr>
          <w:rFonts w:ascii="Times New Roman;Times;Serif" w:hAnsi="Times New Roman;Times;Serif"/>
          <w:b w:val="false"/>
          <w:i w:val="false"/>
          <w:caps w:val="false"/>
          <w:smallCaps w:val="false"/>
          <w:sz w:val="20"/>
        </w:rPr>
        <w:t>.” An adjustment which has the effect of preventing dilution is generally not taxable. The Non-U.S. holders of Warrants would, however, be treated as receiving a constructive distribution from us if, for example, the adjustment increases the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a stock dividend to the holders of our Common Stock, in each case which is taxable to such holders as a distribution. Any constructive distribution received by a Non-U.S. holder would be subject to U.S. federal income tax (including any applicable withholding) in the same manner as if such Non-U.S. holder received a cash distribution from us equal to the fair market value of such increased interest without any corresponding receipt of cash.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Reporting and Backup Withholding. </w:t>
      </w:r>
      <w:r>
        <w:rPr>
          <w:rFonts w:ascii="Times New Roman;Times;Serif" w:hAnsi="Times New Roman;Times;Serif"/>
          <w:b w:val="false"/>
          <w:i w:val="false"/>
          <w:caps w:val="false"/>
          <w:smallCaps w:val="false"/>
          <w:sz w:val="20"/>
        </w:rPr>
        <w:t>Information returns will be filed with the IRS in connection with payments of dividends and the proceeds from a sale or other disposition of shares of our Common Stock and Warrants. A Non-U.S. holder may have to comply with certification procedures to establish that it is not a United States person (by providing certification of its foreign status, under penalties of perjury, on a duly executed applicable IRS Form W-8 or by otherwise establishing an exemption)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FATCA Withholding Taxes. </w:t>
      </w:r>
      <w:r>
        <w:rPr>
          <w:rFonts w:ascii="Times New Roman;Times;Serif" w:hAnsi="Times New Roman;Times;Serif"/>
          <w:b w:val="false"/>
          <w:i w:val="false"/>
          <w:caps w:val="false"/>
          <w:smallCaps w:val="false"/>
          <w:sz w:val="20"/>
        </w:rPr>
        <w:t>Provisions commonly referred to as “FATCA” impose withholding of 30% on payments of dividends (including constructive dividends) and, subject to the discussion of certain proposed U.S. Treasury regulations below, on the gross proceeds from a sale or other disposition of our Common Stock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advisors regarding the effects of FATCA on their investment in our securities. The IRS released proposed U.S. Treasury regulations that, if finalized in their present form, would eliminate the U.S. federal withholding tax of 30% applicable to the gross proceeds of a sale or other disposition of our Common Stock. In its preamble to such proposed U.S. Treasury regulations, the IRS stated that taxpayers may generally rely on the proposed U.S. Treasury regulations until final U.S. Treasury regulations are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toc_019"/>
      <w:bookmarkEnd w:id="20"/>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CID HoldCo, Inc. as of and for the year ended December 31, 2025, included in this prospectus of CID HoldCo, Inc., which is referred to and made a part of this Prospectus and Registration Statement, have been audited by Carr, Riggs &amp; Ingram L.L.C., an independent registered public accounting firm, as set forth in their report appearing elsewhere herein, and are included in reliance upon such report given on the authority of such firm as experts in accounting and auditing.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SEE ID as of and for the year ended December 31, 2024, included in this prospectus of CID HoldCo, Inc., which is referred to and made a part of this Prospectus and Registration Statement, have been audited by Berkowitz Pollack Brant Advisors + CPAs, an independent registered public accounting firm, as set forth in their report appearing elsewhere herein, and are included in reliance upon such report given on the authority of such firm as experts in accounting and auditing.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toc_020"/>
      <w:bookmarkEnd w:id="2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DLA Piper LLP (US) will pass upon the validity of the shares of Common Stock covered by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toc_021"/>
      <w:bookmarkEnd w:id="22"/>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SEC filings are available to the public over the internet at the SEC’s website at www.sec.gov and on our website, free of charge, at www.atipt.com. The information found on, or that can be accessed from or that is hyperlinked to, our website is not part of this prospectus. You may inspect a copy of the registration statement through the SEC’s website, as provided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toc_022"/>
      <w:bookmarkEnd w:id="23"/>
      <w:r>
        <w:rPr>
          <w:rFonts w:ascii="Times New Roman;Times;Serif" w:hAnsi="Times New Roman;Times;Serif"/>
          <w:b/>
          <w:i w:val="false"/>
          <w:caps w:val="false"/>
          <w:smallCaps w:val="false"/>
          <w:sz w:val="20"/>
        </w:rPr>
        <w:t>CHANGES IN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notified that Carr, Riggs &amp; Ingram, L.L.C. (“CRI”) acquired, effective as of January 1, 2026, certain assets related to the capital markets practice of Berkowitz Pollack Brant Advisors + CPAs, LLP (“BPB”). On January 13, 2026, the Audit Committee of the Board approved the dismissal of BPB as the Company’s independent registered public accounting firm and the appointment of CRI as the Company’s new independent registered public accounting firm, effective immediately. BPB previously served as the independent registered public accounting firm of SEE ID prior to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toc_023"/>
      <w:bookmarkEnd w:id="24"/>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6185"/>
        <w:gridCol w:w="60"/>
        <w:gridCol w:w="305"/>
      </w:tblGrid>
      <w:tr>
        <w:trPr/>
        <w:tc>
          <w:tcPr>
            <w:tcW w:w="6185"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b w:val="false"/>
                  <w:i w:val="false"/>
                  <w:caps w:val="false"/>
                  <w:smallCaps w:val="false"/>
                  <w:sz w:val="20"/>
                </w:rPr>
                <w:t>Report of Independent Registered Public Accounting Firm (PCAOB ID 213)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6185" w:type="dxa"/>
            <w:tcBorders/>
            <w:shd w:fill="FFFFFF" w:val="clear"/>
            <w:vAlign w:val="center"/>
          </w:tcPr>
          <w:p>
            <w:pPr>
              <w:pStyle w:val="TableContents"/>
              <w:bidi w:val="0"/>
              <w:spacing w:before="0" w:after="283"/>
              <w:jc w:val="left"/>
              <w:rPr/>
            </w:pPr>
            <w:hyperlink w:anchor="f_002">
              <w:r>
                <w:rPr>
                  <w:rStyle w:val="InternetLink"/>
                  <w:rFonts w:ascii="Times New Roman;Times;Serif" w:hAnsi="Times New Roman;Times;Serif"/>
                  <w:b w:val="false"/>
                  <w:i w:val="false"/>
                  <w:caps w:val="false"/>
                  <w:smallCaps w:val="false"/>
                  <w:sz w:val="20"/>
                </w:rPr>
                <w:t>Report of Independent Registered Public Accounting Firm (PCAOB ID 52)</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6185"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b w:val="false"/>
                  <w:i w:val="false"/>
                  <w:caps w:val="false"/>
                  <w:smallCaps w:val="false"/>
                  <w:sz w:val="20"/>
                </w:rPr>
                <w:t>Consolidated balance sheets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6185" w:type="dxa"/>
            <w:tcBorders/>
            <w:shd w:fill="FFFFFF" w:val="clear"/>
            <w:vAlign w:val="center"/>
          </w:tcPr>
          <w:p>
            <w:pPr>
              <w:pStyle w:val="TableContents"/>
              <w:bidi w:val="0"/>
              <w:spacing w:before="0" w:after="283"/>
              <w:jc w:val="left"/>
              <w:rPr/>
            </w:pPr>
            <w:hyperlink w:anchor="f_004">
              <w:r>
                <w:rPr>
                  <w:rStyle w:val="InternetLink"/>
                  <w:rFonts w:ascii="Times New Roman;Times;Serif" w:hAnsi="Times New Roman;Times;Serif"/>
                  <w:b w:val="false"/>
                  <w:i w:val="false"/>
                  <w:caps w:val="false"/>
                  <w:smallCaps w:val="false"/>
                  <w:sz w:val="20"/>
                </w:rPr>
                <w:t>Consolidated statements of operations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6185"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b w:val="false"/>
                  <w:i w:val="false"/>
                  <w:caps w:val="false"/>
                  <w:smallCaps w:val="false"/>
                  <w:sz w:val="20"/>
                </w:rPr>
                <w:t>Consolidated statements of stockholders’ deficit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6185" w:type="dxa"/>
            <w:tcBorders/>
            <w:shd w:fill="FFFFFF" w:val="clear"/>
            <w:vAlign w:val="center"/>
          </w:tcPr>
          <w:p>
            <w:pPr>
              <w:pStyle w:val="TableContents"/>
              <w:bidi w:val="0"/>
              <w:spacing w:before="0" w:after="283"/>
              <w:jc w:val="left"/>
              <w:rPr/>
            </w:pPr>
            <w:hyperlink w:anchor="f_006">
              <w:r>
                <w:rPr>
                  <w:rStyle w:val="InternetLink"/>
                  <w:rFonts w:ascii="Times New Roman;Times;Serif" w:hAnsi="Times New Roman;Times;Serif"/>
                  <w:b w:val="false"/>
                  <w:i w:val="false"/>
                  <w:caps w:val="false"/>
                  <w:smallCaps w:val="false"/>
                  <w:sz w:val="20"/>
                </w:rPr>
                <w:t>Consolidated statements of cash flows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6185" w:type="dxa"/>
            <w:tcBorders/>
            <w:shd w:fill="CCEEFF" w:val="clear"/>
            <w:vAlign w:val="center"/>
          </w:tcPr>
          <w:p>
            <w:pPr>
              <w:pStyle w:val="TableContents"/>
              <w:bidi w:val="0"/>
              <w:spacing w:before="0" w:after="283"/>
              <w:jc w:val="left"/>
              <w:rPr/>
            </w:pPr>
            <w:hyperlink w:anchor="f_007">
              <w:r>
                <w:rPr>
                  <w:rStyle w:val="InternetLink"/>
                  <w:rFonts w:ascii="Times New Roman;Times;Serif" w:hAnsi="Times New Roman;Times;Serif"/>
                  <w:b w:val="false"/>
                  <w:i w:val="false"/>
                  <w:caps w:val="false"/>
                  <w:smallCaps w:val="false"/>
                  <w:sz w:val="20"/>
                </w:rPr>
                <w:t>Notes to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f_001"/>
      <w:bookmarkEnd w:id="25"/>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 CID Holdco,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CID Holdco, Inc. (the “Company”) as of December 31, 2025,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audited the adjustments to the consolidated financial statements as of and for the year ended December 31, 2024 to retrospectively apply such adjustments to the consolidated financial statements to reflect the effects of the reverse recapitalization, as described in Notes 2, 3 and 11. In addition, we have audited the adjustments to the consolidated financial statements for the year ended December 31, 2024, as described in Notes 2 and 4. In our opinion, such adjustments in Notes 2, 3, 4 and 11 are appropriate and have been properly applied. We were not engaged to audit, review or apply any procedures to the consolidated financial statements as of or for the year ended December 31, 2024, of the Company other than with respect to the adjustments described above, and, accordingly, we do not express an opinion on any other form of assurance on the December 31, 2024 consolidated financial statements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incurred recurring losses from operations, has a working capital deficiency, and an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Carr, Riggs &amp; Ingram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Palm Beach Gardens, Florida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6" w:name="f_002"/>
      <w:bookmarkEnd w:id="26"/>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br/>
        <w:t>Stockholders of SEE ID, Inc. dba Dot 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SEE ID, Inc. dba Dot Ai (the “Company”) as of December 31, 2024,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suffered recurring losses from operations, has a working capital deficiency, and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Berkowitz Pollack Brant Advisors + CPAs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f_003"/>
      <w:bookmarkEnd w:id="27"/>
      <w:r>
        <w:rPr>
          <w:rFonts w:ascii="Times New Roman;Times;Serif" w:hAnsi="Times New Roman;Times;Serif"/>
          <w:b/>
          <w:i w:val="false"/>
          <w:caps w:val="false"/>
          <w:smallCaps w:val="false"/>
          <w:sz w:val="20"/>
        </w:rPr>
        <w:t>CID HOLDCO, INC.</w:t>
        <w:br/>
        <w:t>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10"/>
        <w:gridCol w:w="60"/>
        <w:gridCol w:w="152"/>
        <w:gridCol w:w="1282"/>
        <w:gridCol w:w="95"/>
        <w:gridCol w:w="60"/>
        <w:gridCol w:w="152"/>
        <w:gridCol w:w="1282"/>
        <w:gridCol w:w="112"/>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2"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3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4"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3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4"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865,624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721,032</w:t>
            </w:r>
          </w:p>
        </w:tc>
        <w:tc>
          <w:tcPr>
            <w:tcW w:w="112"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3,624,547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50,264</w:t>
            </w:r>
          </w:p>
        </w:tc>
        <w:tc>
          <w:tcPr>
            <w:tcW w:w="112"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1,430,881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65,248</w:t>
            </w:r>
          </w:p>
        </w:tc>
        <w:tc>
          <w:tcPr>
            <w:tcW w:w="112"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480,903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167,551</w:t>
            </w:r>
          </w:p>
        </w:tc>
        <w:tc>
          <w:tcPr>
            <w:tcW w:w="112"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6,401,955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1,004,095</w:t>
            </w:r>
          </w:p>
        </w:tc>
        <w:tc>
          <w:tcPr>
            <w:tcW w:w="112"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645,240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11,286</w:t>
            </w:r>
          </w:p>
        </w:tc>
        <w:tc>
          <w:tcPr>
            <w:tcW w:w="112"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Operating lease right-of-use assets (ROU)</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701,878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307,892</w:t>
            </w:r>
          </w:p>
        </w:tc>
        <w:tc>
          <w:tcPr>
            <w:tcW w:w="112"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2,920,718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1,761,396</w:t>
            </w:r>
          </w:p>
        </w:tc>
        <w:tc>
          <w:tcPr>
            <w:tcW w:w="112"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Other long-term assets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27,893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12,103</w:t>
            </w:r>
          </w:p>
        </w:tc>
        <w:tc>
          <w:tcPr>
            <w:tcW w:w="112"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long-term assets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4,295,729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2,092,677</w:t>
            </w:r>
          </w:p>
        </w:tc>
        <w:tc>
          <w:tcPr>
            <w:tcW w:w="112"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2" w:type="dxa"/>
            <w:tcBorders>
              <w:bottom w:val="double" w:sz="10" w:space="0" w:color="000000"/>
            </w:tcBorders>
            <w:shd w:fill="FFFFFF" w:val="clear"/>
            <w:tcMar>
              <w:bottom w:w="28" w:type="dxa"/>
            </w:tcMar>
            <w:vAlign w:val="center"/>
          </w:tcPr>
          <w:p>
            <w:pPr>
              <w:pStyle w:val="TableContents"/>
              <w:bidi w:val="0"/>
              <w:spacing w:before="0" w:after="283"/>
              <w:jc w:val="right"/>
              <w:rPr/>
            </w:pPr>
            <w:r>
              <w:rPr/>
              <w:t>10,697,684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2" w:type="dxa"/>
            <w:tcBorders>
              <w:bottom w:val="double" w:sz="10" w:space="0" w:color="000000"/>
            </w:tcBorders>
            <w:shd w:fill="FFFFFF" w:val="clear"/>
            <w:tcMar>
              <w:bottom w:w="28" w:type="dxa"/>
            </w:tcMar>
            <w:vAlign w:val="center"/>
          </w:tcPr>
          <w:p>
            <w:pPr>
              <w:pStyle w:val="TableContents"/>
              <w:bidi w:val="0"/>
              <w:spacing w:before="0" w:after="283"/>
              <w:jc w:val="right"/>
              <w:rPr/>
            </w:pPr>
            <w:r>
              <w:rPr/>
              <w:t>3,096,772</w:t>
            </w:r>
          </w:p>
        </w:tc>
        <w:tc>
          <w:tcPr>
            <w:tcW w:w="112"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LIABILITIES AND SHAREHOLDERS’ EQUITY (DEFICIT)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4,124,924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770,276</w:t>
            </w:r>
          </w:p>
        </w:tc>
        <w:tc>
          <w:tcPr>
            <w:tcW w:w="112"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1,826,189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24,219</w:t>
            </w:r>
          </w:p>
        </w:tc>
        <w:tc>
          <w:tcPr>
            <w:tcW w:w="112"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Accrued compensation</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177,222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246,720</w:t>
            </w:r>
          </w:p>
        </w:tc>
        <w:tc>
          <w:tcPr>
            <w:tcW w:w="112"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Accrued franchise taxes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8,428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Derivative liabilities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78,635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Short-term debt, net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1,540,651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Deferred revenue, current portion</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236,038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1,142,643</w:t>
            </w:r>
          </w:p>
        </w:tc>
        <w:tc>
          <w:tcPr>
            <w:tcW w:w="112"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Operating lease liabilities, current portion</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139,963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36,225</w:t>
            </w:r>
          </w:p>
        </w:tc>
        <w:tc>
          <w:tcPr>
            <w:tcW w:w="112"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8,132,050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2,220,083</w:t>
            </w:r>
          </w:p>
        </w:tc>
        <w:tc>
          <w:tcPr>
            <w:tcW w:w="112"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SAFE notes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23,334,626</w:t>
            </w:r>
          </w:p>
        </w:tc>
        <w:tc>
          <w:tcPr>
            <w:tcW w:w="112"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1,748,512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1,570,572</w:t>
            </w:r>
          </w:p>
        </w:tc>
        <w:tc>
          <w:tcPr>
            <w:tcW w:w="112"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577,656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265,413</w:t>
            </w:r>
          </w:p>
        </w:tc>
        <w:tc>
          <w:tcPr>
            <w:tcW w:w="112"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2,326,168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25,170,611</w:t>
            </w:r>
          </w:p>
        </w:tc>
        <w:tc>
          <w:tcPr>
            <w:tcW w:w="112"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10,458,218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27,390,694</w:t>
            </w:r>
          </w:p>
        </w:tc>
        <w:tc>
          <w:tcPr>
            <w:tcW w:w="112"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Commitments and contingencies (Note 17)</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Shareholders’ equity (deficit)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7010" w:type="dxa"/>
            <w:tcBorders/>
            <w:shd w:fill="FFFFFF" w:val="clear"/>
            <w:vAlign w:val="center"/>
          </w:tcPr>
          <w:p>
            <w:pPr>
              <w:pStyle w:val="TableContents"/>
              <w:bidi w:val="0"/>
              <w:spacing w:before="0" w:after="283"/>
              <w:jc w:val="left"/>
              <w:rPr/>
            </w:pPr>
            <w:r>
              <w:rPr/>
              <w:t>Common stock, $0.0001 par value; 300,000,000 shares authorized; 29,273,321 and 12,210,718 shares issued and outstanding as of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2,927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1,221</w:t>
            </w:r>
          </w:p>
        </w:tc>
        <w:tc>
          <w:tcPr>
            <w:tcW w:w="112"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61,687,873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438,120</w:t>
            </w:r>
          </w:p>
        </w:tc>
        <w:tc>
          <w:tcPr>
            <w:tcW w:w="112"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(61,451,334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(24,733,263</w:t>
            </w:r>
          </w:p>
        </w:tc>
        <w:tc>
          <w:tcPr>
            <w:tcW w:w="112"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b/>
              </w:rPr>
            </w:pPr>
            <w:r>
              <w:rPr>
                <w:b/>
              </w:rPr>
              <w:t>Total shareholders’ equity (deficit)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239,466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(24,293,922</w:t>
            </w:r>
          </w:p>
        </w:tc>
        <w:tc>
          <w:tcPr>
            <w:tcW w:w="112" w:type="dxa"/>
            <w:tcBorders/>
            <w:shd w:fill="CCEEFF" w:val="clear"/>
            <w:vAlign w:val="center"/>
          </w:tcPr>
          <w:p>
            <w:pPr>
              <w:pStyle w:val="TableContents"/>
              <w:bidi w:val="0"/>
              <w:spacing w:before="0" w:after="283"/>
              <w:jc w:val="left"/>
              <w:rPr/>
            </w:pPr>
            <w:r>
              <w:rPr/>
              <w:t>)</w:t>
            </w:r>
          </w:p>
        </w:tc>
      </w:tr>
      <w:tr>
        <w:trPr/>
        <w:tc>
          <w:tcPr>
            <w:tcW w:w="7010" w:type="dxa"/>
            <w:tcBorders/>
            <w:shd w:fill="FFFFFF" w:val="clear"/>
            <w:vAlign w:val="center"/>
          </w:tcPr>
          <w:p>
            <w:pPr>
              <w:pStyle w:val="TableContents"/>
              <w:bidi w:val="0"/>
              <w:spacing w:before="0" w:after="283"/>
              <w:jc w:val="left"/>
              <w:rPr>
                <w:b/>
              </w:rPr>
            </w:pPr>
            <w:r>
              <w:rPr>
                <w:b/>
              </w:rPr>
              <w:t>Total liabilities and shareholders’ equity (deficit)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2" w:type="dxa"/>
            <w:tcBorders>
              <w:bottom w:val="double" w:sz="10" w:space="0" w:color="000000"/>
            </w:tcBorders>
            <w:shd w:fill="FFFFFF" w:val="clear"/>
            <w:tcMar>
              <w:bottom w:w="28" w:type="dxa"/>
            </w:tcMar>
            <w:vAlign w:val="center"/>
          </w:tcPr>
          <w:p>
            <w:pPr>
              <w:pStyle w:val="TableContents"/>
              <w:bidi w:val="0"/>
              <w:spacing w:before="0" w:after="283"/>
              <w:jc w:val="right"/>
              <w:rPr/>
            </w:pPr>
            <w:r>
              <w:rPr/>
              <w:t>10,697,684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2" w:type="dxa"/>
            <w:tcBorders>
              <w:bottom w:val="double" w:sz="10" w:space="0" w:color="000000"/>
            </w:tcBorders>
            <w:shd w:fill="FFFFFF" w:val="clear"/>
            <w:tcMar>
              <w:bottom w:w="28" w:type="dxa"/>
            </w:tcMar>
            <w:vAlign w:val="center"/>
          </w:tcPr>
          <w:p>
            <w:pPr>
              <w:pStyle w:val="TableContents"/>
              <w:bidi w:val="0"/>
              <w:spacing w:before="0" w:after="283"/>
              <w:jc w:val="right"/>
              <w:rPr/>
            </w:pPr>
            <w:r>
              <w:rPr/>
              <w:t>3,096,772</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f_004"/>
      <w:bookmarkEnd w:id="28"/>
      <w:r>
        <w:rPr>
          <w:rFonts w:ascii="Times New Roman;Times;Serif" w:hAnsi="Times New Roman;Times;Serif"/>
          <w:b/>
          <w:i w:val="false"/>
          <w:caps w:val="false"/>
          <w:smallCaps w:val="false"/>
          <w:sz w:val="20"/>
        </w:rPr>
        <w:t>CID HOLDCO, INC.</w:t>
        <w:br/>
        <w:t>CONSOLIDATED STATEMENTS OF OPERATIONS</w:t>
      </w:r>
    </w:p>
    <w:p>
      <w:pPr>
        <w:pStyle w:val="TextBody"/>
        <w:bidi w:val="0"/>
        <w:spacing w:before="0" w:after="0"/>
        <w:ind w:left="0" w:right="0" w:hanging="0"/>
        <w:jc w:val="center"/>
        <w:rPr>
          <w:caps w:val="false"/>
          <w:smallCaps w:val="false"/>
        </w:rPr>
      </w:pPr>
      <w:r>
        <w:rPr>
          <w:caps w:val="false"/>
          <w:smallCaps w:val="false"/>
        </w:rPr>
        <w:t> </w:t>
      </w:r>
    </w:p>
    <w:tbl>
      <w:tblPr>
        <w:tblW w:w="7055" w:type="dxa"/>
        <w:jc w:val="left"/>
        <w:tblInd w:w="0" w:type="dxa"/>
        <w:tblLayout w:type="fixed"/>
        <w:tblCellMar>
          <w:top w:w="0" w:type="dxa"/>
          <w:left w:w="0" w:type="dxa"/>
          <w:bottom w:w="0" w:type="dxa"/>
          <w:right w:w="0" w:type="dxa"/>
        </w:tblCellMar>
      </w:tblPr>
      <w:tblGrid>
        <w:gridCol w:w="4100"/>
        <w:gridCol w:w="60"/>
        <w:gridCol w:w="140"/>
        <w:gridCol w:w="1175"/>
        <w:gridCol w:w="95"/>
        <w:gridCol w:w="60"/>
        <w:gridCol w:w="140"/>
        <w:gridCol w:w="1175"/>
        <w:gridCol w:w="110"/>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5,804,369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172,661</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3,133,139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43,634</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2,671,230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129,027</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6,764,453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1,563,328</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1,446,203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850,261</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3,671,865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2,721,981</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Acquisition and integration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1,154,857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2,038,130</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36,463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13,073,841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7,173,700</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(10,402,611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(7,044,673</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(404,624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Change in fair value of SAFE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(17,368,415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(14,492,176</w:t>
            </w:r>
          </w:p>
        </w:tc>
        <w:tc>
          <w:tcPr>
            <w:tcW w:w="110" w:type="dxa"/>
            <w:tcBorders/>
            <w:shd w:fill="FFFFFF" w:val="clear"/>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158,241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Business combination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(2,726,183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(5,728,295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Loss on issuance of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(246,184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Total other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(26,315,460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(14,492,176</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(36,718,071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(21,536,849</w:t>
            </w:r>
          </w:p>
        </w:tc>
        <w:tc>
          <w:tcPr>
            <w:tcW w:w="110" w:type="dxa"/>
            <w:tcBorders/>
            <w:shd w:fill="FFFFFF" w:val="clear"/>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581</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(36,718,071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(21,537,430</w:t>
            </w:r>
          </w:p>
        </w:tc>
        <w:tc>
          <w:tcPr>
            <w:tcW w:w="110" w:type="dxa"/>
            <w:tcBorders/>
            <w:shd w:fill="FFFFFF" w:val="clear"/>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(1.78</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Weighted average number of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20,579,971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12,124,303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f_005"/>
      <w:bookmarkEnd w:id="29"/>
      <w:r>
        <w:rPr>
          <w:rFonts w:ascii="Times New Roman;Times;Serif" w:hAnsi="Times New Roman;Times;Serif"/>
          <w:b/>
          <w:i w:val="false"/>
          <w:caps w:val="false"/>
          <w:smallCaps w:val="false"/>
          <w:sz w:val="20"/>
        </w:rPr>
        <w:t>CID HOLDCO, INC.</w:t>
        <w:br/>
        <w:t>CONSOLIDATED STATEMENTS OF STOCKHOLDERS’ DEFICIT</w:t>
        <w:br/>
        <w:t>FOR THE YEARS ENDED DECEMBER 31, 2025 AND 2024</w:t>
      </w:r>
    </w:p>
    <w:p>
      <w:pPr>
        <w:pStyle w:val="TextBody"/>
        <w:bidi w:val="0"/>
        <w:spacing w:before="0" w:after="0"/>
        <w:ind w:left="0" w:right="0" w:hanging="0"/>
        <w:jc w:val="center"/>
        <w:rPr>
          <w:caps w:val="false"/>
          <w:smallCaps w:val="false"/>
        </w:rPr>
      </w:pPr>
      <w:r>
        <w:rPr>
          <w:caps w:val="false"/>
          <w:smallCaps w:val="false"/>
        </w:rPr>
        <w:t> </w:t>
      </w:r>
    </w:p>
    <w:tbl>
      <w:tblPr>
        <w:tblW w:w="10915" w:type="dxa"/>
        <w:jc w:val="left"/>
        <w:tblInd w:w="0" w:type="dxa"/>
        <w:tblLayout w:type="fixed"/>
        <w:tblCellMar>
          <w:top w:w="0" w:type="dxa"/>
          <w:left w:w="0" w:type="dxa"/>
          <w:bottom w:w="0" w:type="dxa"/>
          <w:right w:w="0" w:type="dxa"/>
        </w:tblCellMar>
      </w:tblPr>
      <w:tblGrid>
        <w:gridCol w:w="1460"/>
        <w:gridCol w:w="60"/>
        <w:gridCol w:w="60"/>
        <w:gridCol w:w="1295"/>
        <w:gridCol w:w="95"/>
        <w:gridCol w:w="60"/>
        <w:gridCol w:w="140"/>
        <w:gridCol w:w="875"/>
        <w:gridCol w:w="95"/>
        <w:gridCol w:w="60"/>
        <w:gridCol w:w="60"/>
        <w:gridCol w:w="1100"/>
        <w:gridCol w:w="60"/>
        <w:gridCol w:w="60"/>
        <w:gridCol w:w="172"/>
        <w:gridCol w:w="688"/>
        <w:gridCol w:w="60"/>
        <w:gridCol w:w="60"/>
        <w:gridCol w:w="140"/>
        <w:gridCol w:w="1100"/>
        <w:gridCol w:w="60"/>
        <w:gridCol w:w="60"/>
        <w:gridCol w:w="145"/>
        <w:gridCol w:w="1225"/>
        <w:gridCol w:w="95"/>
        <w:gridCol w:w="60"/>
        <w:gridCol w:w="140"/>
        <w:gridCol w:w="1355"/>
        <w:gridCol w:w="75"/>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Legacy Common Stock</w:t>
              <w:br/>
              <w:t>Prior to retroactive</w:t>
              <w:br/>
              <w:t>application of</w:t>
              <w:br/>
              <w:t>recapitalization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b/>
              </w:rPr>
            </w:pPr>
            <w:r>
              <w:rPr>
                <w:b/>
              </w:rPr>
              <w:t>Total</w:t>
              <w:br/>
              <w:t>Shareholders’</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7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Balances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108,975,000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108,975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133,360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(3,195,833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jc w:val="right"/>
              <w:rPr/>
            </w:pPr>
            <w:r>
              <w:rPr/>
              <w:t>     </w:t>
            </w:r>
            <w:r>
              <w:rPr/>
              <w:t>(2,953,498</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Retroactive application of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(108,975,000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(108,975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12,208,851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1,221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107,754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Balances as of December 31, 2023, adjusted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12,208,851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1,221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241,114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(3,195,833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center"/>
          </w:tcPr>
          <w:p>
            <w:pPr>
              <w:pStyle w:val="TableContents"/>
              <w:bidi w:val="0"/>
              <w:spacing w:before="0" w:after="283"/>
              <w:jc w:val="right"/>
              <w:rPr/>
            </w:pPr>
            <w:r>
              <w:rPr/>
              <w:t>(2,953,498</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197,006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197,006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(21,537,430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center"/>
          </w:tcPr>
          <w:p>
            <w:pPr>
              <w:pStyle w:val="TableContents"/>
              <w:bidi w:val="0"/>
              <w:spacing w:before="0" w:after="283"/>
              <w:jc w:val="right"/>
              <w:rPr/>
            </w:pPr>
            <w:r>
              <w:rPr/>
              <w:t>(21,537,430</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Balances as of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12,210,718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pPr>
            <w:r>
              <w:rPr/>
              <w:t>1,221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438,120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pPr>
            <w:r>
              <w:rPr/>
              <w:t>(24,733,263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55" w:type="dxa"/>
            <w:tcBorders>
              <w:bottom w:val="double" w:sz="10" w:space="0" w:color="000000"/>
            </w:tcBorders>
            <w:shd w:fill="FFFFFF" w:val="clear"/>
            <w:tcMar>
              <w:bottom w:w="28" w:type="dxa"/>
            </w:tcMar>
            <w:vAlign w:val="center"/>
          </w:tcPr>
          <w:p>
            <w:pPr>
              <w:pStyle w:val="TableContents"/>
              <w:bidi w:val="0"/>
              <w:spacing w:before="0" w:after="283"/>
              <w:jc w:val="right"/>
              <w:rPr/>
            </w:pPr>
            <w:r>
              <w:rPr/>
              <w:t>(24,293,922</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37,827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Reverse recapitalization transactions,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15,426,221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56,155,649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56,157,192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Share purchase commitment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349,990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350,000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Share issuance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801,047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801,200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Excise tax forgiveness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3,905,240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3,905,240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(36,718,071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FFFFFF" w:val="clear"/>
            <w:tcMar>
              <w:bottom w:w="28" w:type="dxa"/>
            </w:tcMar>
            <w:vAlign w:val="center"/>
          </w:tcPr>
          <w:p>
            <w:pPr>
              <w:pStyle w:val="TableContents"/>
              <w:bidi w:val="0"/>
              <w:spacing w:before="0" w:after="283"/>
              <w:jc w:val="right"/>
              <w:rPr/>
            </w:pPr>
            <w:r>
              <w:rPr/>
              <w:t>(36,718,071</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pPr>
            <w:r>
              <w:rPr/>
              <w:t>Balances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29,273,321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CCEEFF" w:val="clear"/>
            <w:tcMar>
              <w:bottom w:w="28" w:type="dxa"/>
            </w:tcMar>
            <w:vAlign w:val="center"/>
          </w:tcPr>
          <w:p>
            <w:pPr>
              <w:pStyle w:val="TableContents"/>
              <w:bidi w:val="0"/>
              <w:spacing w:before="0" w:after="283"/>
              <w:jc w:val="right"/>
              <w:rPr/>
            </w:pPr>
            <w:r>
              <w:rPr/>
              <w:t>2,927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61,687,873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pPr>
            <w:r>
              <w:rPr/>
              <w:t>(61,451,334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55" w:type="dxa"/>
            <w:tcBorders>
              <w:bottom w:val="double" w:sz="10" w:space="0" w:color="000000"/>
            </w:tcBorders>
            <w:shd w:fill="CCEEFF" w:val="clear"/>
            <w:tcMar>
              <w:bottom w:w="28" w:type="dxa"/>
            </w:tcMar>
            <w:vAlign w:val="center"/>
          </w:tcPr>
          <w:p>
            <w:pPr>
              <w:pStyle w:val="TableContents"/>
              <w:bidi w:val="0"/>
              <w:spacing w:before="0" w:after="283"/>
              <w:jc w:val="right"/>
              <w:rPr/>
            </w:pPr>
            <w:r>
              <w:rPr/>
              <w:t>239,466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f_006"/>
      <w:bookmarkEnd w:id="30"/>
      <w:r>
        <w:rPr>
          <w:rFonts w:ascii="Times New Roman;Times;Serif" w:hAnsi="Times New Roman;Times;Serif"/>
          <w:b/>
          <w:i w:val="false"/>
          <w:caps w:val="false"/>
          <w:smallCaps w:val="false"/>
          <w:sz w:val="20"/>
        </w:rPr>
        <w:t>CID HOLDCO, INC.</w:t>
        <w:br/>
        <w:t>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9905" w:type="dxa"/>
        <w:jc w:val="left"/>
        <w:tblInd w:w="0" w:type="dxa"/>
        <w:tblLayout w:type="fixed"/>
        <w:tblCellMar>
          <w:top w:w="0" w:type="dxa"/>
          <w:left w:w="0" w:type="dxa"/>
          <w:bottom w:w="0" w:type="dxa"/>
          <w:right w:w="0" w:type="dxa"/>
        </w:tblCellMar>
      </w:tblPr>
      <w:tblGrid>
        <w:gridCol w:w="6950"/>
        <w:gridCol w:w="60"/>
        <w:gridCol w:w="140"/>
        <w:gridCol w:w="1175"/>
        <w:gridCol w:w="95"/>
        <w:gridCol w:w="60"/>
        <w:gridCol w:w="140"/>
        <w:gridCol w:w="1175"/>
        <w:gridCol w:w="110"/>
      </w:tblGrid>
      <w:tr>
        <w:trPr/>
        <w:tc>
          <w:tcPr>
            <w:tcW w:w="6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110" w:type="dxa"/>
            <w:tcBorders/>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b/>
              </w:rPr>
            </w:pPr>
            <w:r>
              <w:rPr>
                <w:b/>
              </w:rPr>
              <w:t>OPERATING ACTIVITIES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(36,718,071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(21,537,430</w:t>
            </w:r>
          </w:p>
        </w:tc>
        <w:tc>
          <w:tcPr>
            <w:tcW w:w="11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36,463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Amortization of debt origination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15,833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Change in fair value of SAFE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17,368,415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14,492,176</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Change in fair value of derivative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(158,241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Transaction costs paid in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156,869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37,827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197,006</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Noncash operating lease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98,850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37,689</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Loss on debt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5,728,295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Loss on share issuance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246,184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Reverse recapitalization transaction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566,071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Fair value of shares issued as commitment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(3,574,283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(45,486</w:t>
            </w:r>
          </w:p>
        </w:tc>
        <w:tc>
          <w:tcPr>
            <w:tcW w:w="11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(311,543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(35,095</w:t>
            </w:r>
          </w:p>
        </w:tc>
        <w:tc>
          <w:tcPr>
            <w:tcW w:w="110" w:type="dxa"/>
            <w:tcBorders/>
            <w:shd w:fill="FFFFFF" w:val="clear"/>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(1,365,633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(65,248</w:t>
            </w:r>
          </w:p>
        </w:tc>
        <w:tc>
          <w:tcPr>
            <w:tcW w:w="11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3,354,648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768,542</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Accrued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1,801,970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714</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Accrued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(69,498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227,852</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Accrued franchise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(94,452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(43,943</w:t>
            </w:r>
          </w:p>
        </w:tc>
        <w:tc>
          <w:tcPr>
            <w:tcW w:w="110" w:type="dxa"/>
            <w:tcBorders/>
            <w:shd w:fill="FFFFFF" w:val="clear"/>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(728,665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2,713,215</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(13,250,533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(3,290,008</w:t>
            </w:r>
          </w:p>
        </w:tc>
        <w:tc>
          <w:tcPr>
            <w:tcW w:w="110" w:type="dxa"/>
            <w:tcBorders/>
            <w:shd w:fill="FFFFFF" w:val="clear"/>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b/>
              </w:rPr>
            </w:pPr>
            <w:r>
              <w:rPr>
                <w:b/>
              </w:rPr>
              <w:t>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(670,417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(1,159,322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(834,220</w:t>
            </w:r>
          </w:p>
        </w:tc>
        <w:tc>
          <w:tcPr>
            <w:tcW w:w="11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(1,829,739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(834,220</w:t>
            </w:r>
          </w:p>
        </w:tc>
        <w:tc>
          <w:tcPr>
            <w:tcW w:w="110" w:type="dxa"/>
            <w:tcBorders/>
            <w:shd w:fill="FFFFFF" w:val="clear"/>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Proceeds from issuance of bridge loans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2,850,000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Proceeds from issuance of SAFE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23,752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4,239,500</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Proceeds from issuance of short term loan,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Proceeds from issuance of new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555,016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Payment of debt origination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Repayment of bridge loans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(1,380,545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Repayment of short term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(48,306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Proceeds from PIPE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10,837,643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Purchase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Proceeds from Trust account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5,577,304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15,224,864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4,239,500</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Net increase in cash during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144,592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115,272</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Cash, beginning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721,032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605,760</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Cash,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865,624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721,032</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b/>
              </w:rPr>
            </w:pPr>
            <w:r>
              <w:rPr>
                <w:b/>
              </w:rPr>
              <w:t>SUPPLEMENTAL DISCLOSURE OF NON-CASH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Right-of-use asset obtained in exchange for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482,227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324,426</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Conversion of SAFE notes to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40,726,793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Conversion of short-term debt to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8,597,750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b/>
              </w:rPr>
            </w:pPr>
            <w:r>
              <w:rPr>
                <w:b/>
              </w:rPr>
              <w:t>SUPPLEMENTAL DISCLOSURE OF CASH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377,028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 w:name="f_007"/>
      <w:bookmarkEnd w:id="31"/>
      <w:r>
        <w:rPr>
          <w:rFonts w:ascii="Times New Roman;Times;Serif" w:hAnsi="Times New Roman;Times;Serif"/>
          <w:b/>
          <w:i w:val="false"/>
          <w:caps w:val="false"/>
          <w:smallCaps w:val="false"/>
          <w:sz w:val="20"/>
        </w:rPr>
        <w:t>CID HOLDCO, INC.</w:t>
        <w:br/>
        <w:t>NOTES TO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Company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 and 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&amp; Outdoor tracking with seamless transitions, Passive RFID (including Bluetooth and 5G), in-process locating system, Dolly Management, and related supported software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Legacy Company incorporated Dot Works, Inc., a Puerto Rico corporation, as a wholly-owned subsidiary. Dot Works, based in Puerto Rico, serves as the primary manufacturing facility for Dot Ai, producing smart hardware devices and embedded technological components used in AI-driven enterprise solutions (ZIM Bridges and Smart Industrial TAGS). Activities include assembly, quality control, and packaging of proprietary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ShoulderUp Technology Acquisition Corp., a Delaware corporation (“</w:t>
      </w:r>
      <w:r>
        <w:rPr>
          <w:rFonts w:ascii="Times New Roman;Times;Serif" w:hAnsi="Times New Roman;Times;Serif"/>
          <w:b/>
          <w:i/>
          <w:caps w:val="false"/>
          <w:smallCaps w:val="false"/>
          <w:sz w:val="20"/>
        </w:rPr>
        <w:t>ShoulderUp</w:t>
      </w:r>
      <w:r>
        <w:rPr>
          <w:rFonts w:ascii="Times New Roman;Times;Serif" w:hAnsi="Times New Roman;Times;Serif"/>
          <w:b w:val="false"/>
          <w:i w:val="false"/>
          <w:caps w:val="false"/>
          <w:smallCaps w:val="false"/>
          <w:sz w:val="20"/>
        </w:rPr>
        <w:t>”), entered into a Business Combination Agreement (the “</w:t>
      </w:r>
      <w:r>
        <w:rPr>
          <w:rFonts w:ascii="Times New Roman;Times;Serif" w:hAnsi="Times New Roman;Times;Serif"/>
          <w:b/>
          <w:i/>
          <w:caps w:val="false"/>
          <w:smallCaps w:val="false"/>
          <w:sz w:val="20"/>
        </w:rPr>
        <w:t>Business Combination Agreement</w:t>
      </w:r>
      <w:r>
        <w:rPr>
          <w:rFonts w:ascii="Times New Roman;Times;Serif" w:hAnsi="Times New Roman;Times;Serif"/>
          <w:b w:val="false"/>
          <w:i w:val="false"/>
          <w:caps w:val="false"/>
          <w:smallCaps w:val="false"/>
          <w:sz w:val="20"/>
        </w:rPr>
        <w:t>”) by and among CID Holdco, Inc., a Delaware corporation and a direct, wholly-owned subsidiary of ShoulderUp (“</w:t>
      </w:r>
      <w:r>
        <w:rPr>
          <w:rFonts w:ascii="Times New Roman;Times;Serif" w:hAnsi="Times New Roman;Times;Serif"/>
          <w:b/>
          <w:i/>
          <w:caps w:val="false"/>
          <w:smallCaps w:val="false"/>
          <w:sz w:val="20"/>
        </w:rPr>
        <w:t>Holdings</w:t>
      </w:r>
      <w:r>
        <w:rPr>
          <w:rFonts w:ascii="Times New Roman;Times;Serif" w:hAnsi="Times New Roman;Times;Serif"/>
          <w:b w:val="false"/>
          <w:i w:val="false"/>
          <w:caps w:val="false"/>
          <w:smallCaps w:val="false"/>
          <w:sz w:val="20"/>
        </w:rPr>
        <w:t>”), ShoulderUp Merger Sub, Inc., a Delaware corporation and wholly-owned subsidiary of Holdings (“</w:t>
      </w:r>
      <w:r>
        <w:rPr>
          <w:rFonts w:ascii="Times New Roman;Times;Serif" w:hAnsi="Times New Roman;Times;Serif"/>
          <w:b/>
          <w:i/>
          <w:caps w:val="false"/>
          <w:smallCaps w:val="false"/>
          <w:sz w:val="20"/>
        </w:rPr>
        <w:t>ShoulderUp Merger Sub</w:t>
      </w:r>
      <w:r>
        <w:rPr>
          <w:rFonts w:ascii="Times New Roman;Times;Serif" w:hAnsi="Times New Roman;Times;Serif"/>
          <w:b w:val="false"/>
          <w:i w:val="false"/>
          <w:caps w:val="false"/>
          <w:smallCaps w:val="false"/>
          <w:sz w:val="20"/>
        </w:rPr>
        <w:t>”), SEI Merger Sub, Inc., a Delaware corporation and a direct, wholly owned subsidiary of Holdings (“</w:t>
      </w:r>
      <w:r>
        <w:rPr>
          <w:rFonts w:ascii="Times New Roman;Times;Serif" w:hAnsi="Times New Roman;Times;Serif"/>
          <w:b/>
          <w:i/>
          <w:caps w:val="false"/>
          <w:smallCaps w:val="false"/>
          <w:sz w:val="20"/>
        </w:rPr>
        <w:t>SEI Merger Sub</w:t>
      </w:r>
      <w:r>
        <w:rPr>
          <w:rFonts w:ascii="Times New Roman;Times;Serif" w:hAnsi="Times New Roman;Times;Serif"/>
          <w:b w:val="false"/>
          <w:i w:val="false"/>
          <w:caps w:val="false"/>
          <w:smallCaps w:val="false"/>
          <w:sz w:val="20"/>
        </w:rPr>
        <w:t>” and together with ShoulderUp Merger Sub, the “</w:t>
      </w:r>
      <w:r>
        <w:rPr>
          <w:rFonts w:ascii="Times New Roman;Times;Serif" w:hAnsi="Times New Roman;Times;Serif"/>
          <w:b/>
          <w:i/>
          <w:caps w:val="false"/>
          <w:smallCaps w:val="false"/>
          <w:sz w:val="20"/>
        </w:rPr>
        <w:t>Merger Subs</w:t>
      </w:r>
      <w:r>
        <w:rPr>
          <w:rFonts w:ascii="Times New Roman;Times;Serif" w:hAnsi="Times New Roman;Times;Serif"/>
          <w:b w:val="false"/>
          <w:i w:val="false"/>
          <w:caps w:val="false"/>
          <w:smallCaps w:val="false"/>
          <w:sz w:val="20"/>
        </w:rPr>
        <w:t>”), and SEE ID, Inc., a Nevada corporation (collectively with any predecessor entities,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or “Closing”), the Company consummated the Business Combination transactions by and among the Company, SUAC,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on June 18, 2025, each of the following transactions occurred in the following order: (a) ShoulderUp Merger Sub merged with and into SUAC, with SUAC continuing as the surviving entity, and, in connection therewith, each ordinary share of SUAC issued and outstanding immediately prior to the Closing Date were cancelled in exchange for the right of the holder thereof to receive, with respect to each ordinary share that is not redeemed or converted at Closing, one share of common stock of the Company (“Common Stock”); (b) SEI Merger Sub merged with and into SEE ID, with SEE ID continuing as the surviving entity, and, in connection therewith, (i) SEE ID Common Stock issued and outstanding immediately prior to the Closing Date were cancelled in exchange for the right of the holders thereof to receive shares of Common Stock as set forth in the Business Combination Agreement and (ii) any convertible securities of SEE ID were converted; and (c) as a result of the Mergers, SUAC and SEE ID each became wholly owned subsidiaries of the Company, and the Company became a publicly traded company, all upon the terms and subject to the conditions set forth in the Business Combination Agreement and in accordance with the provisions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interests,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 As such, the holders of each whole warrant to purchase SUA Class A Common Stock received one warrant to purchase the Company’s Common Stock at an exercise price of $11.50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CID Holdco filed a registration statement on Form S-4 (File No. 333-282600) with the U.S. Securities and Exchange Commission (“SEC”), as amended (the “Registration Statement”). The Registration Statement was declared effective by the SEC on June 18, 2025. Subsequently, the Company filed a registration statement on Form S-1 (File No. 333-290052), as amended, which was declared effective by the SEC on September 18,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Financial Accounting Standards Board (“FASB”) Accounting Standards Codification (“ASC”) Topic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which requires that management evaluate whether there are relevant conditions and events that in aggregate raise substantial doubt about the entity’s ability to continue as a going concern and to meet its obligations as they become due within one year after the date that the consolidated financial statements are issued. Under the guidance, the Company must first evaluate whether there are conditions and events that raise substantial doubt about the entity’s ability to continue as a going concern (step 1). If the Company concludes substantial doubt is raised, management also is required to consider whether its plans alleviate that doubt (step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limited operating history, has incurred significant operating losses since its inception, and the revenue and income potential of the Company’s business and market are unproven. The preparation of these consolidated financial statements does not include any adjustments that may result from the outcome of this uncertainty. The Company’s consolidated financial statements are prepared using the generally accepted accounting principles applicable to a going concern, which contemplates the realization of assets and liquidation of liabilities in the normal course of business. As of December 31, 2025, the Company had $865,624 in cash, a working capital deficit of $1,730,095 and accumulated deficit of $61,451,334. To date, the Company has funded its operations primarily with the net proceeds from the issuance of convertible promissory notes and the issuance and sale of equity securities. Following June 18, 2025, the Company has also funded its operations with proceeds from the Business Combination, short-term borrowings, and proceeds from the issuance of shares under its share subscription line of credit. The Company expects to incur substantial operating losses for the next several years and has obtained additional near-term financing to continue its research and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Company entered into a share subscription line of credit agreement under which the Company can access up to $50,000,000 in aggregate proceeds (see Note 9) to fund its R&amp;D activities and its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consolidated financial statements are issued. The accompanying annual consolidated financial statements do not include any adjustments relating to the recoverability and classification of recorded asset amounts or the amounts and classification of liabilities that might result from the outcome of these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audited financial statements include the accounts of CID Holdco, and its wholly-owned subsidiaries, Dot Ai and Dot Works, which are collectively referred to as the “Company” in these consolidated financial statements. All intercompany balances and transactions have been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CID Holdco, Inc. and its subsidiaries, with all intercompany transactions and balances eliminated in consolidation. The Company has prepared the Consolidated Financial Statements in accordance with accounting principles generally accepted in the United States of America (“U.S. GAAP”), as established by the Financial Accounting Standards Board (“FASB”) through the Accounting Standards Codification (“ASC”), and in conformity with the rules and regulations of the United States Securities and Exchange Commission (the “SEC”). In the opinion of management, the Consolidated Financial Statements reflect all adjustments, consisting only of normal recurring adjustments, necessary for the fair presentation of the Company’s financial position, results of operations, and cash flows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is accounted for as a reverse recapitalization, with ShoulderUp being treated as the acquired company and the Legacy Company treated as the accounting acquirer for financial reporting purposes. This accounting treatment is equivalent to the Legacy Company issuing stock for the net assets of ShoulderUp, accompanied by a recapitalization whereby no goodwill or other intangible assets are recorded. Operations prior to the Business Combination are presented as those of the Legacy Company and the accumulated deficit of the Legacy Company has been carried forward after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periods prior to the Business Combination have been retrospectively adjusted to reflect the reverse recapitalization. In connection with the reverse recapitalization treatment of the Business Combination, all issued and outstanding securities of ShoulderUp upon Closing were treated as issuances of the Company upon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Accounting Standards Update (“ASU”) No. 2024-03, </w:t>
      </w:r>
      <w:r>
        <w:rPr>
          <w:rFonts w:ascii="Times New Roman;Times;Serif" w:hAnsi="Times New Roman;Times;Serif"/>
          <w:b w:val="false"/>
          <w:i/>
          <w:caps w:val="false"/>
          <w:smallCaps w:val="false"/>
          <w:sz w:val="20"/>
        </w:rPr>
        <w:t>Disaggregation of Income Statement Expenses</w:t>
      </w:r>
      <w:r>
        <w:rPr>
          <w:rFonts w:ascii="Times New Roman;Times;Serif" w:hAnsi="Times New Roman;Times;Serif"/>
          <w:b w:val="false"/>
          <w:i w:val="false"/>
          <w:caps w:val="false"/>
          <w:smallCaps w:val="false"/>
          <w:sz w:val="20"/>
        </w:rPr>
        <w:t>, which requires disclosures of certain additional expense information on an annual and interim basis, including, among other items, the amounts of purchases of inventory, employee compensation, depreciation and intangible asset amortization included within each income statement expense caption, as applicable. The updated standard is effective for our annual periods beginning in fiscal year 2026 and interim periods beginning in the first quarter of fiscal year 2027. The Company is currently evaluating the impact of this guidance but does not anticipate a material impact on its consolidated financial statements or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No. 2024-04, </w:t>
      </w:r>
      <w:r>
        <w:rPr>
          <w:rFonts w:ascii="Times New Roman;Times;Serif" w:hAnsi="Times New Roman;Times;Serif"/>
          <w:b w:val="false"/>
          <w:i/>
          <w:caps w:val="false"/>
          <w:smallCaps w:val="false"/>
          <w:sz w:val="20"/>
        </w:rPr>
        <w:t>Debt—Debt with Conversion and Other Options (Subtopic 470-20): Clarifications to Accounting for Certain Convertible Debt Instruments</w:t>
      </w:r>
      <w:r>
        <w:rPr>
          <w:rFonts w:ascii="Times New Roman;Times;Serif" w:hAnsi="Times New Roman;Times;Serif"/>
          <w:b w:val="false"/>
          <w:i w:val="false"/>
          <w:caps w:val="false"/>
          <w:smallCaps w:val="false"/>
          <w:sz w:val="20"/>
        </w:rPr>
        <w:t>, which amends ASC 470-202 to clarify the requirements related to accounting for the settlement of a debt instrument as an induced conversion. The ASU is intended to improve the relevance and consistency in application of the induced conversion guidance in ASC 470-20 for (a) convertible debt instruments with cash conversion features and (b) debt instruments that are not currently convertible. The ASU removes references limiting induced conversion guidance to settlements in equity, thereby clarifying that the guidance may apply to conversions settled in equity, cash (or other assets), or a combination thereof. It also clarifies that, to qualify for induced conversion accounting, (i) the inducement offer must preserve the form and amount of consideration issuable under the original conversion privileges, (ii) the instrument must contain a substantive conversion feature at issuance and on the date the inducement offer is accepted, and (iii) the conversion must result from changed conversion privileges exercisable only for a limited period. The ASU further provides implementation guidance and examples, and clarifies that inducement expense is measured as the excess of the fair value of the consideration transferred over the fair value of the consideration issuable under the original conversion terms. The amendments in ASU No. 2024-04 are effective for fiscal years beginning after December 15, 2025, including interim periods within those fiscal years. Early adoption is permitted. The Company has not early adopted this guidance and is currently evaluating the impact that adoption may have on its consolidated financial statements and related disclosures, including the accounting for its senior secured convertible loan arrangements and any related settlement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ASU No.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xml:space="preserve">, requiring public entities to disclose information about their reportable segments’ significant expenses and other segment items on an interim and annual basis. Public entities with a single reportable segment are required to apply the disclosure requirements in ASU No. 2023-07, as well as all existing segment disclosures and reconciliation requirements in ASC 280 on an interim and annual basis. The Company adopted ASU No. 2023-07 during the year ended December 31, 2024. See Note 18,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xml:space="preserve"> in these notes to the consolidated financial statements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No.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which prescribes standardized categories and enhanced disaggregation of information in the rate reconciliation, requires disclosure of disaggregated income taxes paid, and modifies certain other income tax-related disclosure requirements. The standard is effective for fiscal years beginning after December 15, 2024, and was adopted by the Company in its fiscal year 2025 annual reporting period. The Company evaluated the impact of adopting this guidance and, because it continues to operate in a loss position and does not pay income taxes, the adoption did not have a material impact on its consolidated financial statements or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accounting standards described above, the Company did not adopt any new accounting standards during the year ended December 31, 2025 that had a material impact on its consolidated financial statements. The Company has reviewed all recently issued accounting pronouncements and determined that no other standards adopted during the period materially affected its consolidated financial position, results of operations, cash flows, or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changes, the Company’s revenues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some of the inventory that the Company purchases include components produced in foreign countries, the Company is subject to certain risks associated with tariffs on imports that the government of the United States of America imposes, which could adversely impact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The Company bases its estimates on historical experience, known or expected trends, and various other assumptions that are believed to be reasonable given the quality of information available as of the date of these financial statements. The results of these assumptions provide the basis for making estimates about the carrying amounts of assets and liabilities that are not readily apparent from other sources. Actual results could differ from these estimates. The Company believes judgment is involved in determining capitalized software development costs, useful lives of capitalized software development costs, the fair value of the SAFE agreements, warrant liabilities, embedded derivatives, share-based compensation, obsolete inventory, the put option under the equity line of credit and the valuation allowance on deferred income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deposits with major financial institutions, that at times, are greater than the FDIC limit.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Applicable accounting guidance provides an established hierarchy for inputs used in measuring fair value that maximizes the use of observable inputs and minimizes the use of unobservable inputs by requiring that the most observable inputs be used when available. Observable inputs are inputs that market participants would use in valuing the asset or liability and are developed based on market data obtained from sources independent of us. Unobservable inputs are inputs that reflect our assumptions about the factors that market participants would use in valuing the asset or liability. There are three levels of input that may be used to measure fair value:</w:t>
      </w:r>
    </w:p>
    <w:p>
      <w:pPr>
        <w:pStyle w:val="TextBody"/>
        <w:bidi w:val="0"/>
        <w:spacing w:before="0" w:after="0"/>
        <w:ind w:left="0" w:right="0" w:hanging="0"/>
        <w:jc w:val="both"/>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70"/>
        <w:gridCol w:w="8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 Quoted prices in active markets for identical assets or liabilities that the entity can access.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 Unobservable inputs that are supported by little or no market activity and that are significant to the fair value of the assets and liabilities.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measured at fair value are classified based on the lowest level of input that is significant to the fair value measurement. The Company reviews the fair value hierarchy classification on an as needed basis. Changes in the observability of valuation inputs may result in a reclassification of levels for certain securities within the fair value hierarchy. The Company recognizes transfers into and out of levels within the fair value hierarchy in the appropriate period in which the actual event or change in circumstances caused the transfer to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primarily consist of advance payments for goods and services to be received in future periods, including insurance premiums, software licenses, maintenance contracts, and prepaid inventories. Prepaid expenses are recorded at cost and are expensed ratably over the period the benefits are realized. Prepaid inventories are advance payments made to suppliers for inventory that the company has not yet received. The Company periodically reviews the carrying value of prepaid expenses and other current assets to determine if any amounts are no longer recoverable, and records an expense in the period such determination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derived from customers located primarily in North America. The Company generally does not require collateral to support customer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As of December 31, 2025 and 2024, there was no accounts receivable allowance for credit losses. There were no credit losses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raw materials, work in progress and finished goods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NRV. Management also periodically performs a valuation on allowance for excess and obsolete inventory. No valuation allowance was necessary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less accumulated depreciation. Routine maintenance and repair costs are expensed as incurred, while expenditures that materially extend the useful life or improve the functionality of an asset are capitalized. Upon sale, retirement, or other disposition, the cost and related accumulated depreciation are removed from the accounts, and any resulting gain or loss is recognized in operations. Depreciation on equipment is calculated using the straight-line method for assets with a cost exceeding $5,000 over their estimated useful lives, generally three to five years, except for a laser machine, which is depreciated over an estimated useful life of ten years. Leasehold improvements are depreciated over the shorter of the lease term or their estimated useful lives.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Software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Topic 350-40, </w:t>
      </w:r>
      <w:r>
        <w:rPr>
          <w:rFonts w:ascii="Times New Roman;Times;Serif" w:hAnsi="Times New Roman;Times;Serif"/>
          <w:b w:val="false"/>
          <w:i/>
          <w:caps w:val="false"/>
          <w:smallCaps w:val="false"/>
          <w:sz w:val="20"/>
        </w:rPr>
        <w:t>Intangibles-Goodwill and Other-Internal-Use Software</w:t>
      </w:r>
      <w:r>
        <w:rPr>
          <w:rFonts w:ascii="Times New Roman;Times;Serif" w:hAnsi="Times New Roman;Times;Serif"/>
          <w:b w:val="false"/>
          <w:i w:val="false"/>
          <w:caps w:val="false"/>
          <w:smallCaps w:val="false"/>
          <w:sz w:val="20"/>
        </w:rPr>
        <w:t>, the Company capitalizes software development costs incurred on new applications or enhancements to applications during 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As of December 31, 2025 and 2024, and for the years then ended, no projects have been substantially completed and ready for their intended use, and no amortization was recorded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As of December 31, 2025 and 2024, and for the years then ended, no such indicators of impairment were identified, and accordingly, no impairment losses were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leases under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core principle of this standard is that a lessee should recognize the assets and liabilities that arise from leases, by recognizing in the consolidated balance sheets a liability to make lease payments (the lease liability) and a right-of-use asset representing its right to use the underlying asset for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right-of-use (“ROU”)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leases are capitalized at the present value of the minimum lease payments not yet paid. The Company uses either the rate implicit in the lease, if readily determinable, or the Company’s incremental borrowing rate in order to calculate the net present value of the lease liability. The Company’s incremental borrowing rate for a lease is the rate of interest it would have to pay on a collateralized basis to borrow an amount equal to the lease payments under similar terms and in a similar economic environment. The Company has two operating leases for the facilities located in Bethesda, Maryland and Barceloneta, Puerto Rico.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 The Company has two short-term leases located in Manati, Puerto Rico and Shirley, Massachusetts.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payments are included in the future lease payments when those variable payments depend on an index or a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convertible debt instruments in accordance with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and other applicable authoritative guidance. Management evaluates the terms of each instrument to determine the appropriate classification. The Company has concluded that its convertible debt instruments are properly classified as liabilities because they embody contractual obligations to repay principal and interest in cash and do not meet the criteria for equity classification. In addition, the instruments do not represent mandatorily redeemable equity shares or other freestanding equity instruments; rather, they represent debt arrangements with substantive repayment obligations. Accordingly, the instruments are recorded as liabilities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short-term borrowings, the Company paid loan initiation fees to the lender. These fees are accounted for as debt issuance costs and recorded as a direct deduction from the carrying amount of the related debt liability. The net carrying amount of the debt, after giving effect to these issuance costs, is accreted to the contractual repayment amount over the term of the loan using the effective interest method, with the amortization recognized as interest expense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and Embedded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convertible debt includes a conversion feature and an embedded call option. These features were evaluated to determine whether they require bifurcation from the host debt instrument. Management concluded that the features meet the definition of derivatives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therefore require separation from the host contract. The embedded call option permits the Company, upon a change in control, to call the instrument, representing an additional embedded derivative feature. In assessing the conversion feature, management determined that the number of shares issuable upon conversion is contingent upon stockholder approval to remove the 4.99% beneficial ownership limitation. Because this contingency represents an input that is not consistent with a fixed-for-fixed equity instrument under ASC 815-40-15-7, the conversion feature is not considered indexed to the Company’s common stock and does not qualify for equity classification. Accordingly, the embedded call option and conversion feature were combined and accounted for as a single embedded derivative liability measured at fair value, with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issued in connection with the short-term loan are accounted for as a separate derivative liability. The warrants are measured at fair value at each reporting date, and changes in fair value are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transaction was accounted for as a reverse recapitalization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Although ShoulderUp was the legal acquirer in the transaction, the Company was determined to be the accounting acquirer based on the evaluation of the relevant accounting guidance. Accordingly, the transaction was treated for accounting purposes as a reverse recapitalization of the Company. The historical financial statements of the Company became the historical financial statements of the combined entity, and the net assets of ShoulderUp were recorded at their historical carrying amounts. No goodwill or other intangible assets were recognized in connection with the transaction. The equity structure of the combined company was adjusted to reflect the shares issued in the transaction, and transaction costs were accounted for in accordance with applicable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primarily recognizes revenue from the sale and delivery of products. As it is still in the early stages of developing its software-as-a-service (SaaS) product, most revenue is derived from product sales, including bridges, gateways, and labels.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consists of payments received in advance of satisfaction of a performance obligation and is recognized as the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a single reportable segment and generates revenue from an integrated offering of hardware products and related software and subscription services. Revenue is disaggregated into product and service categories. Product revenue primarily consists of sales of hardware devices that serve as the initial step in customer adoption of the Company’s cloud-based SaaS platform. Service revenue primarily consists of subscription services providing access to the Company’s software platform, along with related training, support, professional services such as onboarding and consulting, feasibility studies, and certain reseller exclusivity arrangements. The Company’s integrated hardware and software model is designed to expand customer adoption of its platform and strengthen reseller partnerships. All revenue for the periods presented was generated from customers located in the United States. (see Note 18,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exclusivity agreement on November 8, 2024, and a partner agreement on December 18, 2024, with a major reseller. The exclusivity agreement grants the reseller the exclusive right to sell the Company’s products for one year, with automatic renewal for up to four additional one-year periods if specified sales targets are achieved. The partner agreement provides a 5% purchasing incentive based on the reseller’s quarterly growth in total purchases and requires the Company to contribute at least 1% of revenue toward marketing activities, paid as a rebate. Management concluded that the exclusivity agreement, partner agreement, and future product purchase orders should be combined and accounted for as a single contract under ASC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exclusivity agreement, the Company received a $2,000,000 payment from the reseller. Since exclusivity does not represent a distinct performance obligation under ASC 606, the payment was recorded as deferred revenue. Revenue will be recognized over the contract term in proportion to the products and services delivered, based on estimated total sales over the five-year period. These estimates will be reviewed quarterly and adjusted based on the reseller’s actual performance. If the reseller fails to meet sales targets and the agreement is terminated, any remaining deferred revenue will be recognized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606, both the incentive and rebate represent variable consideration, as they depend on actual sales volume. Management will estimate expected sales and related rebates to determine the transaction price and recognize revenue accordingly. The purchasing incentive and marketing rebate are not separate performance obligations, and variable consideration related to these incentives will be included in revenue only when it is probable that no significant reversal will occur once uncertainties are resolved. The Company will accrue the incentive amount at the end of each quarter when sales revenue is finalized.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pays sales commissions to its sales personnel in connection with customer contracts. As the Company’s revenue is recognized at a point in time and the commission amounts are not significant relative to the related contract period, the Company applies the practical expedient under ASC 340-40 </w:t>
      </w:r>
      <w:r>
        <w:rPr>
          <w:rFonts w:ascii="Times New Roman;Times;Serif" w:hAnsi="Times New Roman;Times;Serif"/>
          <w:b w:val="false"/>
          <w:i/>
          <w:caps w:val="false"/>
          <w:smallCaps w:val="false"/>
          <w:sz w:val="20"/>
        </w:rPr>
        <w:t>Other Assets and Deferred Costs—Contracts with Customers</w:t>
      </w:r>
      <w:r>
        <w:rPr>
          <w:rFonts w:ascii="Times New Roman;Times;Serif" w:hAnsi="Times New Roman;Times;Serif"/>
          <w:b w:val="false"/>
          <w:i w:val="false"/>
          <w:caps w:val="false"/>
          <w:smallCaps w:val="false"/>
          <w:sz w:val="20"/>
        </w:rPr>
        <w:t>, to expense incremental costs of obtaining a contract when incurred. Accordingly, all commission expenses are recognized in the period the related customer contract is executed and are not capitalized.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when recording share-based compensation. The fair value of each stock option award is estimated on the date of grant using the Black-Scholes option valuation model. The assumptions used in the Black-Scholes valuation model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Grant Price - </w:t>
      </w:r>
      <w:r>
        <w:rPr>
          <w:rFonts w:ascii="Times New Roman;Times;Serif" w:hAnsi="Times New Roman;Times;Serif"/>
          <w:b w:val="false"/>
          <w:i w:val="false"/>
          <w:caps w:val="false"/>
          <w:smallCaps w:val="false"/>
          <w:sz w:val="20"/>
        </w:rPr>
        <w:t>The grant price of the issuances is determined based on the estimated fair value of the shares at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Risk-Free Interest Rate - </w:t>
      </w:r>
      <w:r>
        <w:rPr>
          <w:rFonts w:ascii="Times New Roman;Times;Serif" w:hAnsi="Times New Roman;Times;Serif"/>
          <w:b w:val="false"/>
          <w:i w:val="false"/>
          <w:caps w:val="false"/>
          <w:smallCaps w:val="false"/>
          <w:sz w:val="20"/>
        </w:rPr>
        <w:t>The risk-free interest rate for periods within the contractual life of the option is based on the U.S. Treasury yield in effect at the time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Expected Lives - </w:t>
      </w:r>
      <w:r>
        <w:rPr>
          <w:rFonts w:ascii="Times New Roman;Times;Serif" w:hAnsi="Times New Roman;Times;Serif"/>
          <w:b w:val="false"/>
          <w:i w:val="false"/>
          <w:caps w:val="false"/>
          <w:smallCaps w:val="false"/>
          <w:sz w:val="20"/>
        </w:rPr>
        <w:t>Due to the Company’s insufficient history of option activity, management utilizes the simplified approach to estimate the options’ expected term, which represents the period of time that options granted are expected to be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Volatility</w:t>
      </w:r>
      <w:r>
        <w:rPr>
          <w:rFonts w:ascii="Times New Roman;Times;Serif" w:hAnsi="Times New Roman;Times;Serif"/>
          <w:b w:val="false"/>
          <w:i w:val="false"/>
          <w:caps w:val="false"/>
          <w:smallCaps w:val="false"/>
          <w:sz w:val="20"/>
        </w:rPr>
        <w:t xml:space="preserve"> - Determined based on management’s estimate or historical volatilities of comparable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Expected Dividend Yield - </w:t>
      </w:r>
      <w:r>
        <w:rPr>
          <w:rFonts w:ascii="Times New Roman;Times;Serif" w:hAnsi="Times New Roman;Times;Serif"/>
          <w:b w:val="false"/>
          <w:i w:val="false"/>
          <w:caps w:val="false"/>
          <w:smallCaps w:val="false"/>
          <w:sz w:val="20"/>
        </w:rPr>
        <w:t>Based on current yield at the grant date or the average dividend yield over the historical period. The Company has never declared or paid dividends and has no plans to do so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share-based compensation (see Note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income taxes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a valuation allowance against deferred tax assets as deemed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As of December 31, 2025 and 2024, the Company has not identified any uncertain tax positions and, accordingly, has not recorded any liability for unrecognized tax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Basic and Diluted Net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common share is computed by dividing net loss for the period by the weighted-average number of common shares outstanding during the period. Diluted net loss per share is computed by dividing the net loss by the weighted-average number of common shares outstanding and potentially dilutive securities outstanding for the period using the treasury stock or if-converted method if their inclusion is dilutive. Diluted net loss per common share is the same as basic net loss per common share because the inclusion of potentially dilutive shares would be anti-dilutive to the calculation of loss and comprehensive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only one class of shares issued and outstanding. Accordingly, basic and diluted net loss per share is not allocated among multiple classes. Basic and diluted net loss per share for all periods prior to the Closing have been retrospectively adjusted by the exchange ratio to reflect the effect of the reverse recapitalization.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the Company inherited 15,675,000 public and private warrants from ShoulderUp, each exercisable at $11.50 per share. These warrants were considered antidilutive and excluded from the diluted net loss per share calculation for the years ended December 31, 2025 and 2024. During the years ended December 31, 2025, 20,017 of these warrants were forfeited, resulting in a net total of 15,654,983 warrants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and Integration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acquisition and integration costs of $1,154,857 for the year ended December 31, 2025, primarily related to professional fees, legal and accounting services, severance, and other costs associated with recent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transaction costs incurred in connection with de-SPAC transactions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Costs that are directly attributable to the issuance of equity instruments, such as legal, accounting, and advisory fees related to the merger and recapitalization, are recorded as a reduction to additional paid-in capital. Other costs that are not directly related to the equity issuance, including costs associated with Business Combination activities, are expensed as incurred. The Company evaluates each cost to determine the appropriate accounting treatment based on its nature and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Revisions and 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amounts have been reclassified to conform to the current period presentation. In connection with these reclassifications, certain amounts previously reported within cost of goods sold have been reclassified to operating expense categories, including general and administrative expenses, research and development expenses, sales and marketing expenses, and acquisition and integration expenses, based on the nature of the underlying costs. These reclassifications had no impact on total revenue, loss from operations, net loss, or shareholders’ equity (deficit) for the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amounts in the consolidated statements of cash flows have also been revised to conform to the current period presentation. Specifically, amounts previously presented as short-term debt, net have been revised to proceeds from issuance of bridge loans within financing activities. As a result of these revisions, net cash used in operating activities and net cash provided by financing activities were adjusted for the respective periods presented. These revisions had no impact on previously reported net loss, total cash flows, or the beginning and ending cash balances for any 2025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Business Combination and Reverse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the Company entered into a Business Combination Agreement with ShoulderUp, ShoulderUp Merger Sub, Inc., SEI Merger Sub, Inc. and the Legacy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Company consummated its Business Combination pursuant to the terms of the Business Combination Agreement. The Business Combination was structured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Closing, each ordinary share of ShoulderUp that was not redeemed or converted was exchanged for one share of CID Holdco Inc. Common Stock. Each issued and outstanding unit of ShoulderUp (“Unit”) was automatically separated into (i) one ordinary share and (ii) one-half of one warrant. Each whole warrant is exercisable to purchase one ordinary share at an exercise price of $11.50 per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total of 506,589 shares of Common Stock were issued to the public shareholders of ShoulderUp. An additional 6,698,333 shares were issued to ShoulderUp’s officers and directors, ShoulderUp Technology Sponsor LLC (the “Sponsor”), and each transferee of founder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1,345,001 shares of Common Stock were issued to certain original public shareholders who had previously agreed not to redeem their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482,500 shares of Common Stock were issued to the holders of the ShoulderUp bridge loan to partially settle the outstanding loan balance at Closing. Lastly, 150,000 shares were issued to legal services provider DLA Piper LLP to partially settle outstanding service fees, pursuant to the Expense Release and Payment Agreement executed on June 3,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SEE ID’s 108,975,000 Common Stock issued and outstanding immediately prior to the Closing was canceled and converted into 12,210,718 shares of the Company’s Common Stock after giving effect to the exchange ratio of 0.11205.</w:t>
            </w:r>
          </w:p>
        </w:tc>
      </w:tr>
    </w:tbl>
    <w:p>
      <w:pPr>
        <w:pStyle w:val="TextBody"/>
        <w:bidi w:val="0"/>
        <w:spacing w:before="0" w:after="0"/>
        <w:ind w:left="0" w:right="0" w:hanging="0"/>
        <w:jc w:val="both"/>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75"/>
        <w:gridCol w:w="170"/>
        <w:gridCol w:w="6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2,909,057 shares of Common Stock were issued to the SEE ID SAFE note holders.</w:t>
            </w:r>
          </w:p>
        </w:tc>
      </w:tr>
    </w:tbl>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11,205 shares of Common Stock were issued in exchange for financial advisory services at Closing.</w:t>
            </w:r>
          </w:p>
        </w:tc>
      </w:tr>
    </w:tbl>
    <w:p>
      <w:pPr>
        <w:pStyle w:val="TextBody"/>
        <w:bidi w:val="0"/>
        <w:spacing w:before="0" w:after="0"/>
        <w:ind w:left="0" w:right="0" w:hanging="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3,323,536 shares of Common Stock were issued to three major PIPE investors.</w:t>
            </w:r>
          </w:p>
        </w:tc>
      </w:tr>
    </w:tbl>
    <w:p>
      <w:pPr>
        <w:pStyle w:val="TextBody"/>
        <w:bidi w:val="0"/>
        <w:spacing w:before="0" w:after="0"/>
        <w:ind w:left="0" w:right="0" w:hanging="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assumed 15,654,983 public and private warrants of ShoulderUp, net of 20,017 forfeitures.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certain public shareholders of ShoulderUp exercised their rights to redeem certain ordinary shares for funds previously held in the trust account, resulting in the redemption of 2,000 ordinary shares for an aggregate payment of approximately $22,019. After redemptions, there was a total of 506,589 ordinary shares, which were converted into Common Stock in connection with the Business Combination, and approximately $5.58 million remained in the trust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Ownership Upon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issued in connection with the Business Combination and subsequent equity conversion was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48"/>
        <w:gridCol w:w="60"/>
        <w:gridCol w:w="82"/>
        <w:gridCol w:w="1513"/>
        <w:gridCol w:w="102"/>
      </w:tblGrid>
      <w:tr>
        <w:trPr/>
        <w:tc>
          <w:tcPr>
            <w:tcW w:w="8448"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102" w:type="dxa"/>
            <w:tcBorders/>
            <w:vAlign w:val="center"/>
          </w:tcPr>
          <w:p>
            <w:pPr>
              <w:pStyle w:val="TableContents"/>
              <w:bidi w:val="0"/>
              <w:spacing w:before="0" w:after="283"/>
              <w:ind w:left="0" w:right="0" w:hanging="180"/>
              <w:jc w:val="left"/>
              <w:rPr/>
            </w:pPr>
            <w:r>
              <w:rPr/>
              <w:t> </w:t>
            </w:r>
          </w:p>
        </w:tc>
      </w:tr>
      <w:tr>
        <w:trPr/>
        <w:tc>
          <w:tcPr>
            <w:tcW w:w="8448" w:type="dxa"/>
            <w:tcBorders/>
            <w:shd w:fill="CCEEFF" w:val="clear"/>
            <w:vAlign w:val="center"/>
          </w:tcPr>
          <w:p>
            <w:pPr>
              <w:pStyle w:val="TableContents"/>
              <w:bidi w:val="0"/>
              <w:spacing w:before="0" w:after="283"/>
              <w:jc w:val="left"/>
              <w:rPr/>
            </w:pPr>
            <w:r>
              <w:rPr/>
              <w:t>Ordinary shares, outstanding prior to the Business Combination</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508,589</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8448" w:type="dxa"/>
            <w:tcBorders/>
            <w:shd w:fill="FFFFFF" w:val="clear"/>
            <w:vAlign w:val="center"/>
          </w:tcPr>
          <w:p>
            <w:pPr>
              <w:pStyle w:val="TableContents"/>
              <w:bidi w:val="0"/>
              <w:spacing w:before="0" w:after="283"/>
              <w:jc w:val="left"/>
              <w:rPr/>
            </w:pPr>
            <w:r>
              <w:rPr/>
              <w:t>Less: Redemption of ordinary shares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pPr>
            <w:r>
              <w:rPr/>
              <w:t>(2,000</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8448" w:type="dxa"/>
            <w:tcBorders/>
            <w:shd w:fill="CCEEFF" w:val="clear"/>
            <w:vAlign w:val="center"/>
          </w:tcPr>
          <w:p>
            <w:pPr>
              <w:pStyle w:val="TableContents"/>
              <w:bidi w:val="0"/>
              <w:spacing w:before="0" w:after="283"/>
              <w:jc w:val="left"/>
              <w:rPr/>
            </w:pPr>
            <w:r>
              <w:rPr/>
              <w:t>Ordinary shares held by ShoulderUp’s officers and directors, the Sponsor and each transferee of founder shares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6,698,333</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8448" w:type="dxa"/>
            <w:tcBorders/>
            <w:shd w:fill="FFFFFF" w:val="clear"/>
            <w:vAlign w:val="center"/>
          </w:tcPr>
          <w:p>
            <w:pPr>
              <w:pStyle w:val="TableContents"/>
              <w:bidi w:val="0"/>
              <w:spacing w:before="0" w:after="283"/>
              <w:jc w:val="left"/>
              <w:rPr/>
            </w:pPr>
            <w:r>
              <w:rPr/>
              <w:t>Ordinary shares held by non-redemption share holders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pPr>
            <w:r>
              <w:rPr/>
              <w:t>1,345,001</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8448" w:type="dxa"/>
            <w:tcBorders/>
            <w:shd w:fill="CCEEFF" w:val="clear"/>
            <w:vAlign w:val="center"/>
          </w:tcPr>
          <w:p>
            <w:pPr>
              <w:pStyle w:val="TableContents"/>
              <w:bidi w:val="0"/>
              <w:spacing w:before="0" w:after="283"/>
              <w:jc w:val="left"/>
              <w:rPr/>
            </w:pPr>
            <w:r>
              <w:rPr/>
              <w:t>Ordinary shares held by ShoulderUp bridge loan holder</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482,500</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8448" w:type="dxa"/>
            <w:tcBorders/>
            <w:shd w:fill="FFFFFF" w:val="clear"/>
            <w:vAlign w:val="center"/>
          </w:tcPr>
          <w:p>
            <w:pPr>
              <w:pStyle w:val="TableContents"/>
              <w:bidi w:val="0"/>
              <w:spacing w:before="0" w:after="283"/>
              <w:jc w:val="left"/>
              <w:rPr/>
            </w:pPr>
            <w:r>
              <w:rPr/>
              <w:t>Ordinary shares held by DLA Piper, LLP</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pPr>
            <w:r>
              <w:rPr/>
              <w:t>150,000</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8448" w:type="dxa"/>
            <w:tcBorders/>
            <w:shd w:fill="CCEEFF" w:val="clear"/>
            <w:vAlign w:val="center"/>
          </w:tcPr>
          <w:p>
            <w:pPr>
              <w:pStyle w:val="TableContents"/>
              <w:bidi w:val="0"/>
              <w:spacing w:before="0" w:after="283"/>
              <w:jc w:val="left"/>
              <w:rPr/>
            </w:pPr>
            <w:r>
              <w:rPr/>
              <w:t>Common Stock issued to holders of SEE ID Inc.</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12,210,718</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8448" w:type="dxa"/>
            <w:tcBorders/>
            <w:shd w:fill="FFFFFF" w:val="clear"/>
            <w:vAlign w:val="center"/>
          </w:tcPr>
          <w:p>
            <w:pPr>
              <w:pStyle w:val="TableContents"/>
              <w:bidi w:val="0"/>
              <w:spacing w:before="0" w:after="283"/>
              <w:jc w:val="left"/>
              <w:rPr/>
            </w:pPr>
            <w:r>
              <w:rPr/>
              <w:t>Common Stock issued to SEE ID SAFE note holders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pPr>
            <w:r>
              <w:rPr/>
              <w:t>2,909,057</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8448" w:type="dxa"/>
            <w:tcBorders/>
            <w:shd w:fill="CCEEFF" w:val="clear"/>
            <w:vAlign w:val="center"/>
          </w:tcPr>
          <w:p>
            <w:pPr>
              <w:pStyle w:val="TableContents"/>
              <w:bidi w:val="0"/>
              <w:spacing w:before="0" w:after="283"/>
              <w:jc w:val="left"/>
              <w:rPr/>
            </w:pPr>
            <w:r>
              <w:rPr/>
              <w:t>Common Stock issued to StartUpNV</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11,205</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8448" w:type="dxa"/>
            <w:tcBorders/>
            <w:shd w:fill="FFFFFF" w:val="clear"/>
            <w:vAlign w:val="center"/>
          </w:tcPr>
          <w:p>
            <w:pPr>
              <w:pStyle w:val="TableContents"/>
              <w:bidi w:val="0"/>
              <w:spacing w:before="0" w:after="283"/>
              <w:jc w:val="left"/>
              <w:rPr/>
            </w:pPr>
            <w:r>
              <w:rPr/>
              <w:t>Common Stock issued to PIPE investors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13" w:type="dxa"/>
            <w:tcBorders>
              <w:bottom w:val="single" w:sz="12" w:space="0" w:color="000000"/>
            </w:tcBorders>
            <w:shd w:fill="FFFFFF" w:val="clear"/>
            <w:tcMar>
              <w:bottom w:w="28" w:type="dxa"/>
            </w:tcMar>
            <w:vAlign w:val="center"/>
          </w:tcPr>
          <w:p>
            <w:pPr>
              <w:pStyle w:val="TableContents"/>
              <w:bidi w:val="0"/>
              <w:spacing w:before="0" w:after="283"/>
              <w:jc w:val="right"/>
              <w:rPr/>
            </w:pPr>
            <w:r>
              <w:rPr/>
              <w:t>3,323,536</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8448" w:type="dxa"/>
            <w:tcBorders/>
            <w:shd w:fill="CCEEFF" w:val="clear"/>
            <w:vAlign w:val="center"/>
          </w:tcPr>
          <w:p>
            <w:pPr>
              <w:pStyle w:val="TableContents"/>
              <w:bidi w:val="0"/>
              <w:spacing w:before="0" w:after="283"/>
              <w:jc w:val="left"/>
              <w:rPr/>
            </w:pPr>
            <w:r>
              <w:rPr/>
              <w:t>Common Stock Upon the Business Combination</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13" w:type="dxa"/>
            <w:tcBorders>
              <w:bottom w:val="double" w:sz="10" w:space="0" w:color="000000"/>
            </w:tcBorders>
            <w:shd w:fill="CCEEFF" w:val="clear"/>
            <w:tcMar>
              <w:bottom w:w="28" w:type="dxa"/>
            </w:tcMar>
            <w:vAlign w:val="center"/>
          </w:tcPr>
          <w:p>
            <w:pPr>
              <w:pStyle w:val="TableContents"/>
              <w:bidi w:val="0"/>
              <w:spacing w:before="0" w:after="283"/>
              <w:jc w:val="right"/>
              <w:rPr/>
            </w:pPr>
            <w:r>
              <w:rPr/>
              <w:t>27,636,939</w:t>
            </w:r>
          </w:p>
        </w:tc>
        <w:tc>
          <w:tcPr>
            <w:tcW w:w="10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Legacy Company incurred $2,726,183 in transaction costs in connection with the Business Combination, which was determined not to be a capital-raising transaction for the Legacy Company. The $2,726,183 consists of the following:</w:t>
      </w:r>
    </w:p>
    <w:p>
      <w:pPr>
        <w:pStyle w:val="TextBody"/>
        <w:bidi w:val="0"/>
        <w:spacing w:before="0" w:after="0"/>
        <w:ind w:left="0" w:right="0" w:hanging="0"/>
        <w:jc w:val="both"/>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$1,003,500 in assumed expenses from ShoulderUp for financial advisory services provided by Cohen Capital Markets;</w:t>
            </w:r>
          </w:p>
        </w:tc>
      </w:tr>
    </w:tbl>
    <w:p>
      <w:pPr>
        <w:pStyle w:val="TextBody"/>
        <w:bidi w:val="0"/>
        <w:spacing w:before="0" w:after="0"/>
        <w:ind w:left="0" w:right="0" w:hanging="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75"/>
        <w:gridCol w:w="170"/>
        <w:gridCol w:w="5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$156,870 for financial advisory services provided by a financial advisor;</w:t>
            </w:r>
          </w:p>
        </w:tc>
      </w:tr>
    </w:tbl>
    <w:p>
      <w:pPr>
        <w:pStyle w:val="TextBody"/>
        <w:bidi w:val="0"/>
        <w:spacing w:before="0" w:after="0"/>
        <w:ind w:left="0" w:right="0" w:hanging="0"/>
        <w:jc w:val="both"/>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170"/>
        <w:gridCol w:w="5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$295,000 in registration fees paid to Nasdaq Corporate Solutions, LLC;</w:t>
            </w:r>
          </w:p>
        </w:tc>
      </w:tr>
    </w:tbl>
    <w:p>
      <w:pPr>
        <w:pStyle w:val="TextBody"/>
        <w:bidi w:val="0"/>
        <w:spacing w:before="0" w:after="0"/>
        <w:ind w:left="0" w:right="0" w:hanging="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170"/>
        <w:gridCol w:w="4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$271,079 paid to Continental Stock Transfer &amp; Trust Co.;</w:t>
            </w:r>
          </w:p>
        </w:tc>
      </w:tr>
    </w:tbl>
    <w:p>
      <w:pPr>
        <w:pStyle w:val="TextBody"/>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170"/>
        <w:gridCol w:w="3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$126,812 paid to Edgar Agents, LLC; and</w:t>
            </w:r>
          </w:p>
        </w:tc>
      </w:tr>
    </w:tbl>
    <w:p>
      <w:pPr>
        <w:pStyle w:val="TextBody"/>
        <w:bidi w:val="0"/>
        <w:spacing w:before="0" w:after="0"/>
        <w:ind w:left="0" w:right="0" w:hanging="0"/>
        <w:jc w:val="both"/>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$872,922 in bonus expenses related to the successful closing of the Business Combination.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reconcile elements of the Business Combination to the Company’s consolidated financial statements, and should be read in conjunction with the footnotes referenced above:</w:t>
      </w:r>
    </w:p>
    <w:p>
      <w:pPr>
        <w:pStyle w:val="TextBody"/>
        <w:bidi w:val="0"/>
        <w:spacing w:before="0" w:after="0"/>
        <w:ind w:left="0" w:right="0" w:hanging="0"/>
        <w:jc w:val="both"/>
        <w:rPr>
          <w:caps w:val="false"/>
          <w:smallCaps w:val="false"/>
        </w:rPr>
      </w:pPr>
      <w:r>
        <w:rPr>
          <w:caps w:val="false"/>
          <w:smallCaps w:val="false"/>
        </w:rPr>
        <w:t> </w:t>
      </w:r>
    </w:p>
    <w:tbl>
      <w:tblPr>
        <w:tblW w:w="8670" w:type="dxa"/>
        <w:jc w:val="left"/>
        <w:tblInd w:w="0" w:type="dxa"/>
        <w:tblLayout w:type="fixed"/>
        <w:tblCellMar>
          <w:top w:w="0" w:type="dxa"/>
          <w:left w:w="0" w:type="dxa"/>
          <w:bottom w:w="0" w:type="dxa"/>
          <w:right w:w="0" w:type="dxa"/>
        </w:tblCellMar>
      </w:tblPr>
      <w:tblGrid>
        <w:gridCol w:w="6845"/>
        <w:gridCol w:w="60"/>
        <w:gridCol w:w="186"/>
        <w:gridCol w:w="1469"/>
        <w:gridCol w:w="110"/>
      </w:tblGrid>
      <w:tr>
        <w:trPr/>
        <w:tc>
          <w:tcPr>
            <w:tcW w:w="6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Recapitalization</w:t>
            </w:r>
          </w:p>
        </w:tc>
        <w:tc>
          <w:tcPr>
            <w:tcW w:w="110" w:type="dxa"/>
            <w:tcBorders/>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i/>
              </w:rPr>
            </w:pPr>
            <w:r>
              <w:rPr>
                <w:i/>
              </w:rPr>
              <w:t>Closing proceeds</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Proceeds from Trust account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469" w:type="dxa"/>
            <w:tcBorders/>
            <w:shd w:fill="CCEEFF" w:val="clear"/>
            <w:vAlign w:val="center"/>
          </w:tcPr>
          <w:p>
            <w:pPr>
              <w:pStyle w:val="TableContents"/>
              <w:bidi w:val="0"/>
              <w:spacing w:before="0" w:after="283"/>
              <w:jc w:val="right"/>
              <w:rPr/>
            </w:pPr>
            <w:r>
              <w:rPr/>
              <w:t>5,577,304</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Proceeds from PIPE investors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10,837,643</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Proceeds from legacy ShoulderUp bank accounts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74,501</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i/>
              </w:rPr>
            </w:pPr>
            <w:r>
              <w:rPr>
                <w:i/>
              </w:rPr>
              <w:t>Closing disbursements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Less: Payment to purchase founder shares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9" w:type="dxa"/>
            <w:tcBorders>
              <w:bottom w:val="single" w:sz="12" w:space="0" w:color="000000"/>
            </w:tcBorders>
            <w:shd w:fill="CCEEFF" w:val="clear"/>
            <w:tcMar>
              <w:bottom w:w="28" w:type="dxa"/>
            </w:tcMar>
            <w:vAlign w:val="center"/>
          </w:tcPr>
          <w:p>
            <w:pPr>
              <w:pStyle w:val="TableContents"/>
              <w:bidi w:val="0"/>
              <w:spacing w:before="0" w:after="283"/>
              <w:jc w:val="right"/>
              <w:rPr/>
            </w:pPr>
            <w:r>
              <w:rPr/>
              <w:t>(5,000,000</w:t>
            </w:r>
          </w:p>
        </w:tc>
        <w:tc>
          <w:tcPr>
            <w:tcW w:w="110" w:type="dxa"/>
            <w:tcBorders/>
            <w:shd w:fill="CCEEFF" w:val="clear"/>
            <w:vAlign w:val="center"/>
          </w:tcPr>
          <w:p>
            <w:pPr>
              <w:pStyle w:val="TableContents"/>
              <w:bidi w:val="0"/>
              <w:spacing w:before="0" w:after="283"/>
              <w:jc w:val="left"/>
              <w:rPr/>
            </w:pPr>
            <w:r>
              <w:rPr/>
              <w:t>)</w:t>
            </w:r>
          </w:p>
        </w:tc>
      </w:tr>
      <w:tr>
        <w:trPr/>
        <w:tc>
          <w:tcPr>
            <w:tcW w:w="6845" w:type="dxa"/>
            <w:tcBorders/>
            <w:shd w:fill="FFFFFF" w:val="clear"/>
            <w:vAlign w:val="center"/>
          </w:tcPr>
          <w:p>
            <w:pPr>
              <w:pStyle w:val="TableContents"/>
              <w:bidi w:val="0"/>
              <w:spacing w:before="0" w:after="283"/>
              <w:jc w:val="left"/>
              <w:rPr>
                <w:b/>
              </w:rPr>
            </w:pPr>
            <w:r>
              <w:rPr>
                <w:b/>
              </w:rPr>
              <w:t>Net cash proceeds from the Business Combination</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469" w:type="dxa"/>
            <w:tcBorders>
              <w:bottom w:val="single" w:sz="12" w:space="0" w:color="000000"/>
            </w:tcBorders>
            <w:shd w:fill="FFFFFF" w:val="clear"/>
            <w:tcMar>
              <w:bottom w:w="28" w:type="dxa"/>
            </w:tcMar>
            <w:vAlign w:val="center"/>
          </w:tcPr>
          <w:p>
            <w:pPr>
              <w:pStyle w:val="TableContents"/>
              <w:bidi w:val="0"/>
              <w:spacing w:before="0" w:after="283"/>
              <w:jc w:val="right"/>
              <w:rPr/>
            </w:pPr>
            <w:r>
              <w:rPr/>
              <w:t>11,489,448</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i/>
              </w:rPr>
            </w:pPr>
            <w:r>
              <w:rPr>
                <w:i/>
              </w:rPr>
              <w:t>Noncash activities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Conversion of SAFE notes to equity</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40,726,793</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Conversion of short-term debt to equity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8,597,749</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Transaction costs paid in shares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156,870</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Less: Accrued taxes assumed from ShoulderUp</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(3,913,668</w:t>
            </w:r>
          </w:p>
        </w:tc>
        <w:tc>
          <w:tcPr>
            <w:tcW w:w="110" w:type="dxa"/>
            <w:tcBorders/>
            <w:shd w:fill="CCEEFF" w:val="clear"/>
            <w:vAlign w:val="center"/>
          </w:tcPr>
          <w:p>
            <w:pPr>
              <w:pStyle w:val="TableContents"/>
              <w:bidi w:val="0"/>
              <w:spacing w:before="0" w:after="283"/>
              <w:jc w:val="left"/>
              <w:rPr/>
            </w:pPr>
            <w:r>
              <w:rPr/>
              <w:t>)</w:t>
            </w:r>
          </w:p>
        </w:tc>
      </w:tr>
      <w:tr>
        <w:trPr/>
        <w:tc>
          <w:tcPr>
            <w:tcW w:w="6845" w:type="dxa"/>
            <w:tcBorders/>
            <w:shd w:fill="FFFFFF" w:val="clear"/>
            <w:vAlign w:val="center"/>
          </w:tcPr>
          <w:p>
            <w:pPr>
              <w:pStyle w:val="TableContents"/>
              <w:bidi w:val="0"/>
              <w:spacing w:before="0" w:after="283"/>
              <w:jc w:val="left"/>
              <w:rPr/>
            </w:pPr>
            <w:r>
              <w:rPr/>
              <w:t>Less: Short-term debt assumed from ShoulderUp</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9" w:type="dxa"/>
            <w:tcBorders>
              <w:bottom w:val="single" w:sz="12" w:space="0" w:color="000000"/>
            </w:tcBorders>
            <w:shd w:fill="FFFFFF" w:val="clear"/>
            <w:tcMar>
              <w:bottom w:w="28" w:type="dxa"/>
            </w:tcMar>
            <w:vAlign w:val="center"/>
          </w:tcPr>
          <w:p>
            <w:pPr>
              <w:pStyle w:val="TableContents"/>
              <w:bidi w:val="0"/>
              <w:spacing w:before="0" w:after="283"/>
              <w:jc w:val="right"/>
              <w:rPr/>
            </w:pPr>
            <w:r>
              <w:rPr/>
              <w:t>(900,000</w:t>
            </w:r>
          </w:p>
        </w:tc>
        <w:tc>
          <w:tcPr>
            <w:tcW w:w="110" w:type="dxa"/>
            <w:tcBorders/>
            <w:shd w:fill="FFFFFF" w:val="clear"/>
            <w:vAlign w:val="center"/>
          </w:tcPr>
          <w:p>
            <w:pPr>
              <w:pStyle w:val="TableContents"/>
              <w:bidi w:val="0"/>
              <w:spacing w:before="0" w:after="283"/>
              <w:jc w:val="left"/>
              <w:rPr/>
            </w:pPr>
            <w:r>
              <w:rPr/>
              <w:t>)</w:t>
            </w:r>
          </w:p>
        </w:tc>
      </w:tr>
      <w:tr>
        <w:trPr/>
        <w:tc>
          <w:tcPr>
            <w:tcW w:w="6845" w:type="dxa"/>
            <w:tcBorders/>
            <w:shd w:fill="CCEEFF" w:val="clear"/>
            <w:vAlign w:val="center"/>
          </w:tcPr>
          <w:p>
            <w:pPr>
              <w:pStyle w:val="TableContents"/>
              <w:bidi w:val="0"/>
              <w:spacing w:before="0" w:after="283"/>
              <w:jc w:val="left"/>
              <w:rPr>
                <w:b/>
              </w:rPr>
            </w:pPr>
            <w:r>
              <w:rPr>
                <w:b/>
              </w:rPr>
              <w:t>Net equity impact of the Business Combination</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69" w:type="dxa"/>
            <w:tcBorders>
              <w:bottom w:val="double" w:sz="10" w:space="0" w:color="000000"/>
            </w:tcBorders>
            <w:shd w:fill="CCEEFF" w:val="clear"/>
            <w:tcMar>
              <w:bottom w:w="28" w:type="dxa"/>
            </w:tcMar>
            <w:vAlign w:val="center"/>
          </w:tcPr>
          <w:p>
            <w:pPr>
              <w:pStyle w:val="TableContents"/>
              <w:bidi w:val="0"/>
              <w:spacing w:before="0" w:after="283"/>
              <w:jc w:val="right"/>
              <w:rPr/>
            </w:pPr>
            <w:r>
              <w:rPr/>
              <w:t>56,157,192</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Par value of common stock issued</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(1,543</w:t>
            </w:r>
          </w:p>
        </w:tc>
        <w:tc>
          <w:tcPr>
            <w:tcW w:w="110" w:type="dxa"/>
            <w:tcBorders/>
            <w:shd w:fill="FFFFFF" w:val="clear"/>
            <w:vAlign w:val="center"/>
          </w:tcPr>
          <w:p>
            <w:pPr>
              <w:pStyle w:val="TableContents"/>
              <w:bidi w:val="0"/>
              <w:spacing w:before="0" w:after="283"/>
              <w:jc w:val="left"/>
              <w:rPr/>
            </w:pPr>
            <w:r>
              <w:rPr/>
              <w:t>)</w:t>
            </w:r>
          </w:p>
        </w:tc>
      </w:tr>
      <w:tr>
        <w:trPr/>
        <w:tc>
          <w:tcPr>
            <w:tcW w:w="6845" w:type="dxa"/>
            <w:tcBorders/>
            <w:shd w:fill="CCEEFF" w:val="clear"/>
            <w:vAlign w:val="center"/>
          </w:tcPr>
          <w:p>
            <w:pPr>
              <w:pStyle w:val="TableContents"/>
              <w:bidi w:val="0"/>
              <w:spacing w:before="0" w:after="283"/>
              <w:jc w:val="left"/>
              <w:rPr>
                <w:b/>
              </w:rPr>
            </w:pPr>
            <w:r>
              <w:rPr>
                <w:b/>
              </w:rPr>
              <w:t>Total Impact of Business Combination on additional paid-in capital</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69" w:type="dxa"/>
            <w:tcBorders>
              <w:bottom w:val="single" w:sz="12" w:space="0" w:color="000000"/>
            </w:tcBorders>
            <w:shd w:fill="CCEEFF" w:val="clear"/>
            <w:tcMar>
              <w:bottom w:w="28" w:type="dxa"/>
            </w:tcMar>
            <w:vAlign w:val="center"/>
          </w:tcPr>
          <w:p>
            <w:pPr>
              <w:pStyle w:val="TableContents"/>
              <w:bidi w:val="0"/>
              <w:spacing w:before="0" w:after="283"/>
              <w:jc w:val="right"/>
              <w:rPr/>
            </w:pPr>
            <w:r>
              <w:rPr/>
              <w:t>56,155,649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Bridge Loan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Legacy Company entered into unsecured bridge loan agreements with two major lenders, totaling $2,850,000 in principal. These loans bear interest at an annual rate of 20%, calculated on a 365-day basis, and include a minimum interest provision requiring payment of at least 8% or 10% of the principal amount if repaid prior to their six-month maturity dates. As of the date of Closing, the Company recorded an accrued interest liability of $280,000, which was settled at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one of the lenders elected to convert a portion of its outstanding principal and accrued interest into 614,125 shares of Common Stock, based on a conversion price of $4.00 per share. The other lender opted to receive full repayment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transaction:</w:t>
      </w:r>
    </w:p>
    <w:p>
      <w:pPr>
        <w:pStyle w:val="TextBody"/>
        <w:bidi w:val="0"/>
        <w:spacing w:before="0" w:after="0"/>
        <w:ind w:left="0" w:right="0" w:hanging="0"/>
        <w:jc w:val="left"/>
        <w:rPr>
          <w:caps w:val="false"/>
          <w:smallCaps w:val="false"/>
        </w:rPr>
      </w:pPr>
      <w:r>
        <w:rPr>
          <w:caps w:val="false"/>
          <w:smallCaps w:val="false"/>
        </w:rPr>
        <w:t> </w:t>
      </w:r>
    </w:p>
    <w:tbl>
      <w:tblPr>
        <w:tblW w:w="9073" w:type="dxa"/>
        <w:jc w:val="left"/>
        <w:tblInd w:w="0" w:type="dxa"/>
        <w:tblLayout w:type="fixed"/>
        <w:tblCellMar>
          <w:top w:w="0" w:type="dxa"/>
          <w:left w:w="0" w:type="dxa"/>
          <w:bottom w:w="28" w:type="dxa"/>
          <w:right w:w="0" w:type="dxa"/>
        </w:tblCellMar>
      </w:tblPr>
      <w:tblGrid>
        <w:gridCol w:w="1445"/>
        <w:gridCol w:w="60"/>
        <w:gridCol w:w="980"/>
        <w:gridCol w:w="60"/>
        <w:gridCol w:w="140"/>
        <w:gridCol w:w="980"/>
        <w:gridCol w:w="60"/>
        <w:gridCol w:w="60"/>
        <w:gridCol w:w="157"/>
        <w:gridCol w:w="897"/>
        <w:gridCol w:w="60"/>
        <w:gridCol w:w="60"/>
        <w:gridCol w:w="240"/>
        <w:gridCol w:w="1504"/>
        <w:gridCol w:w="95"/>
        <w:gridCol w:w="60"/>
        <w:gridCol w:w="145"/>
        <w:gridCol w:w="1015"/>
        <w:gridCol w:w="60"/>
        <w:gridCol w:w="60"/>
        <w:gridCol w:w="60"/>
        <w:gridCol w:w="800"/>
        <w:gridCol w:w="75"/>
      </w:tblGrid>
      <w:tr>
        <w:trPr/>
        <w:tc>
          <w:tcPr>
            <w:tcW w:w="1445" w:type="dxa"/>
            <w:tcBorders>
              <w:bottom w:val="single" w:sz="12" w:space="0" w:color="000000"/>
            </w:tcBorders>
            <w:vAlign w:val="center"/>
          </w:tcPr>
          <w:p>
            <w:pPr>
              <w:pStyle w:val="TableContents"/>
              <w:bidi w:val="0"/>
              <w:spacing w:before="0" w:after="283"/>
              <w:jc w:val="left"/>
              <w:rPr>
                <w:b/>
              </w:rPr>
            </w:pPr>
            <w:r>
              <w:rPr>
                <w:b/>
              </w:rPr>
              <w:t>Bridge Loans</w:t>
            </w:r>
          </w:p>
        </w:tc>
        <w:tc>
          <w:tcPr>
            <w:tcW w:w="60" w:type="dxa"/>
            <w:tcBorders/>
            <w:tcMar>
              <w:bottom w:w="0"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center"/>
              <w:rPr>
                <w:b/>
              </w:rPr>
            </w:pPr>
            <w:r>
              <w:rPr>
                <w:b/>
              </w:rPr>
              <w:t>Effective</w:t>
              <w:br/>
              <w:t>Date</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12" w:space="0" w:color="000000"/>
            </w:tcBorders>
            <w:vAlign w:val="center"/>
          </w:tcPr>
          <w:p>
            <w:pPr>
              <w:pStyle w:val="TableContents"/>
              <w:bidi w:val="0"/>
              <w:spacing w:before="0" w:after="283"/>
              <w:jc w:val="center"/>
              <w:rPr>
                <w:b/>
              </w:rPr>
            </w:pPr>
            <w:r>
              <w:rPr>
                <w:b/>
              </w:rPr>
              <w:t>Interest at</w:t>
              <w:br/>
              <w:t>closing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4" w:type="dxa"/>
            <w:gridSpan w:val="2"/>
            <w:tcBorders>
              <w:bottom w:val="single" w:sz="12" w:space="0" w:color="000000"/>
            </w:tcBorders>
            <w:vAlign w:val="center"/>
          </w:tcPr>
          <w:p>
            <w:pPr>
              <w:pStyle w:val="TableContents"/>
              <w:bidi w:val="0"/>
              <w:spacing w:before="0" w:after="283"/>
              <w:jc w:val="center"/>
              <w:rPr>
                <w:b/>
              </w:rPr>
            </w:pPr>
            <w:r>
              <w:rPr>
                <w:b/>
              </w:rPr>
              <w:t>Payback in Cash</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Payback in</w:t>
              <w:br/>
              <w:t>shares at</w:t>
              <w:br/>
              <w:t>$4/share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Shares</w:t>
            </w:r>
          </w:p>
        </w:tc>
        <w:tc>
          <w:tcPr>
            <w:tcW w:w="75" w:type="dxa"/>
            <w:tcBorders/>
            <w:tcMar>
              <w:bottom w:w="0" w:type="dxa"/>
            </w:tcMar>
            <w:vAlign w:val="center"/>
          </w:tcPr>
          <w:p>
            <w:pPr>
              <w:pStyle w:val="TableContents"/>
              <w:bidi w:val="0"/>
              <w:spacing w:before="0" w:after="283"/>
              <w:jc w:val="left"/>
              <w:rPr/>
            </w:pPr>
            <w:r>
              <w:rPr/>
              <w:t> </w:t>
            </w:r>
          </w:p>
        </w:tc>
      </w:tr>
      <w:tr>
        <w:trPr/>
        <w:tc>
          <w:tcPr>
            <w:tcW w:w="1445" w:type="dxa"/>
            <w:tcBorders/>
            <w:shd w:fill="CCEEFF" w:val="clear"/>
            <w:tcMar>
              <w:bottom w:w="0" w:type="dxa"/>
            </w:tcMar>
            <w:vAlign w:val="center"/>
          </w:tcPr>
          <w:p>
            <w:pPr>
              <w:pStyle w:val="TableContents"/>
              <w:bidi w:val="0"/>
              <w:spacing w:before="0" w:after="283"/>
              <w:jc w:val="left"/>
              <w:rPr/>
            </w:pPr>
            <w:r>
              <w:rPr/>
              <w:t>Bridge loan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1/29/2025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w:t>
            </w:r>
          </w:p>
        </w:tc>
        <w:tc>
          <w:tcPr>
            <w:tcW w:w="897" w:type="dxa"/>
            <w:tcBorders/>
            <w:shd w:fill="CCEEFF" w:val="clear"/>
            <w:tcMar>
              <w:bottom w:w="0" w:type="dxa"/>
            </w:tcMar>
            <w:vAlign w:val="center"/>
          </w:tcPr>
          <w:p>
            <w:pPr>
              <w:pStyle w:val="TableContents"/>
              <w:bidi w:val="0"/>
              <w:spacing w:before="0" w:after="283"/>
              <w:jc w:val="right"/>
              <w:rPr/>
            </w:pPr>
            <w:r>
              <w:rPr/>
              <w:t>150,000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w:t>
            </w:r>
          </w:p>
        </w:tc>
        <w:tc>
          <w:tcPr>
            <w:tcW w:w="1504" w:type="dxa"/>
            <w:tcBorders/>
            <w:shd w:fill="CCEEFF" w:val="clear"/>
            <w:tcMar>
              <w:bottom w:w="0" w:type="dxa"/>
            </w:tcMar>
            <w:vAlign w:val="center"/>
          </w:tcPr>
          <w:p>
            <w:pPr>
              <w:pStyle w:val="TableContents"/>
              <w:bidi w:val="0"/>
              <w:spacing w:before="0" w:after="283"/>
              <w:jc w:val="right"/>
              <w:rPr/>
            </w:pPr>
            <w:r>
              <w:rPr/>
              <w:t>(193,500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15" w:type="dxa"/>
            <w:tcBorders/>
            <w:shd w:fill="CCEEFF" w:val="clear"/>
            <w:tcMar>
              <w:bottom w:w="0" w:type="dxa"/>
            </w:tcMar>
            <w:vAlign w:val="center"/>
          </w:tcPr>
          <w:p>
            <w:pPr>
              <w:pStyle w:val="TableContents"/>
              <w:bidi w:val="0"/>
              <w:spacing w:before="0" w:after="283"/>
              <w:jc w:val="right"/>
              <w:rPr/>
            </w:pPr>
            <w:r>
              <w:rPr/>
              <w:t>1,456,500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364,125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45" w:type="dxa"/>
            <w:tcBorders/>
            <w:shd w:fill="FFFFFF" w:val="clear"/>
            <w:tcMar>
              <w:bottom w:w="0" w:type="dxa"/>
            </w:tcMar>
            <w:vAlign w:val="center"/>
          </w:tcPr>
          <w:p>
            <w:pPr>
              <w:pStyle w:val="TableContents"/>
              <w:bidi w:val="0"/>
              <w:spacing w:before="0" w:after="283"/>
              <w:jc w:val="left"/>
              <w:rPr/>
            </w:pPr>
            <w:r>
              <w:rPr/>
              <w:t>Bridge loan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4/9/2025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7"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1504" w:type="dxa"/>
            <w:tcBorders/>
            <w:shd w:fill="FFFFFF" w:val="clear"/>
            <w:tcMar>
              <w:bottom w:w="0" w:type="dxa"/>
            </w:tcMar>
            <w:vAlign w:val="center"/>
          </w:tcPr>
          <w:p>
            <w:pPr>
              <w:pStyle w:val="TableContents"/>
              <w:bidi w:val="0"/>
              <w:spacing w:before="0" w:after="283"/>
              <w:jc w:val="right"/>
              <w:rPr/>
            </w:pPr>
            <w:r>
              <w:rPr/>
              <w:t>(50,000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15"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125,000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45" w:type="dxa"/>
            <w:tcBorders/>
            <w:shd w:fill="CCEEFF" w:val="clear"/>
            <w:tcMar>
              <w:bottom w:w="0" w:type="dxa"/>
            </w:tcMar>
            <w:vAlign w:val="center"/>
          </w:tcPr>
          <w:p>
            <w:pPr>
              <w:pStyle w:val="TableContents"/>
              <w:bidi w:val="0"/>
              <w:spacing w:before="0" w:after="283"/>
              <w:jc w:val="left"/>
              <w:rPr/>
            </w:pPr>
            <w:r>
              <w:rPr/>
              <w:t>Bridge loan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5/7/2025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1504" w:type="dxa"/>
            <w:tcBorders/>
            <w:shd w:fill="CCEEFF" w:val="clear"/>
            <w:tcMar>
              <w:bottom w:w="0" w:type="dxa"/>
            </w:tcMar>
            <w:vAlign w:val="center"/>
          </w:tcPr>
          <w:p>
            <w:pPr>
              <w:pStyle w:val="TableContents"/>
              <w:bidi w:val="0"/>
              <w:spacing w:before="0" w:after="283"/>
              <w:jc w:val="right"/>
              <w:rPr/>
            </w:pPr>
            <w:r>
              <w:rPr/>
              <w:t>(50,000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15"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45" w:type="dxa"/>
            <w:tcBorders/>
            <w:shd w:fill="FFFFFF" w:val="clear"/>
            <w:tcMar>
              <w:bottom w:w="0" w:type="dxa"/>
            </w:tcMar>
            <w:vAlign w:val="center"/>
          </w:tcPr>
          <w:p>
            <w:pPr>
              <w:pStyle w:val="TableContents"/>
              <w:bidi w:val="0"/>
              <w:spacing w:before="0" w:after="283"/>
              <w:jc w:val="left"/>
              <w:rPr/>
            </w:pPr>
            <w:r>
              <w:rPr/>
              <w:t>Bridge loan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3/29/2025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7" w:type="dxa"/>
            <w:tcBorders/>
            <w:shd w:fill="FFFFFF" w:val="clear"/>
            <w:tcMar>
              <w:bottom w:w="0" w:type="dxa"/>
            </w:tcMar>
            <w:vAlign w:val="center"/>
          </w:tcPr>
          <w:p>
            <w:pPr>
              <w:pStyle w:val="TableContents"/>
              <w:bidi w:val="0"/>
              <w:spacing w:before="0" w:after="283"/>
              <w:jc w:val="right"/>
              <w:rPr/>
            </w:pPr>
            <w:r>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1504" w:type="dxa"/>
            <w:tcBorders/>
            <w:shd w:fill="FFFFFF" w:val="clear"/>
            <w:tcMar>
              <w:bottom w:w="0" w:type="dxa"/>
            </w:tcMar>
            <w:vAlign w:val="center"/>
          </w:tcPr>
          <w:p>
            <w:pPr>
              <w:pStyle w:val="TableContents"/>
              <w:bidi w:val="0"/>
              <w:spacing w:before="0" w:after="283"/>
              <w:jc w:val="right"/>
              <w:rPr/>
            </w:pPr>
            <w:r>
              <w:rPr/>
              <w:t>(110,000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1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45" w:type="dxa"/>
            <w:tcBorders/>
            <w:shd w:fill="CCEEFF" w:val="clear"/>
            <w:tcMar>
              <w:bottom w:w="0" w:type="dxa"/>
            </w:tcMar>
            <w:vAlign w:val="center"/>
          </w:tcPr>
          <w:p>
            <w:pPr>
              <w:pStyle w:val="TableContents"/>
              <w:bidi w:val="0"/>
              <w:spacing w:before="0" w:after="283"/>
              <w:jc w:val="left"/>
              <w:rPr/>
            </w:pPr>
            <w:r>
              <w:rPr/>
              <w:t>Bridge loan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6/5/2025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CCEEFF" w:val="clear"/>
            <w:vAlign w:val="center"/>
          </w:tcPr>
          <w:p>
            <w:pPr>
              <w:pStyle w:val="TableContents"/>
              <w:bidi w:val="0"/>
              <w:spacing w:before="0" w:after="283"/>
              <w:jc w:val="left"/>
              <w:rPr/>
            </w:pPr>
            <w:r>
              <w:rPr/>
              <w:t> </w:t>
            </w:r>
          </w:p>
        </w:tc>
        <w:tc>
          <w:tcPr>
            <w:tcW w:w="897" w:type="dxa"/>
            <w:tcBorders>
              <w:bottom w:val="single" w:sz="12" w:space="0" w:color="000000"/>
            </w:tcBorders>
            <w:shd w:fill="CCEEFF" w:val="clear"/>
            <w:vAlign w:val="center"/>
          </w:tcPr>
          <w:p>
            <w:pPr>
              <w:pStyle w:val="TableContents"/>
              <w:bidi w:val="0"/>
              <w:spacing w:before="0" w:after="283"/>
              <w:jc w:val="right"/>
              <w:rPr/>
            </w:pPr>
            <w:r>
              <w:rPr/>
              <w:t>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bottom w:val="single" w:sz="12" w:space="0" w:color="000000"/>
            </w:tcBorders>
            <w:shd w:fill="CCEEFF" w:val="clear"/>
            <w:vAlign w:val="center"/>
          </w:tcPr>
          <w:p>
            <w:pPr>
              <w:pStyle w:val="TableContents"/>
              <w:bidi w:val="0"/>
              <w:spacing w:before="0" w:after="283"/>
              <w:jc w:val="left"/>
              <w:rPr/>
            </w:pPr>
            <w:r>
              <w:rPr/>
              <w:t> </w:t>
            </w:r>
          </w:p>
        </w:tc>
        <w:tc>
          <w:tcPr>
            <w:tcW w:w="1504" w:type="dxa"/>
            <w:tcBorders>
              <w:bottom w:val="single" w:sz="12" w:space="0" w:color="000000"/>
            </w:tcBorders>
            <w:shd w:fill="CCEEFF" w:val="clear"/>
            <w:vAlign w:val="center"/>
          </w:tcPr>
          <w:p>
            <w:pPr>
              <w:pStyle w:val="TableContents"/>
              <w:bidi w:val="0"/>
              <w:spacing w:before="0" w:after="283"/>
              <w:jc w:val="right"/>
              <w:rPr/>
            </w:pPr>
            <w:r>
              <w:rPr/>
              <w:t>(270,000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shd w:fill="CCEEFF" w:val="clear"/>
            <w:vAlign w:val="center"/>
          </w:tcPr>
          <w:p>
            <w:pPr>
              <w:pStyle w:val="TableContents"/>
              <w:bidi w:val="0"/>
              <w:spacing w:before="0" w:after="283"/>
              <w:jc w:val="left"/>
              <w:rPr/>
            </w:pPr>
            <w:r>
              <w:rPr/>
              <w:t> </w:t>
            </w:r>
          </w:p>
        </w:tc>
        <w:tc>
          <w:tcPr>
            <w:tcW w:w="1015"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45"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2,850,000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double" w:sz="10" w:space="0" w:color="000000"/>
            </w:tcBorders>
            <w:shd w:fill="FFFFFF" w:val="clear"/>
            <w:vAlign w:val="center"/>
          </w:tcPr>
          <w:p>
            <w:pPr>
              <w:pStyle w:val="TableContents"/>
              <w:bidi w:val="0"/>
              <w:spacing w:before="0" w:after="283"/>
              <w:jc w:val="left"/>
              <w:rPr/>
            </w:pPr>
            <w:r>
              <w:rPr/>
              <w:t>$</w:t>
            </w:r>
          </w:p>
        </w:tc>
        <w:tc>
          <w:tcPr>
            <w:tcW w:w="897" w:type="dxa"/>
            <w:tcBorders>
              <w:bottom w:val="double" w:sz="10" w:space="0" w:color="000000"/>
            </w:tcBorders>
            <w:shd w:fill="FFFFFF" w:val="clear"/>
            <w:vAlign w:val="center"/>
          </w:tcPr>
          <w:p>
            <w:pPr>
              <w:pStyle w:val="TableContents"/>
              <w:bidi w:val="0"/>
              <w:spacing w:before="0" w:after="283"/>
              <w:jc w:val="right"/>
              <w:rPr/>
            </w:pPr>
            <w:r>
              <w:rPr/>
              <w:t>280,000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bottom w:val="double" w:sz="10" w:space="0" w:color="000000"/>
            </w:tcBorders>
            <w:shd w:fill="FFFFFF" w:val="clear"/>
            <w:vAlign w:val="center"/>
          </w:tcPr>
          <w:p>
            <w:pPr>
              <w:pStyle w:val="TableContents"/>
              <w:bidi w:val="0"/>
              <w:spacing w:before="0" w:after="283"/>
              <w:jc w:val="left"/>
              <w:rPr/>
            </w:pPr>
            <w:r>
              <w:rPr/>
              <w:t>$</w:t>
            </w:r>
          </w:p>
        </w:tc>
        <w:tc>
          <w:tcPr>
            <w:tcW w:w="1504" w:type="dxa"/>
            <w:tcBorders>
              <w:bottom w:val="double" w:sz="10" w:space="0" w:color="000000"/>
            </w:tcBorders>
            <w:shd w:fill="FFFFFF" w:val="clear"/>
            <w:vAlign w:val="center"/>
          </w:tcPr>
          <w:p>
            <w:pPr>
              <w:pStyle w:val="TableContents"/>
              <w:bidi w:val="0"/>
              <w:spacing w:before="0" w:after="283"/>
              <w:jc w:val="right"/>
              <w:rPr/>
            </w:pPr>
            <w:r>
              <w:rPr/>
              <w:t>(673,500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bottom w:val="double" w:sz="10" w:space="0" w:color="000000"/>
            </w:tcBorders>
            <w:shd w:fill="FFFFFF" w:val="clear"/>
            <w:vAlign w:val="center"/>
          </w:tcPr>
          <w:p>
            <w:pPr>
              <w:pStyle w:val="TableContents"/>
              <w:bidi w:val="0"/>
              <w:spacing w:before="0" w:after="283"/>
              <w:jc w:val="left"/>
              <w:rPr/>
            </w:pPr>
            <w:r>
              <w:rPr/>
              <w:t>$</w:t>
            </w:r>
          </w:p>
        </w:tc>
        <w:tc>
          <w:tcPr>
            <w:tcW w:w="1015" w:type="dxa"/>
            <w:tcBorders>
              <w:bottom w:val="double" w:sz="10" w:space="0" w:color="000000"/>
            </w:tcBorders>
            <w:shd w:fill="FFFFFF" w:val="clear"/>
            <w:vAlign w:val="center"/>
          </w:tcPr>
          <w:p>
            <w:pPr>
              <w:pStyle w:val="TableContents"/>
              <w:bidi w:val="0"/>
              <w:spacing w:before="0" w:after="283"/>
              <w:jc w:val="right"/>
              <w:rPr/>
            </w:pPr>
            <w:r>
              <w:rPr/>
              <w:t>2,456,500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800" w:type="dxa"/>
            <w:tcBorders>
              <w:bottom w:val="double" w:sz="10" w:space="0" w:color="000000"/>
            </w:tcBorders>
            <w:shd w:fill="FFFFFF" w:val="clear"/>
            <w:vAlign w:val="center"/>
          </w:tcPr>
          <w:p>
            <w:pPr>
              <w:pStyle w:val="TableContents"/>
              <w:bidi w:val="0"/>
              <w:spacing w:before="0" w:after="283"/>
              <w:jc w:val="right"/>
              <w:rPr/>
            </w:pPr>
            <w:r>
              <w:rPr/>
              <w:t>614,125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Bridge loans from this investor had an aggregate principal amount of $2,500,000. At the Closing of the Business Combination, the investor received a cash payment of $293,500, consisting of $250,000 in minimum 10% interest and $43,500 in principal repayment. In addition, the investor received 614,125 shares of Common Stock in exchange for $2,456,500 of combined principal and accrued interest, based on a per share price of $4.00.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bridge loan conversion, the Company derecognized a liability of $2,456,500 upon issuing 614,125 shares of Common Stock and recognized a total loss on debt extinguishment of $6,141,250, based on the fair value of the Common Stock at the Closing of $14.00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Company entered into a private investment in public equity (“PIPE”) financing agreement with certain accredited investors. Pursuant to the PIPE subscription agreements, these investors committed to purchase an aggregate of 2,709,411 shares of Common Stock at a price of $4.00 per share, for total gross proceeds of $10,837,643. The PIPE investment provided additional capital to support the Company’s post-closing operations and was consummated concurrently with the Closing of the Business Combination. Following table illustrates the breakdown of all PIPE investments.</w:t>
      </w:r>
    </w:p>
    <w:p>
      <w:pPr>
        <w:pStyle w:val="TextBody"/>
        <w:bidi w:val="0"/>
        <w:spacing w:before="0" w:after="0"/>
        <w:ind w:left="0" w:right="0" w:hanging="0"/>
        <w:jc w:val="center"/>
        <w:rPr>
          <w:caps w:val="false"/>
          <w:smallCaps w:val="false"/>
        </w:rPr>
      </w:pPr>
      <w:r>
        <w:rPr>
          <w:caps w:val="false"/>
          <w:smallCaps w:val="false"/>
        </w:rPr>
        <w:t> </w:t>
      </w:r>
    </w:p>
    <w:tbl>
      <w:tblPr>
        <w:tblW w:w="4845" w:type="dxa"/>
        <w:jc w:val="left"/>
        <w:tblInd w:w="0" w:type="dxa"/>
        <w:tblLayout w:type="fixed"/>
        <w:tblCellMar>
          <w:top w:w="0" w:type="dxa"/>
          <w:left w:w="0" w:type="dxa"/>
          <w:bottom w:w="28" w:type="dxa"/>
          <w:right w:w="0" w:type="dxa"/>
        </w:tblCellMar>
      </w:tblPr>
      <w:tblGrid>
        <w:gridCol w:w="1190"/>
        <w:gridCol w:w="60"/>
        <w:gridCol w:w="980"/>
        <w:gridCol w:w="60"/>
        <w:gridCol w:w="140"/>
        <w:gridCol w:w="1100"/>
        <w:gridCol w:w="60"/>
        <w:gridCol w:w="60"/>
        <w:gridCol w:w="140"/>
        <w:gridCol w:w="980"/>
        <w:gridCol w:w="75"/>
      </w:tblGrid>
      <w:tr>
        <w:trPr/>
        <w:tc>
          <w:tcPr>
            <w:tcW w:w="1190" w:type="dxa"/>
            <w:tcBorders>
              <w:bottom w:val="single" w:sz="12" w:space="0" w:color="000000"/>
            </w:tcBorders>
            <w:vAlign w:val="center"/>
          </w:tcPr>
          <w:p>
            <w:pPr>
              <w:pStyle w:val="TableContents"/>
              <w:bidi w:val="0"/>
              <w:spacing w:before="0" w:after="283"/>
              <w:jc w:val="left"/>
              <w:rPr>
                <w:b/>
              </w:rPr>
            </w:pPr>
            <w:r>
              <w:rPr>
                <w:b/>
              </w:rPr>
              <w:t>PIPE</w:t>
            </w:r>
          </w:p>
        </w:tc>
        <w:tc>
          <w:tcPr>
            <w:tcW w:w="60" w:type="dxa"/>
            <w:tcBorders/>
            <w:tcMar>
              <w:bottom w:w="0"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center"/>
              <w:rPr>
                <w:b/>
              </w:rPr>
            </w:pPr>
            <w:r>
              <w:rPr>
                <w:b/>
              </w:rPr>
              <w:t>Effective</w:t>
              <w:br/>
              <w:t>Date</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Shares</w:t>
            </w:r>
          </w:p>
        </w:tc>
        <w:tc>
          <w:tcPr>
            <w:tcW w:w="75" w:type="dxa"/>
            <w:tcBorders/>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PIPE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6/16/2025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2,814,500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703,625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PIPE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6/10/2025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PIPE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6/17/2025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vAlign w:val="center"/>
          </w:tcPr>
          <w:p>
            <w:pPr>
              <w:pStyle w:val="TableContents"/>
              <w:bidi w:val="0"/>
              <w:spacing w:before="0" w:after="283"/>
              <w:jc w:val="right"/>
              <w:rPr/>
            </w:pPr>
            <w:r>
              <w:rPr/>
              <w:t>7,023,143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1,755,786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b/>
              </w:rPr>
            </w:pPr>
            <w:r>
              <w:rPr>
                <w:b/>
              </w:rPr>
              <w:t>Total PIPE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vAlign w:val="center"/>
          </w:tcPr>
          <w:p>
            <w:pPr>
              <w:pStyle w:val="TableContents"/>
              <w:bidi w:val="0"/>
              <w:spacing w:before="0" w:after="283"/>
              <w:jc w:val="right"/>
              <w:rPr>
                <w:b/>
              </w:rPr>
            </w:pPr>
            <w:r>
              <w:rPr>
                <w:b/>
              </w:rPr>
              <w:t>10,837,643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vAlign w:val="center"/>
          </w:tcPr>
          <w:p>
            <w:pPr>
              <w:pStyle w:val="TableContents"/>
              <w:bidi w:val="0"/>
              <w:spacing w:before="0" w:after="283"/>
              <w:jc w:val="right"/>
              <w:rPr>
                <w:b/>
              </w:rPr>
            </w:pPr>
            <w:r>
              <w:rPr>
                <w:b/>
              </w:rPr>
              <w:t>2,709,411</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Company assumed an excise tax liability of $3,905,240 and a franchise tax liability of $8,428, both of which were incurred prior to the Closing and were recorded as assumed obligations from the reverse recapitalization transaction. Accordingly, the Company recorded a total accrued tax liability of $3,913,668 related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Treasury issued final regulations under Section 58.4501-2(e) clarifying the application of the 1% stock repurchase excise tax imposed by the Inflation Reduction Act. The regulations provide that redemptions of stock issued prior to August 16, 2022 are exempt from the excise tax if the shares were subject to mandatory redemption or stockholder put rights from issuance through redemption. The Company’s SPAC redemptions qualified for this exemption because the shares were issued before August 16, 2022 and were continuously subject to contractual redemption rights, including mandatory redemption and stockholder put options, which were redeemed in connection with extension votes. As a result, the previously recorded excise tax liability of $3,905,240 was written off as of December 31, 2025, with a corresponding adjustment to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Reclassifications and Revisions of Prior Period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 analysis of FASB ASC, ASC 250-</w:t>
      </w:r>
      <w:r>
        <w:rPr>
          <w:rFonts w:ascii="Times New Roman;Times;Serif" w:hAnsi="Times New Roman;Times;Serif"/>
          <w:b w:val="false"/>
          <w:i/>
          <w:caps w:val="false"/>
          <w:smallCaps w:val="false"/>
          <w:sz w:val="20"/>
        </w:rPr>
        <w:t>Accounting Changes and Error Corrections</w:t>
      </w:r>
      <w:r>
        <w:rPr>
          <w:rFonts w:ascii="Times New Roman;Times;Serif" w:hAnsi="Times New Roman;Times;Serif"/>
          <w:b w:val="false"/>
          <w:i w:val="false"/>
          <w:caps w:val="false"/>
          <w:smallCaps w:val="false"/>
          <w:sz w:val="20"/>
        </w:rPr>
        <w:t xml:space="preserve">, Staff Accounting Bulletin 99, </w:t>
      </w:r>
      <w:r>
        <w:rPr>
          <w:rFonts w:ascii="Times New Roman;Times;Serif" w:hAnsi="Times New Roman;Times;Serif"/>
          <w:b w:val="false"/>
          <w:i/>
          <w:caps w:val="false"/>
          <w:smallCaps w:val="false"/>
          <w:sz w:val="20"/>
        </w:rPr>
        <w:t>Materiality</w:t>
      </w:r>
      <w:r>
        <w:rPr>
          <w:rFonts w:ascii="Times New Roman;Times;Serif" w:hAnsi="Times New Roman;Times;Serif"/>
          <w:b w:val="false"/>
          <w:i w:val="false"/>
          <w:caps w:val="false"/>
          <w:smallCaps w:val="false"/>
          <w:sz w:val="20"/>
        </w:rPr>
        <w:t xml:space="preserve">, and Staff Accounting Bulletin 108, </w:t>
      </w:r>
      <w:r>
        <w:rPr>
          <w:rFonts w:ascii="Times New Roman;Times;Serif" w:hAnsi="Times New Roman;Times;Serif"/>
          <w:b w:val="false"/>
          <w:i/>
          <w:caps w:val="false"/>
          <w:smallCaps w:val="false"/>
          <w:sz w:val="20"/>
        </w:rPr>
        <w:t>Considering the Effects of Prior Year Misstatements when Quantifying Misstatements in Current Year Financial Statements</w:t>
      </w:r>
      <w:r>
        <w:rPr>
          <w:rFonts w:ascii="Times New Roman;Times;Serif" w:hAnsi="Times New Roman;Times;Serif"/>
          <w:b w:val="false"/>
          <w:i w:val="false"/>
          <w:caps w:val="false"/>
          <w:smallCaps w:val="false"/>
          <w:sz w:val="20"/>
        </w:rPr>
        <w:t>, the Company determined these revisions were not material to the previously issued financial statements and as such reclassifications and revisions were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Company revised its expense presentation by reallocating certain amounts previously reported under cost of goods sold to general and administrative, research and development, and sales and marketing expenses to better reflect the nature of the underlying costs. In addition, certain expenses were reclassified among these operating expense categories. These reclassifications had no effect on total revenue, loss from operations, net loss, or shareholders’ equity (deficit) for any period presented. The impact of these reclassifications on the Company’s consolidated statements of operations for the year ended December 31, 2024, is shown below:</w:t>
      </w:r>
    </w:p>
    <w:p>
      <w:pPr>
        <w:pStyle w:val="TextBody"/>
        <w:bidi w:val="0"/>
        <w:spacing w:before="0" w:after="0"/>
        <w:ind w:left="0" w:right="0" w:hanging="0"/>
        <w:jc w:val="center"/>
        <w:rPr>
          <w:caps w:val="false"/>
          <w:smallCaps w:val="false"/>
        </w:rPr>
      </w:pPr>
      <w:r>
        <w:rPr>
          <w:caps w:val="false"/>
          <w:smallCaps w:val="false"/>
        </w:rPr>
        <w:t> </w:t>
      </w:r>
    </w:p>
    <w:tbl>
      <w:tblPr>
        <w:tblW w:w="8190" w:type="dxa"/>
        <w:jc w:val="left"/>
        <w:tblInd w:w="0" w:type="dxa"/>
        <w:tblLayout w:type="fixed"/>
        <w:tblCellMar>
          <w:top w:w="0" w:type="dxa"/>
          <w:left w:w="0" w:type="dxa"/>
          <w:bottom w:w="0" w:type="dxa"/>
          <w:right w:w="0" w:type="dxa"/>
        </w:tblCellMar>
      </w:tblPr>
      <w:tblGrid>
        <w:gridCol w:w="3500"/>
        <w:gridCol w:w="60"/>
        <w:gridCol w:w="140"/>
        <w:gridCol w:w="1175"/>
        <w:gridCol w:w="95"/>
        <w:gridCol w:w="60"/>
        <w:gridCol w:w="185"/>
        <w:gridCol w:w="1395"/>
        <w:gridCol w:w="95"/>
        <w:gridCol w:w="60"/>
        <w:gridCol w:w="140"/>
        <w:gridCol w:w="1175"/>
        <w:gridCol w:w="110"/>
      </w:tblGrid>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1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w:t>
              <w:br/>
              <w:t>previously</w:t>
              <w:br/>
              <w:t>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Reclassification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adjusted</w:t>
            </w:r>
          </w:p>
        </w:tc>
        <w:tc>
          <w:tcPr>
            <w:tcW w:w="11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172,661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3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172,661</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343,889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FFFFFF" w:val="clear"/>
            <w:tcMar>
              <w:bottom w:w="28" w:type="dxa"/>
            </w:tcMar>
            <w:vAlign w:val="center"/>
          </w:tcPr>
          <w:p>
            <w:pPr>
              <w:pStyle w:val="TableContents"/>
              <w:bidi w:val="0"/>
              <w:spacing w:before="0" w:after="283"/>
              <w:jc w:val="right"/>
              <w:rPr/>
            </w:pPr>
            <w:r>
              <w:rPr/>
              <w:t>(300,255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43,634</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(171,228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5" w:type="dxa"/>
            <w:tcBorders>
              <w:bottom w:val="double" w:sz="10" w:space="0" w:color="000000"/>
            </w:tcBorders>
            <w:shd w:fill="CCEEFF" w:val="clear"/>
            <w:tcMar>
              <w:bottom w:w="28" w:type="dxa"/>
            </w:tcMar>
            <w:vAlign w:val="center"/>
          </w:tcPr>
          <w:p>
            <w:pPr>
              <w:pStyle w:val="TableContents"/>
              <w:bidi w:val="0"/>
              <w:spacing w:before="0" w:after="283"/>
              <w:jc w:val="right"/>
              <w:rPr/>
            </w:pPr>
            <w:r>
              <w:rPr/>
              <w:t>300,255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129,027</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3,588,548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(2,025,220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1,563,328</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759,967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pPr>
            <w:r>
              <w:rPr/>
              <w:t>90,294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850,261</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2,524,930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197,051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2,721,981</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Acquisition and integration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pPr>
            <w:r>
              <w:rPr/>
              <w:t>2,038,130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2,038,130</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6,873,445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FFFFFF" w:val="clear"/>
            <w:tcMar>
              <w:bottom w:w="28" w:type="dxa"/>
            </w:tcMar>
            <w:vAlign w:val="center"/>
          </w:tcPr>
          <w:p>
            <w:pPr>
              <w:pStyle w:val="TableContents"/>
              <w:bidi w:val="0"/>
              <w:spacing w:before="0" w:after="283"/>
              <w:jc w:val="right"/>
              <w:rPr/>
            </w:pPr>
            <w:r>
              <w:rPr/>
              <w:t>300,255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7,173,700</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(7,044,673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(7,044,673</w:t>
            </w:r>
          </w:p>
        </w:tc>
        <w:tc>
          <w:tcPr>
            <w:tcW w:w="110"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pPr>
            <w:r>
              <w:rPr/>
              <w:t>Change in fair value of SAFE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(14,492,176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(14,492,176</w:t>
            </w:r>
          </w:p>
        </w:tc>
        <w:tc>
          <w:tcPr>
            <w:tcW w:w="110" w:type="dxa"/>
            <w:tcBorders/>
            <w:shd w:fill="FFFFFF" w:val="clear"/>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(21,536,849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(21,536,849</w:t>
            </w:r>
          </w:p>
        </w:tc>
        <w:tc>
          <w:tcPr>
            <w:tcW w:w="110"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581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581</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(21,537,430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(21,537,430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the nine months ended September 30, 2025, the Company revised the presentation of certain amounts in the consolidated statements of cash flows to conform to the current period presentation. Specifically, amounts previously presented as short-term debt, net have been revised to proceeds from issuance of bridge loans within financing activities. In addition, the reverse recapitalization transaction adjustment was revised to reflect the appropriate presentation within operating activities. As a result of these revisions, net cash used in operating activities and net cash provided by financing activities were adjusted for the respective periods presented. These revisions had no impact on previously reported net loss, total cash flows, or the beginning and ending cash balances for any period presented. The impact of these revisions on the Company’s condensed consolidated statements of cash flows for the six and nine month periods ended June 30, 2025 and September 30, 2025, respectively, are presented below:</w:t>
      </w:r>
    </w:p>
    <w:p>
      <w:pPr>
        <w:pStyle w:val="TextBody"/>
        <w:bidi w:val="0"/>
        <w:spacing w:before="0" w:after="0"/>
        <w:ind w:left="0" w:right="0" w:hanging="0"/>
        <w:jc w:val="left"/>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3890"/>
        <w:gridCol w:w="60"/>
        <w:gridCol w:w="140"/>
        <w:gridCol w:w="1100"/>
        <w:gridCol w:w="95"/>
        <w:gridCol w:w="60"/>
        <w:gridCol w:w="140"/>
        <w:gridCol w:w="1055"/>
        <w:gridCol w:w="95"/>
        <w:gridCol w:w="60"/>
        <w:gridCol w:w="140"/>
        <w:gridCol w:w="1100"/>
        <w:gridCol w:w="110"/>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 2025</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w:t>
              <w:br/>
              <w:t>previously</w:t>
              <w:br/>
              <w:t>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Revision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adjusted</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Reverse recapitalization transaction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(4,739,169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1,400,000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(3,339,169</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Short-term debt,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(3,750,000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(3,762,742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(2,630,000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(6,392,742</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Proceeds from issuance of bridge loans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2,850,000</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Repayment of bridge loans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(1,660,545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(1,380,545</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10,278,154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2,630,000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12,908,154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tbl>
      <w:tblPr>
        <w:tblW w:w="8279" w:type="dxa"/>
        <w:jc w:val="left"/>
        <w:tblInd w:w="0" w:type="dxa"/>
        <w:tblLayout w:type="fixed"/>
        <w:tblCellMar>
          <w:top w:w="0" w:type="dxa"/>
          <w:left w:w="0" w:type="dxa"/>
          <w:bottom w:w="0" w:type="dxa"/>
          <w:right w:w="0" w:type="dxa"/>
        </w:tblCellMar>
      </w:tblPr>
      <w:tblGrid>
        <w:gridCol w:w="3890"/>
        <w:gridCol w:w="60"/>
        <w:gridCol w:w="158"/>
        <w:gridCol w:w="1241"/>
        <w:gridCol w:w="95"/>
        <w:gridCol w:w="60"/>
        <w:gridCol w:w="140"/>
        <w:gridCol w:w="1055"/>
        <w:gridCol w:w="95"/>
        <w:gridCol w:w="60"/>
        <w:gridCol w:w="140"/>
        <w:gridCol w:w="1175"/>
        <w:gridCol w:w="110"/>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21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w:t>
              <w:br/>
              <w:t>September 30, 2025</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previously</w:t>
              <w:br/>
              <w:t>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Revision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adjusted</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Reverse recapitalization transaction</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41" w:type="dxa"/>
            <w:tcBorders/>
            <w:shd w:fill="CCEEFF" w:val="clear"/>
            <w:vAlign w:val="center"/>
          </w:tcPr>
          <w:p>
            <w:pPr>
              <w:pStyle w:val="TableContents"/>
              <w:bidi w:val="0"/>
              <w:spacing w:before="0" w:after="283"/>
              <w:jc w:val="right"/>
              <w:rPr/>
            </w:pPr>
            <w:r>
              <w:rPr/>
              <w:t>(4,739,169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1,400,000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(3,339,169</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280,000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Short-term debt, net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3,750,000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(3,750,000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241" w:type="dxa"/>
            <w:tcBorders/>
            <w:shd w:fill="FFFFFF" w:val="clear"/>
            <w:vAlign w:val="center"/>
          </w:tcPr>
          <w:p>
            <w:pPr>
              <w:pStyle w:val="TableContents"/>
              <w:bidi w:val="0"/>
              <w:spacing w:before="0" w:after="283"/>
              <w:jc w:val="right"/>
              <w:rPr/>
            </w:pPr>
            <w:r>
              <w:rPr/>
              <w:t>(8,197,830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(2,630,000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(10,827,830</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Proceeds from issuance of bridge loans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2,850,000</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Repayment of bridge loans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(1,660,545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(1,380,545</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41" w:type="dxa"/>
            <w:tcBorders/>
            <w:shd w:fill="CCEEFF" w:val="clear"/>
            <w:vAlign w:val="center"/>
          </w:tcPr>
          <w:p>
            <w:pPr>
              <w:pStyle w:val="TableContents"/>
              <w:bidi w:val="0"/>
              <w:spacing w:before="0" w:after="283"/>
              <w:jc w:val="right"/>
              <w:rPr/>
            </w:pPr>
            <w:r>
              <w:rPr/>
              <w:t>10,278,154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2,630,000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12,908,154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 Arising From Cash Deposits in Excess of Insured Limits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cash balance with a U.S. financial institution, in which the balance exceeds the FDIC insured limit of $250,000. As of December 31, 2025 and 2024, the Company’s cash balance held at the financial institution exceeded the FDIC limit. The Company has not experienced losses on this account and management believes the Company is not exposed to significant risks on such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customer is defined as one that accounts for at least 10% of the Company’s revenue. For the year ended December 31, 2025, the Company generated 100% of its total revenue from three customers. One customer accounted for approximately 85% of total revenue, a second customer accounted for approximately 14%, and the remaining customer accounted for less than 1% of total revenue. For the year ended December 31, 2024, the Company generated 100% of its total revenue from five customers with the top three customers accounting for approximately 57%, 21% and 11%,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accounts receivable balance was concentrated among three customers. One customer accounted for approximately 97% of total accounts receivable. As of December 31, 2024, the Company’s accounts receivable balance was concentrated among three customers. One customer accounted for approximately 60% of total accounts receivable, and another customer represented approximately 38%. The Company monitors the creditworthiness of its customers on an ongoing basis and believes that its credit risk is limited due to the financial strength and payment history of these customers. Management does not expect any material losses from these receivable concentrations and has not recorded an allowance for credit losses, as all receivables are considered highly collectible.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as of December 31, 2025 and 2024, consisted of the following: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3"/>
        <w:gridCol w:w="60"/>
        <w:gridCol w:w="3311"/>
        <w:gridCol w:w="60"/>
        <w:gridCol w:w="196"/>
        <w:gridCol w:w="1126"/>
        <w:gridCol w:w="95"/>
        <w:gridCol w:w="60"/>
        <w:gridCol w:w="232"/>
        <w:gridCol w:w="1134"/>
        <w:gridCol w:w="78"/>
      </w:tblGrid>
      <w:tr>
        <w:trPr/>
        <w:tc>
          <w:tcPr>
            <w:tcW w:w="38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11" w:type="dxa"/>
            <w:tcBorders>
              <w:bottom w:val="single" w:sz="12" w:space="0" w:color="000000"/>
            </w:tcBorders>
            <w:tcMar>
              <w:bottom w:w="28" w:type="dxa"/>
            </w:tcMar>
            <w:vAlign w:val="center"/>
          </w:tcPr>
          <w:p>
            <w:pPr>
              <w:pStyle w:val="TableContents"/>
              <w:bidi w:val="0"/>
              <w:spacing w:before="0" w:after="283"/>
              <w:jc w:val="center"/>
              <w:rPr>
                <w:b/>
              </w:rPr>
            </w:pPr>
            <w:r>
              <w:rPr>
                <w:b/>
              </w:rPr>
              <w:t>Estimated useful</w:t>
              <w:br/>
              <w:t>life</w:t>
            </w:r>
          </w:p>
        </w:tc>
        <w:tc>
          <w:tcPr>
            <w:tcW w:w="60"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8" w:type="dxa"/>
            <w:tcBorders/>
            <w:vAlign w:val="center"/>
          </w:tcPr>
          <w:p>
            <w:pPr>
              <w:pStyle w:val="TableContents"/>
              <w:bidi w:val="0"/>
              <w:spacing w:before="0" w:after="283"/>
              <w:jc w:val="left"/>
              <w:rPr/>
            </w:pPr>
            <w:r>
              <w:rPr/>
              <w:t> </w:t>
            </w:r>
          </w:p>
        </w:tc>
      </w:tr>
      <w:tr>
        <w:trPr/>
        <w:tc>
          <w:tcPr>
            <w:tcW w:w="3853" w:type="dxa"/>
            <w:tcBorders/>
            <w:shd w:fill="CCEEFF" w:val="clear"/>
            <w:vAlign w:val="center"/>
          </w:tcPr>
          <w:p>
            <w:pPr>
              <w:pStyle w:val="TableContents"/>
              <w:bidi w:val="0"/>
              <w:spacing w:before="0" w:after="283"/>
              <w:jc w:val="left"/>
              <w:rPr/>
            </w:pPr>
            <w:r>
              <w:rPr/>
              <w:t>Equipment</w:t>
            </w:r>
          </w:p>
        </w:tc>
        <w:tc>
          <w:tcPr>
            <w:tcW w:w="60" w:type="dxa"/>
            <w:tcBorders/>
            <w:shd w:fill="CCEEFF" w:val="clear"/>
            <w:vAlign w:val="center"/>
          </w:tcPr>
          <w:p>
            <w:pPr>
              <w:pStyle w:val="TableContents"/>
              <w:bidi w:val="0"/>
              <w:spacing w:before="0" w:after="283"/>
              <w:jc w:val="left"/>
              <w:rPr/>
            </w:pPr>
            <w:r>
              <w:rPr/>
              <w:t> </w:t>
            </w:r>
          </w:p>
        </w:tc>
        <w:tc>
          <w:tcPr>
            <w:tcW w:w="3311" w:type="dxa"/>
            <w:tcBorders/>
            <w:shd w:fill="CCEEFF" w:val="clear"/>
            <w:vAlign w:val="center"/>
          </w:tcPr>
          <w:p>
            <w:pPr>
              <w:pStyle w:val="TableContents"/>
              <w:bidi w:val="0"/>
              <w:spacing w:before="0" w:after="283"/>
              <w:jc w:val="center"/>
              <w:rPr/>
            </w:pPr>
            <w:r>
              <w:rPr/>
              <w:t>3 to 10 years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665,303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11,286</w:t>
            </w:r>
          </w:p>
        </w:tc>
        <w:tc>
          <w:tcPr>
            <w:tcW w:w="78" w:type="dxa"/>
            <w:tcBorders/>
            <w:shd w:fill="CCEEFF" w:val="clear"/>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3311" w:type="dxa"/>
            <w:tcBorders/>
            <w:shd w:fill="FFFFFF" w:val="clear"/>
            <w:vAlign w:val="center"/>
          </w:tcPr>
          <w:p>
            <w:pPr>
              <w:pStyle w:val="TableContents"/>
              <w:bidi w:val="0"/>
              <w:spacing w:before="0" w:after="283"/>
              <w:jc w:val="center"/>
              <w:rPr/>
            </w:pPr>
            <w:r>
              <w:rPr/>
              <w:t>Lesser of lease term or estimated useful life</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16,400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3853" w:type="dxa"/>
            <w:tcBorders/>
            <w:shd w:fill="CCEEFF" w:val="clear"/>
            <w:vAlign w:val="center"/>
          </w:tcPr>
          <w:p>
            <w:pPr>
              <w:pStyle w:val="TableContents"/>
              <w:bidi w:val="0"/>
              <w:spacing w:before="0" w:after="283"/>
              <w:jc w:val="left"/>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331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283"/>
              <w:jc w:val="right"/>
              <w:rPr/>
            </w:pPr>
            <w:r>
              <w:rPr/>
              <w:t>(36,463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33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26" w:type="dxa"/>
            <w:tcBorders>
              <w:bottom w:val="double" w:sz="10" w:space="0" w:color="000000"/>
            </w:tcBorders>
            <w:shd w:fill="FFFFFF" w:val="clear"/>
            <w:tcMar>
              <w:bottom w:w="28" w:type="dxa"/>
            </w:tcMar>
            <w:vAlign w:val="center"/>
          </w:tcPr>
          <w:p>
            <w:pPr>
              <w:pStyle w:val="TableContents"/>
              <w:bidi w:val="0"/>
              <w:spacing w:before="0" w:after="283"/>
              <w:jc w:val="right"/>
              <w:rPr/>
            </w:pPr>
            <w:r>
              <w:rPr/>
              <w:t>645,240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double" w:sz="10" w:space="0" w:color="000000"/>
            </w:tcBorders>
            <w:shd w:fill="FFFFFF" w:val="clear"/>
            <w:tcMar>
              <w:bottom w:w="28" w:type="dxa"/>
            </w:tcMar>
            <w:vAlign w:val="center"/>
          </w:tcPr>
          <w:p>
            <w:pPr>
              <w:pStyle w:val="TableContents"/>
              <w:bidi w:val="0"/>
              <w:spacing w:before="0" w:after="283"/>
              <w:jc w:val="right"/>
              <w:rPr/>
            </w:pPr>
            <w:r>
              <w:rPr/>
              <w:t>11,286</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439" w:type="dxa"/>
        <w:jc w:val="left"/>
        <w:tblInd w:w="0" w:type="dxa"/>
        <w:tblLayout w:type="fixed"/>
        <w:tblCellMar>
          <w:top w:w="0" w:type="dxa"/>
          <w:left w:w="0" w:type="dxa"/>
          <w:bottom w:w="0" w:type="dxa"/>
          <w:right w:w="0" w:type="dxa"/>
        </w:tblCellMar>
      </w:tblPr>
      <w:tblGrid>
        <w:gridCol w:w="2075"/>
        <w:gridCol w:w="60"/>
        <w:gridCol w:w="257"/>
        <w:gridCol w:w="1252"/>
        <w:gridCol w:w="110"/>
        <w:gridCol w:w="110"/>
        <w:gridCol w:w="297"/>
        <w:gridCol w:w="203"/>
        <w:gridCol w:w="75"/>
      </w:tblGrid>
      <w:tr>
        <w:trPr/>
        <w:tc>
          <w:tcPr>
            <w:tcW w:w="2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2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36,463</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Capitalized Software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capitalizes eligible costs incurred in the development of internal-use software during the application development stage, in accordance with ASC 350-40, </w:t>
      </w:r>
      <w:r>
        <w:rPr>
          <w:rFonts w:ascii="Times New Roman;Times;Serif" w:hAnsi="Times New Roman;Times;Serif"/>
          <w:b w:val="false"/>
          <w:i/>
          <w:caps w:val="false"/>
          <w:smallCaps w:val="false"/>
          <w:sz w:val="20"/>
        </w:rPr>
        <w:t>Internal-Use Software.</w:t>
      </w:r>
      <w:r>
        <w:rPr>
          <w:rFonts w:ascii="Times New Roman;Times;Serif" w:hAnsi="Times New Roman;Times;Serif"/>
          <w:b w:val="false"/>
          <w:i w:val="false"/>
          <w:caps w:val="false"/>
          <w:smallCaps w:val="false"/>
          <w:sz w:val="20"/>
        </w:rPr>
        <w:t xml:space="preserve"> Capitalized software development costs include direct labor, third-party services, and other direct costs associated with the development of new software or significant upgrades and enhancements to existing software. Costs incurred during the preliminary project stage and post-implementation/operational stage are expensed as incurred. Capitalized software development costs are amortized on a straight-line basis over the estimated useful life of the software, which is typically three to five years. The Company reviews the carrying value of capitalized software for impairment whenever events or changes in circumstances indicate the carrying amount may not be recoverable.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capitalized software development costs of $2,920,718 and $1,761,396 as of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there was no amortization expense recorded on capitalized software development costs as the software was not ready for its intended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Loans and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SEE ID had issued Simple Agreements for Future Equity (the “SAFE agreements”) to investors for proceeds totaling $8,480,217. Under the terms of these SAFE agreements, which had stated discount rates ranging from 67% to 80%, the following would happen upon the occurrence of these events (all capitalized terms are as defined in the SAFE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Equity Financing</w:t>
      </w:r>
      <w:r>
        <w:rPr>
          <w:rFonts w:ascii="Times New Roman;Times;Serif" w:hAnsi="Times New Roman;Times;Serif"/>
          <w:b w:val="false"/>
          <w:i w:val="false"/>
          <w:caps w:val="false"/>
          <w:smallCaps w:val="false"/>
          <w:sz w:val="20"/>
        </w:rPr>
        <w:t xml:space="preserve"> - the SAFE agreements will automatically convert into the number of shares of Safe Preferred Stock equal to the Purchase Amount divided by the Discount Price with certain SAFE agreements subject to a post-money valuation cap of $30,000,000.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Liquidity Event</w:t>
      </w:r>
      <w:r>
        <w:rPr>
          <w:rFonts w:ascii="Times New Roman;Times;Serif" w:hAnsi="Times New Roman;Times;Serif"/>
          <w:b w:val="false"/>
          <w:i w:val="false"/>
          <w:caps w:val="false"/>
          <w:smallCaps w:val="false"/>
          <w:sz w:val="20"/>
        </w:rPr>
        <w:t xml:space="preserve"> - the SAFE agreements will automatically be entitled to receive a portion of Proceeds, due and payable to the Investor immediately prior to, or concurrent with, the consumption of such Liquidity Event, equal to the greater of (i) the Purchase Amount (the “Cash-Out Amount”) or (ii) the amount payable on the number of shares of Common Stock equal to the Purchase Amount divided by the Liquidity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Dissolution Event</w:t>
      </w:r>
      <w:r>
        <w:rPr>
          <w:rFonts w:ascii="Times New Roman;Times;Serif" w:hAnsi="Times New Roman;Times;Serif"/>
          <w:b w:val="false"/>
          <w:i w:val="false"/>
          <w:caps w:val="false"/>
          <w:smallCaps w:val="false"/>
          <w:sz w:val="20"/>
        </w:rPr>
        <w:t xml:space="preserve"> - the Investor will automatically be entitled to receive a portion of Proceeds equal to the Cash-Out Amount, due and payable to the Investor immediately prior to the consummation of the Dissolution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815-40, </w:t>
      </w:r>
      <w:r>
        <w:rPr>
          <w:rFonts w:ascii="Times New Roman;Times;Serif" w:hAnsi="Times New Roman;Times;Serif"/>
          <w:b w:val="false"/>
          <w:i/>
          <w:caps w:val="false"/>
          <w:smallCaps w:val="false"/>
          <w:sz w:val="20"/>
        </w:rPr>
        <w:t>Contracts in Entity’s Own Equity,</w:t>
      </w:r>
      <w:r>
        <w:rPr>
          <w:rFonts w:ascii="Times New Roman;Times;Serif" w:hAnsi="Times New Roman;Times;Serif"/>
          <w:b w:val="false"/>
          <w:i w:val="false"/>
          <w:caps w:val="false"/>
          <w:smallCaps w:val="false"/>
          <w:sz w:val="20"/>
        </w:rPr>
        <w:t xml:space="preserve"> the Company determined that the SAFE agreements represented freestanding financial instruments and, accordingly, classified them as derivative liabilities in the accompanying consolidated balance sheets. The SAFE agreements were carried at estimated fair value, which was determined by the Company via a probability-weighted expected return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which closed on June 18, 2025, as described in Note 3, qualified as an “Equity Financing” under the terms of the Company’s SAFE agreements. As a result, all outstanding SAFE notes were converted into 2,909,057 shares of Common Stock. The Company recognized a fair value change in the SAFE notes of $17,368,415, based on the fair value of the Common Stock at Closing of $14.00 per share. Accordingly, no SAFE notes remained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the Company entered into a loan agreement with J.J. Astor &amp; Co. for up to $5.0 million in senior secured convertible loans, consisting of an initial $2.0 million tranche and up to three additional $1.0 million tranches. The initial tranche was issued as a $2.0 million convertible note, of which $1.81 million was funded net of fees. The note matures on November 30, 2026 and is repayable in twelve monthly installments, consisting of an initial payment of $0.1 million followed by eleven monthly payments of approximately $0.2 million, totaling $2.6 million. Each additional tranche, if funded at the lender’s discretion and subject to specified conditions (including equity line of credit (“ELOC”) availability, Nasdaq listing, minimum stock price, and trading volume requirements), will be issued as a $1.0 million convertible note with $0.96 million funded net of fees and accompanied by a warrant. The Company is required to use proceeds from its ELOC to make monthly payments, with 80% of ELOC proceeds remitted directly to the lender. Certain extraordinary receipts must also be applied toward repayment. In connection with the initial funding, the Company issued a warrant to purchase 230,770 shares at an exercise price of $1.69 per share, subject to customary adjustments and a 4.99% beneficial ownership limitation (which may be increased to 9.99% upon agreement). Conversions and warrant exercises are subject to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into a registration rights agreement requiring the filing of a resale shelf registration statement covering shares issuable upon conversion of the J.J. Astor loans following an event of default. Upon default and effectiveness of such registration statement, the loans become convertible at a price equal to 80% of the average of the four lowest VWAPs during the 20 trading days prior to the conversion notice, subject to the 4.99% ownership cap. Remedies upon default include acceleration, default interest at 19% on 110% of outstanding principal, and enforcement against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accounting treatment of the J.J. Astor loans, the Company concluded that the warrant, the conversion feature, and the embedded call option require bifurcation from the host debt instrument. Management determined that these features meet the definition of derivatives under ASC 815</w:t>
      </w:r>
      <w:r>
        <w:rPr>
          <w:rFonts w:ascii="Times New Roman;Times;Serif" w:hAnsi="Times New Roman;Times;Serif"/>
          <w:b w:val="false"/>
          <w:i/>
          <w:caps w:val="false"/>
          <w:smallCaps w:val="false"/>
          <w:sz w:val="20"/>
        </w:rPr>
        <w:t>, Derivatives and Hedging.</w:t>
      </w:r>
      <w:r>
        <w:rPr>
          <w:rFonts w:ascii="Times New Roman;Times;Serif" w:hAnsi="Times New Roman;Times;Serif"/>
          <w:b w:val="false"/>
          <w:i w:val="false"/>
          <w:caps w:val="false"/>
          <w:smallCaps w:val="false"/>
          <w:sz w:val="20"/>
        </w:rPr>
        <w:t xml:space="preserve"> The embedded call option provides that, upon a change in control, the note may be called, which represents an additional embedded derivative feature. In assessing the conversion feature, management determined that because the number of shares issuable upon conversion depends on stockholder approval of the removal of the 4.99% beneficial ownership cap, and that contingency is not an input into the pricing of a fixed-for-fixed equity instrument, the conversion feature is not indexed to the Company’s common stock under ASC 815-40-15-7 and does not qualify for equity classification. Accordingly, the embedded call option and conversion feature were combined and accounted for as a single embedded 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loan issuance, the fair value of the warrant liability was $210,776 and the fair value of the combined embedded derivative liability (inclusive of the call option and conversion feature) was $26,100 and recorded under the caption of derivative liabilities in the consolidated balance sheet. These amounts were bifurcated from the original loan proceeds, resulting in a net initial carrying amount of the debt of $1,763,124. Based on the contractual repayment terms, the effective interest rate is approximately 6.81% per month, or 81.71% per annum. The warrant liability and conversion derivative liability are remeasured at each reporting date, with changes in fair value recognized in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fair value of the warrant liability decreased to $52,535 and was recorded under the caption of derivative liabilities in the consolidated balance sheet, and the resulting change in fair value of $158,241 was recorded in the consolidated statement of operations under the caption of change in fair value of derivative liabilities. As of December 31, 2025, the fair value of the embedded conversion and call option derivative liability remained unchanged at $26,100.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December 2025, the Company paid $108,334 to J.J. Astor, of which $48,306 was applied to principal. The Company also capitalized $190,000 of loan origination fees, which are being amortized over a 12-month term. Monthly amortization of $15,833 is recorded as a reduction of the deferred financing costs. As a result, the outstanding debt principal balance was $1,540,651 as of December 31, 2025, compared to $0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instruments that are not traded on an exchange are valued using conventional valuation models that incorporate both observable and unobservable inputs. Although the Company is publicly traded, the valuation of these derivative instruments requires significant unobservable inputs, including assumptions related to expected volatility, term, probability-weighted scenarios, and other model-based estimates. Accordingly, these derivative instruments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Business Combination, all outstanding SAFE notes were converted into shares of the Company’s Common Stock, resulting in a significant reduction of the related derivative liabilities during the year ended December 31, 2025. In addition, during 2025, the Company entered into a new loan agreement with J.J. Astor that includes detachable warrants and embedded derivative features. These features are accounted for as derivative liabilities and are measured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reflected in the tables below, derivative liabilities are presented at fair value at the beginning and end of each reporting period. As of December 31, 2025, the Company’s derivative liabilities consist of (i) a warrant liability of $52,535 and (ii) an embedded conversion and call option derivative liability of $26,100. The fair value of the embedded conversion and call option derivative liability is estimated using the Probability-Weighted Expected Return Method (“PWERM”) model, which incorporates significant unobservable inputs, including expected monthly installment payments, the repayment percentage, the applicable discount factor, and scenario probability assumptions. The warrant liability is measured using the Black-Scholes option pricing model, with key inputs including Company asset volatility, Company equity volatility, Company size-adjusted asset volatility, Company size-adjusted equity volatility, the risk-free interest rate, and the liquidity horizon. Changes in the fair value of these derivative instruments during the period are recognized in the consolidated statement of operations in the period in which they occur.</w:t>
      </w:r>
    </w:p>
    <w:p>
      <w:pPr>
        <w:pStyle w:val="TextBody"/>
        <w:bidi w:val="0"/>
        <w:spacing w:before="0" w:after="0"/>
        <w:ind w:left="0" w:right="0" w:hanging="0"/>
        <w:jc w:val="both"/>
        <w:rPr>
          <w:caps w:val="false"/>
          <w:smallCaps w:val="false"/>
        </w:rPr>
      </w:pPr>
      <w:r>
        <w:rPr>
          <w:caps w:val="false"/>
          <w:smallCaps w:val="false"/>
        </w:rPr>
        <w:t> </w:t>
      </w:r>
    </w:p>
    <w:tbl>
      <w:tblPr>
        <w:tblW w:w="5704" w:type="dxa"/>
        <w:jc w:val="left"/>
        <w:tblInd w:w="0" w:type="dxa"/>
        <w:tblLayout w:type="fixed"/>
        <w:tblCellMar>
          <w:top w:w="0" w:type="dxa"/>
          <w:left w:w="0" w:type="dxa"/>
          <w:bottom w:w="28" w:type="dxa"/>
          <w:right w:w="0" w:type="dxa"/>
        </w:tblCellMar>
      </w:tblPr>
      <w:tblGrid>
        <w:gridCol w:w="1925"/>
        <w:gridCol w:w="60"/>
        <w:gridCol w:w="575"/>
        <w:gridCol w:w="60"/>
        <w:gridCol w:w="241"/>
        <w:gridCol w:w="1174"/>
        <w:gridCol w:w="60"/>
        <w:gridCol w:w="60"/>
        <w:gridCol w:w="165"/>
        <w:gridCol w:w="1309"/>
        <w:gridCol w:w="75"/>
      </w:tblGrid>
      <w:tr>
        <w:trPr/>
        <w:tc>
          <w:tcPr>
            <w:tcW w:w="1925" w:type="dxa"/>
            <w:tcBorders>
              <w:bottom w:val="single" w:sz="12" w:space="0" w:color="000000"/>
            </w:tcBorders>
            <w:vAlign w:val="center"/>
          </w:tcPr>
          <w:p>
            <w:pPr>
              <w:pStyle w:val="TableContents"/>
              <w:bidi w:val="0"/>
              <w:spacing w:before="0" w:after="283"/>
              <w:jc w:val="left"/>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12" w:space="0" w:color="000000"/>
            </w:tcBorders>
            <w:vAlign w:val="center"/>
          </w:tcPr>
          <w:p>
            <w:pPr>
              <w:pStyle w:val="TableContents"/>
              <w:bidi w:val="0"/>
              <w:spacing w:before="0" w:after="283"/>
              <w:jc w:val="center"/>
              <w:rPr>
                <w:b/>
              </w:rPr>
            </w:pPr>
            <w:r>
              <w:rPr>
                <w:b/>
              </w:rPr>
              <w:t>Level</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2024</w:t>
            </w:r>
          </w:p>
        </w:tc>
        <w:tc>
          <w:tcPr>
            <w:tcW w:w="75" w:type="dxa"/>
            <w:tcBorders/>
            <w:tcMar>
              <w:bottom w:w="0" w:type="dxa"/>
            </w:tcM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283"/>
              <w:jc w:val="left"/>
              <w:rPr/>
            </w:pPr>
            <w:r>
              <w:rPr/>
              <w:t>Derivative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w:t>
            </w:r>
          </w:p>
        </w:tc>
        <w:tc>
          <w:tcPr>
            <w:tcW w:w="1174" w:type="dxa"/>
            <w:tcBorders/>
            <w:shd w:fill="CCEEFF" w:val="clear"/>
            <w:tcMar>
              <w:bottom w:w="0" w:type="dxa"/>
            </w:tcMar>
            <w:vAlign w:val="center"/>
          </w:tcPr>
          <w:p>
            <w:pPr>
              <w:pStyle w:val="TableContents"/>
              <w:bidi w:val="0"/>
              <w:spacing w:before="0" w:after="283"/>
              <w:jc w:val="right"/>
              <w:rPr/>
            </w:pPr>
            <w:r>
              <w:rPr/>
              <w:t>78,635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w:t>
            </w:r>
          </w:p>
        </w:tc>
        <w:tc>
          <w:tcPr>
            <w:tcW w:w="130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b/>
              </w:rPr>
            </w:pPr>
            <w:r>
              <w:rPr>
                <w:b/>
              </w:rPr>
              <w:t>SAFE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309" w:type="dxa"/>
            <w:tcBorders/>
            <w:shd w:fill="FFFFFF" w:val="clear"/>
            <w:tcMar>
              <w:bottom w:w="0" w:type="dxa"/>
            </w:tcMar>
            <w:vAlign w:val="center"/>
          </w:tcPr>
          <w:p>
            <w:pPr>
              <w:pStyle w:val="TableContents"/>
              <w:bidi w:val="0"/>
              <w:spacing w:before="0" w:after="283"/>
              <w:jc w:val="right"/>
              <w:rPr/>
            </w:pPr>
            <w:r>
              <w:rPr/>
              <w:t>23,334,626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6945" w:type="dxa"/>
        <w:jc w:val="left"/>
        <w:tblInd w:w="0" w:type="dxa"/>
        <w:tblLayout w:type="fixed"/>
        <w:tblCellMar>
          <w:top w:w="0" w:type="dxa"/>
          <w:left w:w="0" w:type="dxa"/>
          <w:bottom w:w="0" w:type="dxa"/>
          <w:right w:w="0" w:type="dxa"/>
        </w:tblCellMar>
      </w:tblPr>
      <w:tblGrid>
        <w:gridCol w:w="4100"/>
        <w:gridCol w:w="60"/>
        <w:gridCol w:w="140"/>
        <w:gridCol w:w="1175"/>
        <w:gridCol w:w="95"/>
        <w:gridCol w:w="60"/>
        <w:gridCol w:w="140"/>
        <w:gridCol w:w="1100"/>
        <w:gridCol w:w="75"/>
      </w:tblGrid>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7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Fair Value -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23,334,626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4,602,950</w:t>
            </w:r>
          </w:p>
        </w:tc>
        <w:tc>
          <w:tcPr>
            <w:tcW w:w="7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Addition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260,628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4,239,500</w:t>
            </w:r>
          </w:p>
        </w:tc>
        <w:tc>
          <w:tcPr>
            <w:tcW w:w="7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Change in fair value of SAFE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17,368,415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14,492,176</w:t>
            </w:r>
          </w:p>
        </w:tc>
        <w:tc>
          <w:tcPr>
            <w:tcW w:w="7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Change in fair value of derivative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(158,241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SAFE notes converted into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(40,726,793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Fair Value -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78,635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23,334,626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Equity Line of Credit (“ELOC”)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Common Stock. As the feature is embedded in an equity host, meets the definition of a derivative, and does not qualify for the equity scope exception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it must be bifurcated and accounted for separately as a derivative asset or liability, depending on changes in the underlying stock price relative to the pegged discounted VWAP. The derivative is measured at fair value, with changes in fair value recognized in statement of operations. The fair value of the purchased put option was determined to be de minimis as of December 31, 2025, and therefore was not recorded on the Company’s balance sheet as of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December 30, and December 31, 2025, the Company delivered purchase notices for 30,000, 500,000, and 1,000,000 shares at settlement prices of $2.62, $0.32, and $0.32 per share, respectively, resulting in gross proceeds received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fair value on the date cash was received and recognized the difference between (i) the fair value of the shares issued and (ii) the proceeds calculated pursuant to the discounted VWAP pricing terms. The difference, totaling $246,184, was recorded as a loss on issuance of shares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described in Note 3, </w:t>
      </w:r>
      <w:r>
        <w:rPr>
          <w:rFonts w:ascii="Times New Roman;Times;Serif" w:hAnsi="Times New Roman;Times;Serif"/>
          <w:b w:val="false"/>
          <w:i/>
          <w:caps w:val="false"/>
          <w:smallCaps w:val="false"/>
          <w:sz w:val="20"/>
        </w:rPr>
        <w:t>Business Combination and Reverse Recapitalization</w:t>
      </w:r>
      <w:r>
        <w:rPr>
          <w:rFonts w:ascii="Times New Roman;Times;Serif" w:hAnsi="Times New Roman;Times;Serif"/>
          <w:b w:val="false"/>
          <w:i w:val="false"/>
          <w:caps w:val="false"/>
          <w:smallCaps w:val="false"/>
          <w:sz w:val="20"/>
        </w:rPr>
        <w:t>, all historical equity data, including stock option data, in these consolidated financial statements has been retrospectively adjusted by the Exchange Ratio to reflect the reverse recapitalization that occurred on June 18,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authorized 300,000,000 shares of Common Stock, par value $0.0001 per share. As of December 31, 2025, 29,273,321 shares of Common Stock were issued and outstanding, and 270,726,679 shares of Common Stock were reserved for future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2021, the Legacy Company adopted the 2021 Equity Incentive Plan (the “2021 Incentive Plan”), which provided for grants of awards in the form of incentive stock options, non-qualified stock options, and restricted stock awards to selected employees, directors, and independent contractors of the Company and its affiliates, as defined in the Incentive Plan. The Company assumed the 2021 Plan and all outstanding awards thereunder in connection with the Business Combination. Initially, the aggregate number of shares of Common Stock that may be issued by the Legacy Company under the 2021 Incentive Plan was not to exceed 4,672,506. Following the Business Combination, no additional awards may be granted under the 2021 Incentive Plan, and no additional shares remain available for issuance under the 2021 Incentive Plan other than the 2,032,521 shares that were subject to the outstanding awards that were assumed by the Company in connection with the Business Combination. The purpose of the 2021 Incentive Plan was to encourage and enable selected participants to acquire or to increase their holdings of the Company’s Common Stock and other equity-based interests in the Company in order to promote a closer identification of their interests with those of the Company and its stockholders. The 2021 Incentive Plan is administered by the Company’s Board of Directors. As of December 31, 2025, the Company has granted awards under the 2021 Equity Incentive Plan as described in the stock options and restricted stock awards subsections below under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June 18, 2025, in connection with the closing of the transactions contemplated by the Business Combination Agreement, the Company adopted the 2024 Equity Incentive Plan (the “2024 Incentive Plan”). The purpose of the 2024 Incentive Plan is to advance the interests of the Company and its stockholders by attracting, retaining and rewarding employees, consultants and directors and by motivating such persons to contribute to the growth and profitability of the Company. The 2024 Incentive Plan provides for the grant of awards in the form of stock options, stock appreciation rights, restricted stock awards, restricted stock units, performance shares, performance units, cash-based awards and other stock-based awards. Subject to adjustment, the maximum aggregate number of shares of the Company’s common stock that may be issued under the 2024 Incentive Plan is 2,032,521 shares, plus an annual increase beginning with the first fiscal year following stockholder approval and continuing for up to ten years, equal to the lesser of 10% of the outstanding shares as of the end of the immediately preceding fiscal year or such lesser amount as determined by the Board. The 2024 Incentive Plan is administered by the Board of Directors or a duly authorized committee thereof, which has the authority to determine the participants to whom awards will be granted, the type and number of awards, and the terms and conditions of each award, including vesting, subject to the provisions of the plan. The 2024 Incentive Plan will remain in effect until terminated by the Compensation Committee, provided that no awards may be granted later than ten years from the earlier of the date of Board or stockholder approval. As of December 31, 2025, no awards were granted under the 2024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pursuant to the 2021 Incentive Plan for the year ended December 31, 2025 is as follows:</w:t>
      </w:r>
    </w:p>
    <w:p>
      <w:pPr>
        <w:pStyle w:val="TextBody"/>
        <w:bidi w:val="0"/>
        <w:spacing w:before="0" w:after="0"/>
        <w:ind w:left="0" w:right="0" w:hanging="0"/>
        <w:jc w:val="center"/>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4385"/>
        <w:gridCol w:w="60"/>
        <w:gridCol w:w="60"/>
        <w:gridCol w:w="980"/>
        <w:gridCol w:w="95"/>
        <w:gridCol w:w="60"/>
        <w:gridCol w:w="328"/>
        <w:gridCol w:w="1597"/>
        <w:gridCol w:w="60"/>
        <w:gridCol w:w="60"/>
        <w:gridCol w:w="231"/>
        <w:gridCol w:w="1694"/>
        <w:gridCol w:w="75"/>
      </w:tblGrid>
      <w:tr>
        <w:trPr/>
        <w:tc>
          <w:tcPr>
            <w:tcW w:w="4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Remaining</w:t>
              <w:br/>
              <w:t>Contractual Life</w:t>
              <w:br/>
              <w:t>(in years)</w:t>
            </w:r>
          </w:p>
        </w:tc>
        <w:tc>
          <w:tcPr>
            <w:tcW w:w="75"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Options outstanding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2,032,521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597" w:type="dxa"/>
            <w:tcBorders/>
            <w:shd w:fill="CCEEFF" w:val="clear"/>
            <w:vAlign w:val="center"/>
          </w:tcPr>
          <w:p>
            <w:pPr>
              <w:pStyle w:val="TableContents"/>
              <w:bidi w:val="0"/>
              <w:spacing w:before="0" w:after="283"/>
              <w:jc w:val="right"/>
              <w:rPr/>
            </w:pPr>
            <w:r>
              <w:rPr/>
              <w:t>0.1151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6.22</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5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Options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(170,715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97" w:type="dxa"/>
            <w:tcBorders>
              <w:bottom w:val="single" w:sz="12" w:space="0" w:color="000000"/>
            </w:tcBorders>
            <w:shd w:fill="FFFFFF" w:val="clear"/>
            <w:tcMar>
              <w:bottom w:w="28" w:type="dxa"/>
            </w:tcMar>
            <w:vAlign w:val="center"/>
          </w:tcPr>
          <w:p>
            <w:pPr>
              <w:pStyle w:val="TableContents"/>
              <w:bidi w:val="0"/>
              <w:spacing w:before="0" w:after="283"/>
              <w:jc w:val="right"/>
              <w:rPr/>
            </w:pPr>
            <w:r>
              <w:rPr/>
              <w:t>0.1759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n/a </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Options outstanding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1,861,806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97" w:type="dxa"/>
            <w:tcBorders>
              <w:bottom w:val="single" w:sz="12" w:space="0" w:color="000000"/>
            </w:tcBorders>
            <w:shd w:fill="CCEEFF" w:val="clear"/>
            <w:tcMar>
              <w:bottom w:w="28" w:type="dxa"/>
            </w:tcMar>
            <w:vAlign w:val="center"/>
          </w:tcPr>
          <w:p>
            <w:pPr>
              <w:pStyle w:val="TableContents"/>
              <w:bidi w:val="0"/>
              <w:spacing w:before="0" w:after="283"/>
              <w:jc w:val="right"/>
              <w:rPr/>
            </w:pPr>
            <w:r>
              <w:rPr/>
              <w:t>0.1095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5.66</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Total vested 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1,816,184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97" w:type="dxa"/>
            <w:tcBorders>
              <w:bottom w:val="double" w:sz="10" w:space="0" w:color="000000"/>
            </w:tcBorders>
            <w:shd w:fill="FFFFFF" w:val="clear"/>
            <w:tcMar>
              <w:bottom w:w="28" w:type="dxa"/>
            </w:tcMar>
            <w:vAlign w:val="center"/>
          </w:tcPr>
          <w:p>
            <w:pPr>
              <w:pStyle w:val="TableContents"/>
              <w:bidi w:val="0"/>
              <w:spacing w:before="0" w:after="283"/>
              <w:jc w:val="right"/>
              <w:rPr/>
            </w:pPr>
            <w:r>
              <w:rPr/>
              <w:t>0.1074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double" w:sz="10" w:space="0" w:color="000000"/>
            </w:tcBorders>
            <w:shd w:fill="FFFFFF" w:val="clear"/>
            <w:tcMar>
              <w:bottom w:w="28" w:type="dxa"/>
            </w:tcMar>
            <w:vAlign w:val="center"/>
          </w:tcPr>
          <w:p>
            <w:pPr>
              <w:pStyle w:val="TableContents"/>
              <w:bidi w:val="0"/>
              <w:spacing w:before="0" w:after="283"/>
              <w:jc w:val="right"/>
              <w:rPr/>
            </w:pPr>
            <w:r>
              <w:rPr/>
              <w:t>5.83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recognized share-based compensation expense relating to stock options totaling $37,827 and $90,377, respectively. Share-based compensation expense relating to stock options is included in “General and administrative”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has been no stock option activity pursuant to the 2024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did not grant any restricted stock awards. As of December 31, 2025 and 2024, there were no unvested restricted stock awards. For the year ended December 31, 2025, the Company did not recognize any share-based compensation relating to 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Company recognized share-based compensation relating to restricted stock awards totaling $106,629. Share-based compensation relating to restricted stock awards is included in “General and administrative”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no unrecognized share-based compensation costs relating to 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accounting requires the presentation of both basic and diluted earnings per share on the face of the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shares of Common Stock underlying stock options totaling 1,861,806 and 2,032,521, respectively, and no unvested restricted stock awards, were excluded from the calculation of diluted net loss per share because they were antidilutive. In addition, 15,654,983 warrants outstanding as of December 31, 2025 were out of the money and also excluded from the calculation of diluted net loss per share for being antidilutive. Convertible debt outstanding during the period was also excluded from the calculation of diluted net loss per share, as the effect of applying the if-converted method would have been antidilutive.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the Company entered into a non-cancelable operating lease agreement for a facility in Bethesda, Maryland. This lease commenced on July 1, 2024, has a term of 63 months, and has an initial base rent of approximately $7,000 that increases annually by three percent. Under the terms of this lease, the Company is also responsible for their proportionate share of expenses associated with the facility and its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entered into a noncancelable operating lease agreement with an unrelated third-party for a 16,000 square foot facility in Puerto Rico. This lease commenced on February 1, 2025 on a month-to-month basis and became a long-term lease with an initial term of 5 years on June 1, 2025. The initial base rent is $7.00 per square foot, or $9,333 per month, for the first two years, increasing to $7.50 per square foot for the third year and increases by 3% annually thereafter. Under the terms of this lease, the Company is also responsible for their own utilities and a proportionate share of the operating expenses of the premises, not to exceed $3.25 per square foot.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years ended December 31, 2025 and 2024:</w:t>
      </w:r>
    </w:p>
    <w:p>
      <w:pPr>
        <w:pStyle w:val="TextBody"/>
        <w:bidi w:val="0"/>
        <w:spacing w:before="0" w:after="0"/>
        <w:ind w:left="0" w:right="0" w:hanging="0"/>
        <w:jc w:val="center"/>
        <w:rPr>
          <w:caps w:val="false"/>
          <w:smallCaps w:val="false"/>
        </w:rPr>
      </w:pPr>
      <w:r>
        <w:rPr>
          <w:caps w:val="false"/>
          <w:smallCaps w:val="false"/>
        </w:rPr>
        <w:t> </w:t>
      </w:r>
    </w:p>
    <w:tbl>
      <w:tblPr>
        <w:tblW w:w="4854" w:type="dxa"/>
        <w:jc w:val="left"/>
        <w:tblInd w:w="0" w:type="dxa"/>
        <w:tblLayout w:type="fixed"/>
        <w:tblCellMar>
          <w:top w:w="0" w:type="dxa"/>
          <w:left w:w="0" w:type="dxa"/>
          <w:bottom w:w="0" w:type="dxa"/>
          <w:right w:w="0" w:type="dxa"/>
        </w:tblCellMar>
      </w:tblPr>
      <w:tblGrid>
        <w:gridCol w:w="2555"/>
        <w:gridCol w:w="60"/>
        <w:gridCol w:w="161"/>
        <w:gridCol w:w="921"/>
        <w:gridCol w:w="69"/>
        <w:gridCol w:w="69"/>
        <w:gridCol w:w="161"/>
        <w:gridCol w:w="783"/>
        <w:gridCol w:w="75"/>
      </w:tblGrid>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6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921" w:type="dxa"/>
            <w:tcBorders/>
            <w:shd w:fill="CCEEFF" w:val="clear"/>
            <w:vAlign w:val="center"/>
          </w:tcPr>
          <w:p>
            <w:pPr>
              <w:pStyle w:val="TableContents"/>
              <w:bidi w:val="0"/>
              <w:spacing w:before="0" w:after="283"/>
              <w:jc w:val="right"/>
              <w:rPr/>
            </w:pPr>
            <w:r>
              <w:rPr/>
              <w:t>155,617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43,106</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Other short-term lease cost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1" w:type="dxa"/>
            <w:tcBorders>
              <w:bottom w:val="single" w:sz="12" w:space="0" w:color="000000"/>
            </w:tcBorders>
            <w:shd w:fill="FFFFFF" w:val="clear"/>
            <w:tcMar>
              <w:bottom w:w="28" w:type="dxa"/>
            </w:tcMar>
            <w:vAlign w:val="center"/>
          </w:tcPr>
          <w:p>
            <w:pPr>
              <w:pStyle w:val="TableContents"/>
              <w:bidi w:val="0"/>
              <w:spacing w:before="0" w:after="283"/>
              <w:jc w:val="right"/>
              <w:rPr/>
            </w:pPr>
            <w:r>
              <w:rPr/>
              <w:t>117,134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FFFFFF" w:val="clear"/>
            <w:tcMar>
              <w:bottom w:w="28" w:type="dxa"/>
            </w:tcMar>
            <w:vAlign w:val="center"/>
          </w:tcPr>
          <w:p>
            <w:pPr>
              <w:pStyle w:val="TableContents"/>
              <w:bidi w:val="0"/>
              <w:spacing w:before="0" w:after="283"/>
              <w:jc w:val="right"/>
              <w:rPr/>
            </w:pPr>
            <w:r>
              <w:rPr/>
              <w:t>35,006</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1" w:type="dxa"/>
            <w:tcBorders>
              <w:bottom w:val="double" w:sz="10" w:space="0" w:color="000000"/>
            </w:tcBorders>
            <w:shd w:fill="CCEEFF" w:val="clear"/>
            <w:tcMar>
              <w:bottom w:w="28" w:type="dxa"/>
            </w:tcMar>
            <w:vAlign w:val="center"/>
          </w:tcPr>
          <w:p>
            <w:pPr>
              <w:pStyle w:val="TableContents"/>
              <w:bidi w:val="0"/>
              <w:spacing w:before="0" w:after="283"/>
              <w:jc w:val="right"/>
              <w:rPr/>
            </w:pPr>
            <w:r>
              <w:rPr/>
              <w:t>272,751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3" w:type="dxa"/>
            <w:tcBorders>
              <w:bottom w:val="double" w:sz="10" w:space="0" w:color="000000"/>
            </w:tcBorders>
            <w:shd w:fill="CCEEFF" w:val="clear"/>
            <w:tcMar>
              <w:bottom w:w="28" w:type="dxa"/>
            </w:tcMar>
            <w:vAlign w:val="center"/>
          </w:tcPr>
          <w:p>
            <w:pPr>
              <w:pStyle w:val="TableContents"/>
              <w:bidi w:val="0"/>
              <w:spacing w:before="0" w:after="283"/>
              <w:jc w:val="right"/>
              <w:rPr/>
            </w:pPr>
            <w:r>
              <w:rPr/>
              <w:t>78,112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operating lease asset and liabilities recorded as of December 31, 2025 and 2024:</w:t>
      </w:r>
    </w:p>
    <w:p>
      <w:pPr>
        <w:pStyle w:val="TextBody"/>
        <w:bidi w:val="0"/>
        <w:spacing w:before="0" w:after="0"/>
        <w:ind w:left="0" w:right="0" w:hanging="0"/>
        <w:jc w:val="center"/>
        <w:rPr>
          <w:caps w:val="false"/>
          <w:smallCaps w:val="false"/>
        </w:rPr>
      </w:pPr>
      <w:r>
        <w:rPr>
          <w:caps w:val="false"/>
          <w:smallCaps w:val="false"/>
        </w:rPr>
        <w:t> </w:t>
      </w:r>
    </w:p>
    <w:tbl>
      <w:tblPr>
        <w:tblW w:w="7868" w:type="dxa"/>
        <w:jc w:val="left"/>
        <w:tblInd w:w="0" w:type="dxa"/>
        <w:tblLayout w:type="fixed"/>
        <w:tblCellMar>
          <w:top w:w="0" w:type="dxa"/>
          <w:left w:w="0" w:type="dxa"/>
          <w:bottom w:w="0" w:type="dxa"/>
          <w:right w:w="0" w:type="dxa"/>
        </w:tblCellMar>
      </w:tblPr>
      <w:tblGrid>
        <w:gridCol w:w="4475"/>
        <w:gridCol w:w="60"/>
        <w:gridCol w:w="194"/>
        <w:gridCol w:w="1220"/>
        <w:gridCol w:w="215"/>
        <w:gridCol w:w="60"/>
        <w:gridCol w:w="210"/>
        <w:gridCol w:w="1204"/>
        <w:gridCol w:w="230"/>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23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Operating lease right-of-use asset, gross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824,314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331,478</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(122,436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(23,586</w:t>
            </w:r>
          </w:p>
        </w:tc>
        <w:tc>
          <w:tcPr>
            <w:tcW w:w="23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Operating lease right-of-use asset, net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701,878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307,892</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Short-term operating lease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139,963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36,225</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577,656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265,413</w:t>
            </w:r>
          </w:p>
        </w:tc>
        <w:tc>
          <w:tcPr>
            <w:tcW w:w="23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717,619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CCEEFF" w:val="clear"/>
            <w:tcMar>
              <w:bottom w:w="28" w:type="dxa"/>
            </w:tcMar>
            <w:vAlign w:val="center"/>
          </w:tcPr>
          <w:p>
            <w:pPr>
              <w:pStyle w:val="TableContents"/>
              <w:bidi w:val="0"/>
              <w:spacing w:before="0" w:after="283"/>
              <w:jc w:val="right"/>
              <w:rPr/>
            </w:pPr>
            <w:r>
              <w:rPr/>
              <w:t>301,638</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sz w:val="20"/>
              </w:rPr>
            </w:pPr>
            <w:r>
              <w:rPr>
                <w:sz w:val="20"/>
              </w:rPr>
              <w:t>Weighted average operating lease term</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4.16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4.75 years</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Weighted average operating lease discount rate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9.53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11.83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future minimum lease commitments as of December 31, 2025:</w:t>
      </w:r>
    </w:p>
    <w:p>
      <w:pPr>
        <w:pStyle w:val="TextBody"/>
        <w:bidi w:val="0"/>
        <w:spacing w:before="0" w:after="0"/>
        <w:ind w:left="0" w:right="0" w:hanging="0"/>
        <w:jc w:val="both"/>
        <w:rPr>
          <w:caps w:val="false"/>
          <w:smallCaps w:val="false"/>
        </w:rPr>
      </w:pPr>
      <w:r>
        <w:rPr>
          <w:caps w:val="false"/>
          <w:smallCaps w:val="false"/>
        </w:rPr>
        <w:t> </w:t>
      </w:r>
    </w:p>
    <w:tbl>
      <w:tblPr>
        <w:tblW w:w="4200" w:type="dxa"/>
        <w:jc w:val="left"/>
        <w:tblInd w:w="0" w:type="dxa"/>
        <w:tblLayout w:type="fixed"/>
        <w:tblCellMar>
          <w:top w:w="0" w:type="dxa"/>
          <w:left w:w="0" w:type="dxa"/>
          <w:bottom w:w="28" w:type="dxa"/>
          <w:right w:w="0" w:type="dxa"/>
        </w:tblCellMar>
      </w:tblPr>
      <w:tblGrid>
        <w:gridCol w:w="2975"/>
        <w:gridCol w:w="60"/>
        <w:gridCol w:w="145"/>
        <w:gridCol w:w="910"/>
        <w:gridCol w:w="110"/>
      </w:tblGrid>
      <w:tr>
        <w:trPr/>
        <w:tc>
          <w:tcPr>
            <w:tcW w:w="2975" w:type="dxa"/>
            <w:tcBorders>
              <w:bottom w:val="single" w:sz="12" w:space="0" w:color="000000"/>
            </w:tcBorders>
            <w:vAlign w:val="center"/>
          </w:tcPr>
          <w:p>
            <w:pPr>
              <w:pStyle w:val="TableContents"/>
              <w:bidi w:val="0"/>
              <w:spacing w:before="0" w:after="283"/>
              <w:jc w:val="left"/>
              <w:rPr>
                <w:b/>
              </w:rPr>
            </w:pPr>
            <w:r>
              <w:rPr>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12" w:space="0" w:color="000000"/>
            </w:tcBorders>
            <w:vAlign w:val="center"/>
          </w:tcPr>
          <w:p>
            <w:pPr>
              <w:pStyle w:val="TableContents"/>
              <w:bidi w:val="0"/>
              <w:spacing w:before="0" w:after="283"/>
              <w:jc w:val="center"/>
              <w:rPr>
                <w:b/>
              </w:rPr>
            </w:pPr>
            <w:r>
              <w:rPr>
                <w:b/>
              </w:rPr>
              <w:t>Operating</w:t>
              <w:br/>
              <w:t>Leases</w:t>
            </w:r>
          </w:p>
        </w:tc>
        <w:tc>
          <w:tcPr>
            <w:tcW w:w="110" w:type="dxa"/>
            <w:tcBorders/>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w:t>
            </w:r>
          </w:p>
        </w:tc>
        <w:tc>
          <w:tcPr>
            <w:tcW w:w="910" w:type="dxa"/>
            <w:tcBorders/>
            <w:shd w:fill="CCEEFF" w:val="clear"/>
            <w:tcMar>
              <w:bottom w:w="0" w:type="dxa"/>
            </w:tcMar>
            <w:vAlign w:val="center"/>
          </w:tcPr>
          <w:p>
            <w:pPr>
              <w:pStyle w:val="TableContents"/>
              <w:bidi w:val="0"/>
              <w:spacing w:before="0" w:after="283"/>
              <w:jc w:val="right"/>
              <w:rPr/>
            </w:pPr>
            <w:r>
              <w:rPr/>
              <w:t>200,462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910" w:type="dxa"/>
            <w:tcBorders/>
            <w:shd w:fill="FFFFFF" w:val="clear"/>
            <w:tcMar>
              <w:bottom w:w="0" w:type="dxa"/>
            </w:tcMar>
            <w:vAlign w:val="center"/>
          </w:tcPr>
          <w:p>
            <w:pPr>
              <w:pStyle w:val="TableContents"/>
              <w:bidi w:val="0"/>
              <w:spacing w:before="0" w:after="283"/>
              <w:jc w:val="right"/>
              <w:rPr/>
            </w:pPr>
            <w:r>
              <w:rPr/>
              <w:t>207,783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910" w:type="dxa"/>
            <w:tcBorders/>
            <w:shd w:fill="CCEEFF" w:val="clear"/>
            <w:tcMar>
              <w:bottom w:w="0" w:type="dxa"/>
            </w:tcMar>
            <w:vAlign w:val="center"/>
          </w:tcPr>
          <w:p>
            <w:pPr>
              <w:pStyle w:val="TableContents"/>
              <w:bidi w:val="0"/>
              <w:spacing w:before="0" w:after="283"/>
              <w:jc w:val="right"/>
              <w:rPr/>
            </w:pPr>
            <w:r>
              <w:rPr/>
              <w:t>215,950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910" w:type="dxa"/>
            <w:tcBorders/>
            <w:shd w:fill="FFFFFF" w:val="clear"/>
            <w:tcMar>
              <w:bottom w:w="0" w:type="dxa"/>
            </w:tcMar>
            <w:vAlign w:val="center"/>
          </w:tcPr>
          <w:p>
            <w:pPr>
              <w:pStyle w:val="TableContents"/>
              <w:bidi w:val="0"/>
              <w:spacing w:before="0" w:after="283"/>
              <w:jc w:val="right"/>
              <w:rPr/>
            </w:pPr>
            <w:r>
              <w:rPr/>
              <w:t>197,905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shd w:fill="CCEEFF" w:val="clear"/>
            <w:vAlign w:val="center"/>
          </w:tcPr>
          <w:p>
            <w:pPr>
              <w:pStyle w:val="TableContents"/>
              <w:bidi w:val="0"/>
              <w:spacing w:before="0" w:after="283"/>
              <w:jc w:val="left"/>
              <w:rPr/>
            </w:pPr>
            <w:r>
              <w:rPr/>
              <w:t> </w:t>
            </w:r>
          </w:p>
        </w:tc>
        <w:tc>
          <w:tcPr>
            <w:tcW w:w="910" w:type="dxa"/>
            <w:tcBorders>
              <w:bottom w:val="single" w:sz="12" w:space="0" w:color="000000"/>
            </w:tcBorders>
            <w:shd w:fill="CCEEFF" w:val="clear"/>
            <w:vAlign w:val="center"/>
          </w:tcPr>
          <w:p>
            <w:pPr>
              <w:pStyle w:val="TableContents"/>
              <w:bidi w:val="0"/>
              <w:spacing w:before="0" w:after="283"/>
              <w:jc w:val="right"/>
              <w:rPr/>
            </w:pPr>
            <w:r>
              <w:rPr/>
              <w:t>42,436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pPr>
            <w:r>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w:t>
            </w:r>
          </w:p>
        </w:tc>
        <w:tc>
          <w:tcPr>
            <w:tcW w:w="910" w:type="dxa"/>
            <w:tcBorders/>
            <w:shd w:fill="FFFFFF" w:val="clear"/>
            <w:tcMar>
              <w:bottom w:w="0" w:type="dxa"/>
            </w:tcMar>
            <w:vAlign w:val="center"/>
          </w:tcPr>
          <w:p>
            <w:pPr>
              <w:pStyle w:val="TableContents"/>
              <w:bidi w:val="0"/>
              <w:spacing w:before="0" w:after="283"/>
              <w:jc w:val="right"/>
              <w:rPr/>
            </w:pPr>
            <w:r>
              <w:rPr/>
              <w:t>864,536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shd w:fill="CCEEFF" w:val="clear"/>
            <w:vAlign w:val="center"/>
          </w:tcPr>
          <w:p>
            <w:pPr>
              <w:pStyle w:val="TableContents"/>
              <w:bidi w:val="0"/>
              <w:spacing w:before="0" w:after="283"/>
              <w:jc w:val="left"/>
              <w:rPr/>
            </w:pPr>
            <w:r>
              <w:rPr/>
              <w:t> </w:t>
            </w:r>
          </w:p>
        </w:tc>
        <w:tc>
          <w:tcPr>
            <w:tcW w:w="910" w:type="dxa"/>
            <w:tcBorders>
              <w:bottom w:val="single" w:sz="12" w:space="0" w:color="000000"/>
            </w:tcBorders>
            <w:shd w:fill="CCEEFF" w:val="clear"/>
            <w:vAlign w:val="center"/>
          </w:tcPr>
          <w:p>
            <w:pPr>
              <w:pStyle w:val="TableContents"/>
              <w:bidi w:val="0"/>
              <w:spacing w:before="0" w:after="283"/>
              <w:jc w:val="right"/>
              <w:rPr/>
            </w:pPr>
            <w:r>
              <w:rPr/>
              <w:t>(146,917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975" w:type="dxa"/>
            <w:tcBorders/>
            <w:shd w:fill="FFFFFF" w:val="clear"/>
            <w:tcMar>
              <w:bottom w:w="0" w:type="dxa"/>
            </w:tcMar>
            <w:vAlign w:val="center"/>
          </w:tcPr>
          <w:p>
            <w:pPr>
              <w:pStyle w:val="TableContents"/>
              <w:bidi w:val="0"/>
              <w:spacing w:before="0" w:after="283"/>
              <w:jc w:val="left"/>
              <w:rPr/>
            </w:pPr>
            <w:r>
              <w:rPr/>
              <w:t>Present value of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bottom w:val="double" w:sz="10" w:space="0" w:color="000000"/>
            </w:tcBorders>
            <w:shd w:fill="FFFFFF" w:val="clear"/>
            <w:vAlign w:val="center"/>
          </w:tcPr>
          <w:p>
            <w:pPr>
              <w:pStyle w:val="TableContents"/>
              <w:bidi w:val="0"/>
              <w:spacing w:before="0" w:after="283"/>
              <w:jc w:val="left"/>
              <w:rPr/>
            </w:pPr>
            <w:r>
              <w:rPr/>
              <w:t>$</w:t>
            </w:r>
          </w:p>
        </w:tc>
        <w:tc>
          <w:tcPr>
            <w:tcW w:w="910" w:type="dxa"/>
            <w:tcBorders>
              <w:bottom w:val="double" w:sz="10" w:space="0" w:color="000000"/>
            </w:tcBorders>
            <w:shd w:fill="FFFFFF" w:val="clear"/>
            <w:vAlign w:val="center"/>
          </w:tcPr>
          <w:p>
            <w:pPr>
              <w:pStyle w:val="TableContents"/>
              <w:bidi w:val="0"/>
              <w:spacing w:before="0" w:after="283"/>
              <w:jc w:val="right"/>
              <w:rPr/>
            </w:pPr>
            <w:r>
              <w:rPr/>
              <w:t>717,619</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 include entities that are under common ownership or control with the Company, as well as entities owned in whole or in part by members of the Company’s management, board of directors, or significant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consolidated balance sheets. During the year ended December 31, 2025 the Company delivered the products and recognized $750,000 revenue from the deferred revenue balance. Pope Technologies LLC is owned by a director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$26,302 and $15,145 for the years ended December 31, 2025 and 2024, respectively. As of December 31, 2025 and 2024, amounts outstanding under this agreement were $2,928 and $1,164 respectively, and are included in “Accounts receivable” on the accompanying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$23,850 and $6,400 for the years ended December 31, 2025 and 2024, respectively. In September 2025, the Company paid a one-time fee of $13,610 to terminate the lease. The lease was terminated as of September 30, 2025. Beginning October 1, 2025, the Company entered into a month-to-month lease for the same location at a monthly rent of $5,813.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as of December 31, 2025 and 2024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8038" w:type="dxa"/>
        <w:jc w:val="left"/>
        <w:tblInd w:w="0" w:type="dxa"/>
        <w:tblLayout w:type="fixed"/>
        <w:tblCellMar>
          <w:top w:w="0" w:type="dxa"/>
          <w:left w:w="0" w:type="dxa"/>
          <w:bottom w:w="0" w:type="dxa"/>
          <w:right w:w="0" w:type="dxa"/>
        </w:tblCellMar>
      </w:tblPr>
      <w:tblGrid>
        <w:gridCol w:w="4955"/>
        <w:gridCol w:w="60"/>
        <w:gridCol w:w="176"/>
        <w:gridCol w:w="1238"/>
        <w:gridCol w:w="60"/>
        <w:gridCol w:w="60"/>
        <w:gridCol w:w="241"/>
        <w:gridCol w:w="1173"/>
        <w:gridCol w:w="75"/>
      </w:tblGrid>
      <w:tr>
        <w:trPr/>
        <w:tc>
          <w:tcPr>
            <w:tcW w:w="4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Transaction costs accrued for Cohen Capital Market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1,003,500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Board of directors’ fees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780,000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42,689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24,219</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Total accrued expenses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shd w:fill="FFFFFF" w:val="clear"/>
            <w:tcMar>
              <w:bottom w:w="28" w:type="dxa"/>
            </w:tcMar>
            <w:vAlign w:val="center"/>
          </w:tcPr>
          <w:p>
            <w:pPr>
              <w:pStyle w:val="TableContents"/>
              <w:bidi w:val="0"/>
              <w:spacing w:before="0" w:after="283"/>
              <w:jc w:val="right"/>
              <w:rPr/>
            </w:pPr>
            <w:r>
              <w:rPr/>
              <w:t>1,826,189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24,219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as of December 31, 2025 and 2024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4903" w:type="dxa"/>
        <w:jc w:val="left"/>
        <w:tblInd w:w="0" w:type="dxa"/>
        <w:tblLayout w:type="fixed"/>
        <w:tblCellMar>
          <w:top w:w="0" w:type="dxa"/>
          <w:left w:w="0" w:type="dxa"/>
          <w:bottom w:w="0" w:type="dxa"/>
          <w:right w:w="0" w:type="dxa"/>
        </w:tblCellMar>
      </w:tblPr>
      <w:tblGrid>
        <w:gridCol w:w="1820"/>
        <w:gridCol w:w="60"/>
        <w:gridCol w:w="176"/>
        <w:gridCol w:w="1238"/>
        <w:gridCol w:w="60"/>
        <w:gridCol w:w="60"/>
        <w:gridCol w:w="241"/>
        <w:gridCol w:w="1173"/>
        <w:gridCol w:w="75"/>
      </w:tblGrid>
      <w:tr>
        <w:trPr/>
        <w:tc>
          <w:tcPr>
            <w:tcW w:w="1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1,064,464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65,248</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Shipping costs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64,066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Inventory in transit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186,245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FFFFFF" w:val="clear"/>
            <w:tcMar>
              <w:bottom w:w="28" w:type="dxa"/>
            </w:tcMar>
            <w:vAlign w:val="center"/>
          </w:tcPr>
          <w:p>
            <w:pPr>
              <w:pStyle w:val="TableContents"/>
              <w:bidi w:val="0"/>
              <w:spacing w:before="0" w:after="283"/>
              <w:jc w:val="right"/>
              <w:rPr/>
            </w:pPr>
            <w:r>
              <w:rPr/>
              <w:t>116,106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Total inventories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shd w:fill="CCEEFF" w:val="clear"/>
            <w:tcMar>
              <w:bottom w:w="28" w:type="dxa"/>
            </w:tcMar>
            <w:vAlign w:val="center"/>
          </w:tcPr>
          <w:p>
            <w:pPr>
              <w:pStyle w:val="TableContents"/>
              <w:bidi w:val="0"/>
              <w:spacing w:before="0" w:after="283"/>
              <w:jc w:val="right"/>
              <w:rPr/>
            </w:pPr>
            <w:r>
              <w:rPr/>
              <w:t>1,430,881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65,248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Commitment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2025, the Company terminated the employment of one of its founders, who also served as the Customer Experience Officer. The former employee did not execute the termination agreement prior to its expiration during the third quarter and has subsequently filed a lawsuit against the Company on September 8, 2025. On October 23, 2025, the Company filed a motion to dismiss several causes of action and requested that the court dismiss all claims in their entirety. On December 15, 2025, the District Court of Clark County, Nevada denied the Company’s motion to dismiss with respect to the former employee’s claims for intentional interference with contract, intentional interference with prospective economic advantage, civil conspiracy/concert of action and conversion, and granted the motion with respect to the unjust enrichment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former employee originally held 5,000,260 shares of the Company’s Common Stock. On December 23, 2025, pursuant to bona fide gifts for which no consideration was received, the former employee transferred an aggregate of 2,497,331 shares of Common Stock to individuals not affiliated with the former employee for purposes of beneficial ownership reporting under applicable federal securities laws. In addition, in connection with the expiration of the termination agreement during the third quarter, 170,715 stock options that were exercisable at $0.176 per share (after applying the 8.1% stock option conversion ratio to the original exercise price of $0.0143 per share) were forfeited. The outcome of this legal matter is not known or probable at this time; accordingly, no amounts have been accrued for a potential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matters described above, in the ordinary course of business, the Company may become subject to litigation, claims, and regulatory matters. Although it is not feasible to predict the outcome of these matters, the Company believes, unless otherwise indicated below, given the information currently available, that the ultimate resolution of any particular matter, or matters that have the same legal or factual issues, will not have a material adverse effect on its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 single reportable segment, which generates revenue primarily from the sale of hardware and related software solutions. Hardware sales represent the initial step in a customer’s adoption of the Company’s SaaS subscription platform and have been a primary driver of revenue growth. This segment also includes ongoing software and subscription services, as well as exclusivity arrangements with resellers that provide protection from competitive sales. The Company’s focus on this integrated hardware and software model reflects its strategy to expand customer adoption of its SaaS platform, strengthen reseller partnerships, and drive sustainable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by major product and service category for the years ended December 31, 2025 and 2024 is presented in the table below. Product revenue consists primarily of sales of hardware devices, such as bridges, labels, and gateways, which represent the initial step in a customer’s adoption of the Company’s SaaS subscription platform and have contributed significantly to overall revenue growth. Service revenue consists primarily of software subscription services providing access to the Company’s cloud-based platform, as well as related training, support, exclusivity arrangement services, professional services such as onboarding and consulting, and feasibility study reports provided to customers. For the year ended December 31, 2025, product revenue represented the majority of total revenue, reflecting increased hardware sales as the Company expanded customer adoption of its integrated hardware and software solution. For the year ended December 31, 2024, revenue was generated solely from services. All of the Company’s revenue for the periods presented was generated from customers located in the United States.</w:t>
      </w:r>
    </w:p>
    <w:p>
      <w:pPr>
        <w:pStyle w:val="TextBody"/>
        <w:bidi w:val="0"/>
        <w:spacing w:before="0" w:after="0"/>
        <w:ind w:left="0" w:right="0" w:hanging="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1430"/>
        <w:gridCol w:w="60"/>
        <w:gridCol w:w="140"/>
        <w:gridCol w:w="980"/>
        <w:gridCol w:w="60"/>
        <w:gridCol w:w="60"/>
        <w:gridCol w:w="140"/>
        <w:gridCol w:w="800"/>
        <w:gridCol w:w="75"/>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347,814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172,661</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5,456,554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5,804,369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172,661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had total deferred revenue of $1,984,550 and $2,713,215, respectively. Of these amounts, $236,038 and $1,142,643, respectively, were expected to be recognized as revenue within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decision-makers (the “CODM”), which are the Company’s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goods sold, can be easily computed from the information provided. This segment’s measures of profitability are shown in the consolidated statements of operations. The measure of segment assets is reported on the consolidated balance sheets as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 consists of:</w:t>
      </w:r>
    </w:p>
    <w:p>
      <w:pPr>
        <w:pStyle w:val="TextBody"/>
        <w:bidi w:val="0"/>
        <w:spacing w:before="0" w:after="0"/>
        <w:ind w:left="0" w:right="0" w:hanging="0"/>
        <w:jc w:val="both"/>
        <w:rPr>
          <w:caps w:val="false"/>
          <w:smallCaps w:val="false"/>
        </w:rPr>
      </w:pPr>
      <w:r>
        <w:rPr>
          <w:caps w:val="false"/>
          <w:smallCaps w:val="false"/>
        </w:rPr>
        <w:t> </w:t>
      </w:r>
    </w:p>
    <w:tbl>
      <w:tblPr>
        <w:tblW w:w="4895" w:type="dxa"/>
        <w:jc w:val="left"/>
        <w:tblInd w:w="0" w:type="dxa"/>
        <w:tblLayout w:type="fixed"/>
        <w:tblCellMar>
          <w:top w:w="0" w:type="dxa"/>
          <w:left w:w="0" w:type="dxa"/>
          <w:bottom w:w="0" w:type="dxa"/>
          <w:right w:w="0" w:type="dxa"/>
        </w:tblCellMar>
      </w:tblPr>
      <w:tblGrid>
        <w:gridCol w:w="1940"/>
        <w:gridCol w:w="60"/>
        <w:gridCol w:w="140"/>
        <w:gridCol w:w="1175"/>
        <w:gridCol w:w="95"/>
        <w:gridCol w:w="60"/>
        <w:gridCol w:w="140"/>
        <w:gridCol w:w="1175"/>
        <w:gridCol w:w="110"/>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December 31,</w:t>
            </w:r>
          </w:p>
        </w:tc>
        <w:tc>
          <w:tcPr>
            <w:tcW w:w="11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(37,841,287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(21,278,239</w:t>
            </w:r>
          </w:p>
        </w:tc>
        <w:tc>
          <w:tcPr>
            <w:tcW w:w="110" w:type="dxa"/>
            <w:tcBorders/>
            <w:shd w:fill="CCEEFF" w:val="clear"/>
            <w:vAlign w:val="center"/>
          </w:tcPr>
          <w:p>
            <w:pPr>
              <w:pStyle w:val="TableContents"/>
              <w:bidi w:val="0"/>
              <w:spacing w:before="0" w:after="283"/>
              <w:jc w:val="left"/>
              <w:rPr/>
            </w:pPr>
            <w:r>
              <w:rPr/>
              <w:t>)</w:t>
            </w:r>
          </w:p>
        </w:tc>
      </w:tr>
      <w:tr>
        <w:trPr/>
        <w:tc>
          <w:tcPr>
            <w:tcW w:w="1940"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1,123,216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(258,610</w:t>
            </w:r>
          </w:p>
        </w:tc>
        <w:tc>
          <w:tcPr>
            <w:tcW w:w="110" w:type="dxa"/>
            <w:tcBorders/>
            <w:shd w:fill="FFFFFF" w:val="clear"/>
            <w:vAlign w:val="center"/>
          </w:tcPr>
          <w:p>
            <w:pPr>
              <w:pStyle w:val="TableContents"/>
              <w:bidi w:val="0"/>
              <w:spacing w:before="0" w:after="283"/>
              <w:jc w:val="left"/>
              <w:rPr/>
            </w:pPr>
            <w:r>
              <w:rPr/>
              <w:t>)</w:t>
            </w:r>
          </w:p>
        </w:tc>
      </w:tr>
      <w:tr>
        <w:trPr/>
        <w:tc>
          <w:tcPr>
            <w:tcW w:w="1940" w:type="dxa"/>
            <w:tcBorders/>
            <w:shd w:fill="CCEEFF" w:val="clear"/>
            <w:vAlign w:val="center"/>
          </w:tcPr>
          <w:p>
            <w:pPr>
              <w:pStyle w:val="TableContents"/>
              <w:bidi w:val="0"/>
              <w:spacing w:before="0" w:after="283"/>
              <w:jc w:val="left"/>
              <w:rPr/>
            </w:pPr>
            <w:r>
              <w:rPr/>
              <w:t>Income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(36,718,071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(21,536,849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income tax provision expense (benefit) for the years ended December 31, 2025 and 2024 were as follows:</w:t>
      </w:r>
    </w:p>
    <w:p>
      <w:pPr>
        <w:pStyle w:val="TextBody"/>
        <w:bidi w:val="0"/>
        <w:spacing w:before="0" w:after="0"/>
        <w:ind w:left="0" w:right="0" w:hanging="0"/>
        <w:jc w:val="both"/>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3440"/>
        <w:gridCol w:w="60"/>
        <w:gridCol w:w="140"/>
        <w:gridCol w:w="875"/>
        <w:gridCol w:w="95"/>
        <w:gridCol w:w="60"/>
        <w:gridCol w:w="140"/>
        <w:gridCol w:w="1055"/>
        <w:gridCol w:w="110"/>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11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b/>
              </w:rPr>
            </w:pPr>
            <w:r>
              <w:rPr>
                <w:b/>
              </w:rPr>
              <w:t>Current provision</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 </w:t>
            </w: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 </w:t>
            </w:r>
            <w:r>
              <w:rPr/>
              <w:t>-</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581</w:t>
            </w:r>
          </w:p>
        </w:tc>
        <w:tc>
          <w:tcPr>
            <w:tcW w:w="11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Foreign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Current 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581</w:t>
            </w:r>
          </w:p>
        </w:tc>
        <w:tc>
          <w:tcPr>
            <w:tcW w:w="11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b/>
              </w:rPr>
            </w:pPr>
            <w:r>
              <w:rPr>
                <w:b/>
              </w:rPr>
              <w:t>Deferred provision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124,223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(4,045,818</w:t>
            </w:r>
          </w:p>
        </w:tc>
        <w:tc>
          <w:tcPr>
            <w:tcW w:w="110" w:type="dxa"/>
            <w:tcBorders/>
            <w:shd w:fill="CCEEFF" w:val="clear"/>
            <w:vAlign w:val="center"/>
          </w:tcPr>
          <w:p>
            <w:pPr>
              <w:pStyle w:val="TableContents"/>
              <w:bidi w:val="0"/>
              <w:spacing w:before="0" w:after="283"/>
              <w:jc w:val="left"/>
              <w:rPr/>
            </w:pPr>
            <w:r>
              <w:rPr/>
              <w:t>)</w:t>
            </w:r>
          </w:p>
        </w:tc>
      </w:tr>
      <w:tr>
        <w:trPr/>
        <w:tc>
          <w:tcPr>
            <w:tcW w:w="344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(275,872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(105,464</w:t>
            </w:r>
          </w:p>
        </w:tc>
        <w:tc>
          <w:tcPr>
            <w:tcW w:w="110" w:type="dxa"/>
            <w:tcBorders/>
            <w:shd w:fill="FFFFFF" w:val="clear"/>
            <w:vAlign w:val="center"/>
          </w:tcPr>
          <w:p>
            <w:pPr>
              <w:pStyle w:val="TableContents"/>
              <w:bidi w:val="0"/>
              <w:spacing w:before="0" w:after="283"/>
              <w:jc w:val="left"/>
              <w:rPr/>
            </w:pPr>
            <w:r>
              <w:rPr/>
              <w:t>)</w:t>
            </w:r>
          </w:p>
        </w:tc>
      </w:tr>
      <w:tr>
        <w:trPr/>
        <w:tc>
          <w:tcPr>
            <w:tcW w:w="3440" w:type="dxa"/>
            <w:tcBorders/>
            <w:shd w:fill="CCEEFF" w:val="clear"/>
            <w:vAlign w:val="center"/>
          </w:tcPr>
          <w:p>
            <w:pPr>
              <w:pStyle w:val="TableContents"/>
              <w:bidi w:val="0"/>
              <w:spacing w:before="0" w:after="283"/>
              <w:jc w:val="left"/>
              <w:rPr/>
            </w:pPr>
            <w:r>
              <w:rPr/>
              <w:t>Foreign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(10,338</w:t>
            </w:r>
          </w:p>
        </w:tc>
        <w:tc>
          <w:tcPr>
            <w:tcW w:w="110" w:type="dxa"/>
            <w:tcBorders/>
            <w:shd w:fill="CCEEFF" w:val="clear"/>
            <w:vAlign w:val="center"/>
          </w:tcPr>
          <w:p>
            <w:pPr>
              <w:pStyle w:val="TableContents"/>
              <w:bidi w:val="0"/>
              <w:spacing w:before="0" w:after="283"/>
              <w:jc w:val="left"/>
              <w:rPr/>
            </w:pPr>
            <w:r>
              <w:rPr/>
              <w:t>)</w:t>
            </w:r>
          </w:p>
        </w:tc>
      </w:tr>
      <w:tr>
        <w:trPr/>
        <w:tc>
          <w:tcPr>
            <w:tcW w:w="3440"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141,311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4,161,621</w:t>
            </w:r>
          </w:p>
        </w:tc>
        <w:tc>
          <w:tcPr>
            <w:tcW w:w="11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Deferred 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Total 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581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ASU No. 2023-09 “Income Taxes (Topic 740): Improvements to Income Tax Disclosures,” on a prospective basis beginning with the year ended December 31, 2025. The following table presents required disclosure pursuant to ASU No. 2023-09 and reconciles the U.S. federal statutory tax amount and rate to our actual global effective amount and rate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9028" w:type="dxa"/>
        <w:jc w:val="left"/>
        <w:tblInd w:w="0" w:type="dxa"/>
        <w:tblLayout w:type="fixed"/>
        <w:tblCellMar>
          <w:top w:w="0" w:type="dxa"/>
          <w:left w:w="0" w:type="dxa"/>
          <w:bottom w:w="0" w:type="dxa"/>
          <w:right w:w="0" w:type="dxa"/>
        </w:tblCellMar>
      </w:tblPr>
      <w:tblGrid>
        <w:gridCol w:w="6410"/>
        <w:gridCol w:w="60"/>
        <w:gridCol w:w="150"/>
        <w:gridCol w:w="1137"/>
        <w:gridCol w:w="102"/>
        <w:gridCol w:w="64"/>
        <w:gridCol w:w="83"/>
        <w:gridCol w:w="717"/>
        <w:gridCol w:w="305"/>
      </w:tblGrid>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 2025</w:t>
            </w:r>
          </w:p>
        </w:tc>
        <w:tc>
          <w:tcPr>
            <w:tcW w:w="305"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305"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U.S. federal statutory tax rate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(7,710,795</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(21.0</w:t>
            </w:r>
          </w:p>
        </w:tc>
        <w:tc>
          <w:tcPr>
            <w:tcW w:w="305" w:type="dxa"/>
            <w:tcBorders/>
            <w:shd w:fill="CCEEFF" w:val="clear"/>
            <w:vAlign w:val="center"/>
          </w:tcPr>
          <w:p>
            <w:pPr>
              <w:pStyle w:val="TableContents"/>
              <w:bidi w:val="0"/>
              <w:spacing w:before="0" w:after="283"/>
              <w:jc w:val="left"/>
              <w:rPr/>
            </w:pPr>
            <w:r>
              <w:rPr/>
              <w:t>)%</w:t>
            </w:r>
          </w:p>
        </w:tc>
      </w:tr>
      <w:tr>
        <w:trPr/>
        <w:tc>
          <w:tcPr>
            <w:tcW w:w="6410" w:type="dxa"/>
            <w:tcBorders/>
            <w:shd w:fill="FFFFFF" w:val="clear"/>
            <w:vAlign w:val="center"/>
          </w:tcPr>
          <w:p>
            <w:pPr>
              <w:pStyle w:val="TableContents"/>
              <w:bidi w:val="0"/>
              <w:spacing w:before="0" w:after="283"/>
              <w:jc w:val="left"/>
              <w:rPr/>
            </w:pPr>
            <w:r>
              <w:rPr/>
              <w:t>State income taxes, net of federal income tax effect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(282,645</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(0.8</w:t>
            </w:r>
          </w:p>
        </w:tc>
        <w:tc>
          <w:tcPr>
            <w:tcW w:w="305" w:type="dxa"/>
            <w:tcBorders/>
            <w:shd w:fill="FFFFFF" w:val="clear"/>
            <w:vAlign w:val="center"/>
          </w:tcPr>
          <w:p>
            <w:pPr>
              <w:pStyle w:val="TableContents"/>
              <w:bidi w:val="0"/>
              <w:spacing w:before="0" w:after="283"/>
              <w:jc w:val="left"/>
              <w:rPr/>
            </w:pPr>
            <w:r>
              <w:rPr/>
              <w:t>)</w:t>
            </w:r>
          </w:p>
        </w:tc>
      </w:tr>
      <w:tr>
        <w:trPr/>
        <w:tc>
          <w:tcPr>
            <w:tcW w:w="6410"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Puerto Rico</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Statutory tax rate difference between Puerto Rico and United States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(247,107</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(0.6</w:t>
            </w:r>
          </w:p>
        </w:tc>
        <w:tc>
          <w:tcPr>
            <w:tcW w:w="305" w:type="dxa"/>
            <w:tcBorders/>
            <w:shd w:fill="CCEEFF" w:val="clear"/>
            <w:vAlign w:val="center"/>
          </w:tcPr>
          <w:p>
            <w:pPr>
              <w:pStyle w:val="TableContents"/>
              <w:bidi w:val="0"/>
              <w:spacing w:before="0" w:after="283"/>
              <w:jc w:val="left"/>
              <w:rPr/>
            </w:pPr>
            <w:r>
              <w:rPr/>
              <w:t>)</w:t>
            </w:r>
          </w:p>
        </w:tc>
      </w:tr>
      <w:tr>
        <w:trPr/>
        <w:tc>
          <w:tcPr>
            <w:tcW w:w="6410" w:type="dxa"/>
            <w:tcBorders/>
            <w:shd w:fill="FFFFFF" w:val="clear"/>
            <w:vAlign w:val="center"/>
          </w:tcPr>
          <w:p>
            <w:pPr>
              <w:pStyle w:val="TableContents"/>
              <w:bidi w:val="0"/>
              <w:spacing w:before="0" w:after="283"/>
              <w:jc w:val="left"/>
              <w:rPr/>
            </w:pPr>
            <w:r>
              <w:rPr/>
              <w:t>Changes in valuation allowance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(10,338</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Effect of cross-border tax laws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Global intangible low-tax income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22,250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0.1</w:t>
            </w:r>
          </w:p>
        </w:tc>
        <w:tc>
          <w:tcPr>
            <w:tcW w:w="305"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Changes in valuation allowance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151,649</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0.4</w:t>
            </w:r>
          </w:p>
        </w:tc>
        <w:tc>
          <w:tcPr>
            <w:tcW w:w="30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Nontaxable or nondeductible items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Change in Fair Value of SAFE agreements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3,647,367</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9.9</w:t>
            </w:r>
          </w:p>
        </w:tc>
        <w:tc>
          <w:tcPr>
            <w:tcW w:w="30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Transaction costs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548,015</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1.5</w:t>
            </w:r>
          </w:p>
        </w:tc>
        <w:tc>
          <w:tcPr>
            <w:tcW w:w="305"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1,202,942</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3.3</w:t>
            </w:r>
          </w:p>
        </w:tc>
        <w:tc>
          <w:tcPr>
            <w:tcW w:w="30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Deferred tax true-ups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2,551,581</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6.9</w:t>
            </w:r>
          </w:p>
        </w:tc>
        <w:tc>
          <w:tcPr>
            <w:tcW w:w="305"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Other adjustments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shd w:fill="FFFFFF" w:val="clear"/>
            <w:tcMar>
              <w:bottom w:w="28" w:type="dxa"/>
            </w:tcMar>
            <w:vAlign w:val="center"/>
          </w:tcPr>
          <w:p>
            <w:pPr>
              <w:pStyle w:val="TableContents"/>
              <w:bidi w:val="0"/>
              <w:spacing w:before="0" w:after="283"/>
              <w:jc w:val="right"/>
              <w:rPr/>
            </w:pPr>
            <w:r>
              <w:rPr/>
              <w:t>127,081</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pPr>
            <w:r>
              <w:rPr/>
              <w:t>0.3</w:t>
            </w:r>
          </w:p>
        </w:tc>
        <w:tc>
          <w:tcPr>
            <w:tcW w:w="305"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Effective tax rate</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7"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double" w:sz="10" w:space="0" w:color="000000"/>
            </w:tcBorders>
            <w:shd w:fill="CCEEFF" w:val="clear"/>
            <w:tcMar>
              <w:bottom w:w="28" w:type="dxa"/>
            </w:tcMar>
            <w:vAlign w:val="center"/>
          </w:tcPr>
          <w:p>
            <w:pPr>
              <w:pStyle w:val="TableContents"/>
              <w:bidi w:val="0"/>
              <w:spacing w:before="0" w:after="283"/>
              <w:jc w:val="right"/>
              <w:rPr/>
            </w:pPr>
            <w:r>
              <w:rPr/>
              <w:t>0.0</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the Company’s deferred tax assets are as follows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189" w:type="dxa"/>
        <w:jc w:val="left"/>
        <w:tblInd w:w="0" w:type="dxa"/>
        <w:tblLayout w:type="fixed"/>
        <w:tblCellMar>
          <w:top w:w="0" w:type="dxa"/>
          <w:left w:w="0" w:type="dxa"/>
          <w:bottom w:w="0" w:type="dxa"/>
          <w:right w:w="0" w:type="dxa"/>
        </w:tblCellMar>
      </w:tblPr>
      <w:tblGrid>
        <w:gridCol w:w="3605"/>
        <w:gridCol w:w="60"/>
        <w:gridCol w:w="165"/>
        <w:gridCol w:w="1249"/>
        <w:gridCol w:w="110"/>
      </w:tblGrid>
      <w:tr>
        <w:trPr/>
        <w:tc>
          <w:tcPr>
            <w:tcW w:w="3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Research and development tax credits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262,178</w:t>
            </w:r>
          </w:p>
        </w:tc>
        <w:tc>
          <w:tcPr>
            <w:tcW w:w="11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65,554</w:t>
            </w:r>
          </w:p>
        </w:tc>
        <w:tc>
          <w:tcPr>
            <w:tcW w:w="11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Net operating losses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3,310,890</w:t>
            </w:r>
          </w:p>
        </w:tc>
        <w:tc>
          <w:tcPr>
            <w:tcW w:w="11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1,367,374</w:t>
            </w:r>
          </w:p>
        </w:tc>
        <w:tc>
          <w:tcPr>
            <w:tcW w:w="11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Total deferred tax assets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5,005,996</w:t>
            </w:r>
          </w:p>
        </w:tc>
        <w:tc>
          <w:tcPr>
            <w:tcW w:w="11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Right of use asset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(60,330</w:t>
            </w:r>
          </w:p>
        </w:tc>
        <w:tc>
          <w:tcPr>
            <w:tcW w:w="110" w:type="dxa"/>
            <w:tcBorders/>
            <w:shd w:fill="FFFFFF" w:val="clear"/>
            <w:vAlign w:val="center"/>
          </w:tcPr>
          <w:p>
            <w:pPr>
              <w:pStyle w:val="TableContents"/>
              <w:bidi w:val="0"/>
              <w:spacing w:before="0" w:after="283"/>
              <w:jc w:val="left"/>
              <w:rPr/>
            </w:pPr>
            <w:r>
              <w:rPr/>
              <w:t>)</w:t>
            </w:r>
          </w:p>
        </w:tc>
      </w:tr>
      <w:tr>
        <w:trPr/>
        <w:tc>
          <w:tcPr>
            <w:tcW w:w="3605" w:type="dxa"/>
            <w:tcBorders/>
            <w:shd w:fill="CCEEFF" w:val="clear"/>
            <w:vAlign w:val="center"/>
          </w:tcPr>
          <w:p>
            <w:pPr>
              <w:pStyle w:val="TableContents"/>
              <w:bidi w:val="0"/>
              <w:spacing w:before="0" w:after="283"/>
              <w:jc w:val="left"/>
              <w:rPr/>
            </w:pPr>
            <w:r>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(60,330</w:t>
            </w:r>
          </w:p>
        </w:tc>
        <w:tc>
          <w:tcPr>
            <w:tcW w:w="110" w:type="dxa"/>
            <w:tcBorders/>
            <w:shd w:fill="CCEEFF" w:val="clear"/>
            <w:vAlign w:val="center"/>
          </w:tcPr>
          <w:p>
            <w:pPr>
              <w:pStyle w:val="TableContents"/>
              <w:bidi w:val="0"/>
              <w:spacing w:before="0" w:after="283"/>
              <w:jc w:val="left"/>
              <w:rPr/>
            </w:pPr>
            <w:r>
              <w:rPr/>
              <w:t>)</w:t>
            </w:r>
          </w:p>
        </w:tc>
      </w:tr>
      <w:tr>
        <w:trPr/>
        <w:tc>
          <w:tcPr>
            <w:tcW w:w="3605"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(4,945,666</w:t>
            </w:r>
          </w:p>
        </w:tc>
        <w:tc>
          <w:tcPr>
            <w:tcW w:w="110" w:type="dxa"/>
            <w:tcBorders/>
            <w:shd w:fill="FFFFFF" w:val="clear"/>
            <w:vAlign w:val="center"/>
          </w:tcPr>
          <w:p>
            <w:pPr>
              <w:pStyle w:val="TableContents"/>
              <w:bidi w:val="0"/>
              <w:spacing w:before="0" w:after="283"/>
              <w:jc w:val="left"/>
              <w:rPr/>
            </w:pPr>
            <w:r>
              <w:rPr/>
              <w:t>)</w:t>
            </w:r>
          </w:p>
        </w:tc>
      </w:tr>
      <w:tr>
        <w:trPr/>
        <w:tc>
          <w:tcPr>
            <w:tcW w:w="3605" w:type="dxa"/>
            <w:tcBorders/>
            <w:shd w:fill="CCEEFF" w:val="clear"/>
            <w:vAlign w:val="center"/>
          </w:tcPr>
          <w:p>
            <w:pPr>
              <w:pStyle w:val="TableContents"/>
              <w:bidi w:val="0"/>
              <w:spacing w:before="0" w:after="283"/>
              <w:jc w:val="left"/>
              <w:rPr/>
            </w:pPr>
            <w:r>
              <w:rPr/>
              <w:t>Net deferred tax assets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the Company’s deferred tax assets are as follows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5639" w:type="dxa"/>
        <w:jc w:val="left"/>
        <w:tblInd w:w="0" w:type="dxa"/>
        <w:tblLayout w:type="fixed"/>
        <w:tblCellMar>
          <w:top w:w="0" w:type="dxa"/>
          <w:left w:w="0" w:type="dxa"/>
          <w:bottom w:w="0" w:type="dxa"/>
          <w:right w:w="0" w:type="dxa"/>
        </w:tblCellMar>
      </w:tblPr>
      <w:tblGrid>
        <w:gridCol w:w="3995"/>
        <w:gridCol w:w="60"/>
        <w:gridCol w:w="172"/>
        <w:gridCol w:w="1302"/>
        <w:gridCol w:w="110"/>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Deferred tax asset (liability):</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Accrual to cash adjustment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302" w:type="dxa"/>
            <w:tcBorders/>
            <w:shd w:fill="CCEEFF" w:val="clear"/>
            <w:vAlign w:val="center"/>
          </w:tcPr>
          <w:p>
            <w:pPr>
              <w:pStyle w:val="TableContents"/>
              <w:bidi w:val="0"/>
              <w:spacing w:before="0" w:after="283"/>
              <w:jc w:val="right"/>
              <w:rPr/>
            </w:pPr>
            <w:r>
              <w:rPr/>
              <w:t>729,287</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Charitable contributions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1,618</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Change in fair value of SAFE agreements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3,106,508</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R&amp;D expenditures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359,433</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R&amp;D tax credit carryovers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239,142</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Right-of-use asset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(65,999</w:t>
            </w:r>
          </w:p>
        </w:tc>
        <w:tc>
          <w:tcPr>
            <w:tcW w:w="110"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56,893</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Stock options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55,481</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Federal net operating loss carryforwards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304,628</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Foreign net operating loss carryforwards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10,338</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State net operating loss carryforwards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7,028</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FFFFFF" w:val="clear"/>
            <w:tcMar>
              <w:bottom w:w="28" w:type="dxa"/>
            </w:tcMar>
            <w:vAlign w:val="center"/>
          </w:tcPr>
          <w:p>
            <w:pPr>
              <w:pStyle w:val="TableContents"/>
              <w:bidi w:val="0"/>
              <w:spacing w:before="0" w:after="283"/>
              <w:jc w:val="right"/>
              <w:rPr/>
            </w:pPr>
            <w:r>
              <w:rPr/>
              <w:t>(4,804,357</w:t>
            </w:r>
          </w:p>
        </w:tc>
        <w:tc>
          <w:tcPr>
            <w:tcW w:w="110"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Net deferred taxes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had a net operating loss carryforward for federal income tax purposes of $14.8 million and $1.5 million, respectively, which have indefinite carryforward periods. As of December 31, 2025 and 2024, the Company had a net operating loss carryforward for state income tax purposes of $8.5 million and $2.0 million, respectively, which have various carryforward periods and will begin to expire in 2038. As of December 31, 2025 and 2024, the Company had federal research and development tax credit carryforwards of approximately $262 thousand and $239 thousand, respectively, which begin to expire in 2042.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established a 100% valuation allowance against the deferred tax assets as management does not believe it is more likely than not that these assets will be realized. The Company’s valuation allowance increased by approximately $141 thousand from 2024 to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provisions of ASC 740-10 in accounting for its uncertain tax positions. ASC 740-10 addresses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the taxing authorities, based on the technical merits of the position. The Company has determined that the Company has no significant uncertain tax positions requiring recognition under ASC 740-10 and therefore has not included a tabular roll forward of unrecognized tax benefits. As there are no uncertain tax positions recognized, interest and penalties have not been accrued.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income tax in the United States, as well as various states and Puerto Rico. The Company has not been audited by any state tax authorities in connection with income taxes. The Company has not been audited by Puerto Rican tax authorities or any states in connection with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tax years December 31, 2021 through December 31, 2025 generally remain open to adjustment for all federal, state and foreign tax matters until its net operating loss and tax credit carryforwards are utilized or expire prior to utilization, and the applicable statutes of limitation have expired in the utilization year. The federal and state tax authorities can generally reduce a net operating loss (but not create taxable income) for a period outside the statute of limitations in order to determine the correct amount of net operating loss which may be allowed as a deduction against income for a period within the statute of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accrued related to unrecognized tax benefits and penalties, if incurred, as a component of income tax expense. The Company made no state or foreign tax payments for the year ended December 31, 2025; therefore, no table is needed as a result of the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President Trump signed into law the One Big Beautiful Bill Act (“OBBBA”), which resulted in the extension of many provisions of the current tax law as well as other rule changes that could impact the Company’s tax provision in 2025 or 2026. Examples of the new tax law include the following:</w:t>
      </w:r>
    </w:p>
    <w:p>
      <w:pPr>
        <w:pStyle w:val="TextBody"/>
        <w:bidi w:val="0"/>
        <w:spacing w:before="0" w:after="0"/>
        <w:ind w:left="0" w:right="0" w:hanging="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Full expensing of U.S. research and development costs under Section 174A.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Retroactive expensing of unamortized U.S. research and development costs capitalized between 2022 and 2024; either all in 2025, or over two years in 2025 and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Return of the Section 163(j) taxable income base excluding the deductions for depreciation and amortization in 2025 (change from “Tax EBIT” to “Tax EBITDA”).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 in the Section 250 deduction for Net CFC Tested Income (formerly GILTI) to 40% (from 50%) in 2026, instead of the scheduled decrease to 37.5% prior to the OBBBA.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 in the Section 250 deduction for foreign-derived income to 33.34% (from 37.5%) in 2026, instead of the scheduled decrease to 21.875% prior to the OBBBA.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in the foreign tax credit rate on Net CFC Tested Income (formerly GILTI) to 90% (from 80%), and a 10% disallowance on repatriation, in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Removal of the allocation of interest expense and research and development expense to Net CFC Tested Income (formerly GILTI) in calculating the foreign tax credit limitation, effective in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the legislation will not have a material impact on the Company’s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 The Executive Loans have been made, or will be made, on the terms and conditions of an unsecured, subordinated promissory note (the “Executive Notes”). The Executive Notes will accrue interest at a rate of 7.5% per annum, and will be paid in quarterly installments on July 1, 2026, October 1, 2026 with a final payment by December 31, 2026. All of the Company’s obligations and payments under the Executive Notes are subordinated to the Company’s obligations under the loan agreement with J.J. Astor &amp;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February 5, 2026, the Company received deficiency notices from Nasdaq indicating that its Common Stock did not meet the minimum bid price, minimum market value of listed securities, and minimum publicly held share value requirements. The Company has been provided 180 days from the dates of the notices to regain compliance with these listing standards and intends to monitor its stock price and evaluate options to resolve the deficiencies. Failure to regain compliance could result in delisting, though the Company may seek to appeal any delisting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96215</Words>
  <Characters>528682</Characters>
  <CharactersWithSpaces>625945</CharactersWithSpaces>
  <Paragraphs>8320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