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4, 2025</w:t>
      </w:r>
    </w:p>
    <w:p>
      <w:pPr>
        <w:spacing w:after="0" w:line="31"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7480" w:type="dxa"/>
            <w:vAlign w:val="bottom"/>
            <w:gridSpan w:val="3"/>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6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99-2578850</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760" w:type="dxa"/>
            <w:vAlign w:val="bottom"/>
            <w:tcBorders>
              <w:top w:val="single" w:sz="8" w:color="auto"/>
            </w:tcBorders>
          </w:tcPr>
          <w:p>
            <w:pPr>
              <w:jc w:val="center"/>
              <w:ind w:right="16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7480" w:type="dxa"/>
            <w:vAlign w:val="bottom"/>
            <w:gridSpan w:val="3"/>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76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7480" w:type="dxa"/>
            <w:vAlign w:val="bottom"/>
            <w:gridSpan w:val="3"/>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9"/>
              </w:rPr>
              <w:t>CID HoldCo, Inc. 2024 Equity Incentive Plan</w:t>
            </w:r>
          </w:p>
        </w:tc>
        <w:tc>
          <w:tcPr>
            <w:tcW w:w="3760" w:type="dxa"/>
            <w:vAlign w:val="bottom"/>
          </w:tcPr>
          <w:p>
            <w:pPr>
              <w:spacing w:after="0"/>
              <w:rPr>
                <w:sz w:val="24"/>
                <w:szCs w:val="24"/>
                <w:color w:val="auto"/>
              </w:rPr>
            </w:pPr>
          </w:p>
        </w:tc>
      </w:tr>
      <w:tr>
        <w:trPr>
          <w:trHeight w:val="238"/>
        </w:trPr>
        <w:tc>
          <w:tcPr>
            <w:tcW w:w="7480" w:type="dxa"/>
            <w:vAlign w:val="bottom"/>
            <w:gridSpan w:val="3"/>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9"/>
              </w:rPr>
              <w:t>(Full title of the plan)</w:t>
            </w:r>
          </w:p>
        </w:tc>
        <w:tc>
          <w:tcPr>
            <w:tcW w:w="37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Edmund Nabrotzky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S Cemeron St., Suite100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 332-4122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Penny J. Minna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Atlantic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West Peachtree Street, Suite 2900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736-7891</w:t>
      </w:r>
    </w:p>
    <w:p>
      <w:pPr>
        <w:spacing w:after="0" w:line="207"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92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filed</w:t>
            </w:r>
          </w:p>
        </w:tc>
        <w:tc>
          <w:tcPr>
            <w:tcW w:w="18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This Registration Statement on Form S-8 is being filed by CID HoldCo,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 for the purpose of registering 2,032,521 shares of the Company’s common stock, par value of $0.001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issuable under the CID HoldCo, Inc. 2024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ind w:left="340" w:hanging="332"/>
        <w:spacing w:after="0" w:line="25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containing the information specified in Part I will be delivered in accordance with Rule 428(b)(1) under the Securities Act. Such documents are not required to be, and are not, filed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either as part of this Registration Statement or as prospectuses or prospectus supplements pursuant to Rule 424 under the Securities Act. These documents, and the documents incorporated by reference in this Registration Statement pursuant to Item 3 of Part II of this Form S-8, taken together, constitute a prospectus that meets the requirements of Section 10(a) of the Securities Act.</w:t>
      </w:r>
    </w:p>
    <w:p>
      <w:pPr>
        <w:spacing w:after="0" w:line="39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900" w:right="85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documents previously filed by the Company with the Commission under the Securities and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are incorporated by reference into this Registration Statement:</w:t>
      </w:r>
    </w:p>
    <w:p>
      <w:pPr>
        <w:spacing w:after="0" w:line="162" w:lineRule="exact"/>
        <w:rPr>
          <w:sz w:val="20"/>
          <w:szCs w:val="20"/>
          <w:color w:val="auto"/>
        </w:rPr>
      </w:pPr>
    </w:p>
    <w:p>
      <w:pPr>
        <w:ind w:left="340" w:hanging="332"/>
        <w:spacing w:after="0" w:line="312" w:lineRule="auto"/>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current report on </w:t>
      </w:r>
      <w:hyperlink r:id="rId15">
        <w:r>
          <w:rPr>
            <w:rFonts w:ascii="Times New Roman" w:cs="Times New Roman" w:eastAsia="Times New Roman" w:hAnsi="Times New Roman"/>
            <w:sz w:val="17"/>
            <w:szCs w:val="17"/>
            <w:u w:val="single" w:color="auto"/>
            <w:color w:val="0000EE"/>
          </w:rPr>
          <w:t>Form 8-K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by the Company with the Commission on June 26, 2025 (File No. 001-42711), which contains the Registrant’s audited consolidated financial statements for the years ended December 31, 2024 and December 31, 2023, for which such statements have been filed;</w:t>
      </w:r>
    </w:p>
    <w:p>
      <w:pPr>
        <w:spacing w:after="0" w:line="139" w:lineRule="exact"/>
        <w:rPr>
          <w:rFonts w:ascii="Times New Roman" w:cs="Times New Roman" w:eastAsia="Times New Roman" w:hAnsi="Times New Roman"/>
          <w:sz w:val="17"/>
          <w:szCs w:val="17"/>
          <w:color w:val="auto"/>
        </w:rPr>
      </w:pPr>
    </w:p>
    <w:p>
      <w:pPr>
        <w:ind w:left="340" w:right="580" w:hanging="328"/>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quarterly report on </w:t>
      </w:r>
      <w:hyperlink r:id="rId1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by the Company with the Commission on August 20, 2025 (File No. 001-42711), which contains the Registrant’s condensed consolidated financial statements (unaudited) for the quarter ended June 30, 2025;</w:t>
      </w:r>
    </w:p>
    <w:p>
      <w:pPr>
        <w:spacing w:after="0" w:line="161" w:lineRule="exact"/>
        <w:rPr>
          <w:rFonts w:ascii="Times New Roman" w:cs="Times New Roman" w:eastAsia="Times New Roman" w:hAnsi="Times New Roman"/>
          <w:sz w:val="18"/>
          <w:szCs w:val="18"/>
          <w:color w:val="auto"/>
        </w:rPr>
      </w:pPr>
    </w:p>
    <w:p>
      <w:pPr>
        <w:ind w:left="340" w:right="540" w:hanging="328"/>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pursuant to Section 13(a) or 15(d) of the Exchange Act, since the end of the fiscal year covered by the document referred to in (1) above; and</w:t>
      </w:r>
    </w:p>
    <w:p>
      <w:pPr>
        <w:spacing w:after="0" w:line="161" w:lineRule="exact"/>
        <w:rPr>
          <w:rFonts w:ascii="Times New Roman" w:cs="Times New Roman" w:eastAsia="Times New Roman" w:hAnsi="Times New Roman"/>
          <w:sz w:val="18"/>
          <w:szCs w:val="18"/>
          <w:color w:val="auto"/>
        </w:rPr>
      </w:pPr>
    </w:p>
    <w:p>
      <w:pPr>
        <w:ind w:left="340" w:right="100" w:hanging="328"/>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which is contained in a registration statement on </w:t>
      </w:r>
      <w:hyperlink r:id="rId1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June 20, 2025 (File No. 001-42711) under the Exchange Act,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76" w:lineRule="exact"/>
        <w:rPr>
          <w:rFonts w:ascii="Times New Roman" w:cs="Times New Roman" w:eastAsia="Times New Roman" w:hAnsi="Times New Roman"/>
          <w:sz w:val="18"/>
          <w:szCs w:val="18"/>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provides that a corporation may indemnify any person, including an officer or director, who was or is,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such person acted in good faith and in a manner such person reasonably believed to be in or not opposed to the best interests of such corporation, and, with respect to any criminal actions and proceedings, had no reasonable cause to believe that his or her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that such officer or director actually and reasonably incurred in connection therewith.</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rights provided in Section 145 of the DGCL are not exclusive, and the corporation may also provide for indemnification under bylaw, agreement, vote of stockholders or disinterested directors or otherwise.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(the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and our Amended and Restated Bylaws provide that the Company, to the full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permitted by Delaware law shall indemnify and hold harmless each person who is or was made a party or is threatened to be made a party to or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involved in any threatened, pending or completed action, suit or proceeding, whether civil, criminal, administrative or investigative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proceeding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reason of the fact that he or she is or was a director or officer of the Company or, while a director or officer of the Company, is or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serving at the request of the Company as a director, officer, employee or agent of another corporation or of a partnership, joint venture, trust,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or nonprofit entity, including service with respect to an employee benefit plan (an “</w:t>
      </w:r>
      <w:r>
        <w:rPr>
          <w:rFonts w:ascii="Times New Roman" w:cs="Times New Roman" w:eastAsia="Times New Roman" w:hAnsi="Times New Roman"/>
          <w:sz w:val="18"/>
          <w:szCs w:val="18"/>
          <w:i w:val="1"/>
          <w:iCs w:val="1"/>
          <w:color w:val="auto"/>
        </w:rPr>
        <w:t>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against all liability and loss suffered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(including, without limitation, attorneys’ fees, judgments, fines, ERISA excise taxes and penalties and amounts paid in settlement)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by such indemnitee in connection with such proceeding. The Company may to the fullest extent not prohibited by applicable law pay the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attorneys’ fees) incurred by an indemnitee in defending or otherwise participating in any proceeding in advance of its final disposition;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that such payment of expenses in advance of the final disposition of the proceeding shall be made only upon receipt of an undertaking, by or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indemnitee, to repay all amounts so advanced if it shall ultimately be determined that the indemnitee is not entitled to be indemnified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attached Exhibit Index, which is incorporated by reference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460" w:hanging="448"/>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w:t>
      </w:r>
    </w:p>
    <w:p>
      <w:pPr>
        <w:spacing w:after="0" w:line="225" w:lineRule="exact"/>
        <w:rPr>
          <w:rFonts w:ascii="Times New Roman" w:cs="Times New Roman" w:eastAsia="Times New Roman" w:hAnsi="Times New Roman"/>
          <w:sz w:val="18"/>
          <w:szCs w:val="18"/>
          <w:color w:val="auto"/>
        </w:rPr>
      </w:pPr>
    </w:p>
    <w:p>
      <w:pPr>
        <w:ind w:left="1020" w:hanging="562"/>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225" w:lineRule="exact"/>
        <w:rPr>
          <w:rFonts w:ascii="Times New Roman" w:cs="Times New Roman" w:eastAsia="Times New Roman" w:hAnsi="Times New Roman"/>
          <w:sz w:val="18"/>
          <w:szCs w:val="18"/>
          <w:color w:val="auto"/>
        </w:rPr>
      </w:pPr>
    </w:p>
    <w:p>
      <w:pPr>
        <w:ind w:left="1460" w:hanging="449"/>
        <w:spacing w:after="0"/>
        <w:tabs>
          <w:tab w:leader="none" w:pos="14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460" w:hanging="449"/>
        <w:spacing w:after="0" w:line="266" w:lineRule="auto"/>
        <w:tabs>
          <w:tab w:leader="none" w:pos="14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5" w:lineRule="exact"/>
        <w:rPr>
          <w:rFonts w:ascii="Times New Roman" w:cs="Times New Roman" w:eastAsia="Times New Roman" w:hAnsi="Times New Roman"/>
          <w:sz w:val="18"/>
          <w:szCs w:val="18"/>
          <w:color w:val="auto"/>
        </w:rPr>
      </w:pPr>
    </w:p>
    <w:p>
      <w:pPr>
        <w:ind w:left="1460" w:right="40" w:hanging="449"/>
        <w:spacing w:after="0" w:line="282" w:lineRule="auto"/>
        <w:tabs>
          <w:tab w:leader="none" w:pos="14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paragraphs (i) and (ii)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jc w:val="both"/>
        <w:ind w:left="1020" w:right="60" w:hanging="562"/>
        <w:spacing w:after="0" w:line="266"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Times New Roman" w:cs="Times New Roman" w:eastAsia="Times New Roman" w:hAnsi="Times New Roman"/>
          <w:sz w:val="18"/>
          <w:szCs w:val="18"/>
          <w:color w:val="auto"/>
        </w:rPr>
      </w:pPr>
    </w:p>
    <w:p>
      <w:pPr>
        <w:ind w:left="1020" w:right="540" w:hanging="562"/>
        <w:spacing w:after="0" w:line="282"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460" w:right="80" w:hanging="448"/>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Company hereby undertakes that, for purposes of determining any liability under the Securities Act, each filing of the Company’s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left="460" w:right="260" w:hanging="448"/>
        <w:spacing w:after="0" w:line="254"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provisions set forth above,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4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16"/>
        </w:trPr>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22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Amended and Restated Certificate of Incorporation of CID HoldCo, Inc. (incorporated by reference to Exhibit 3.1 to CID HoldCo, Inc.’s</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Current Report on Form 8-K filed with the SEC on June 25, 2025)</w:t>
              </w:r>
            </w:hyperlink>
          </w:p>
        </w:tc>
        <w:tc>
          <w:tcPr>
            <w:tcW w:w="380" w:type="dxa"/>
            <w:vAlign w:val="bottom"/>
            <w:tcBorders>
              <w:top w:val="single" w:sz="8" w:color="CCEEFF"/>
            </w:tcBorders>
            <w:gridSpan w:val="2"/>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12"/>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Bylaws of CID HoldCo, Inc. (incorporated by reference to Exhibit 3.2 to CID HoldCo, Inc.’s Current Report on Form 8-K filed with the SEC</w:t>
              </w:r>
            </w:hyperlink>
          </w:p>
        </w:tc>
      </w:tr>
      <w:tr>
        <w:trPr>
          <w:trHeight w:val="196"/>
        </w:trPr>
        <w:tc>
          <w:tcPr>
            <w:tcW w:w="1020" w:type="dxa"/>
            <w:vAlign w:val="bottom"/>
          </w:tcPr>
          <w:p>
            <w:pPr>
              <w:spacing w:after="0"/>
              <w:rPr>
                <w:sz w:val="17"/>
                <w:szCs w:val="17"/>
                <w:color w:val="auto"/>
              </w:rPr>
            </w:pPr>
          </w:p>
        </w:tc>
        <w:tc>
          <w:tcPr>
            <w:tcW w:w="101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on June 25, 2025)</w:t>
              </w:r>
            </w:hyperlink>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2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DLA Piper (US).</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2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Consent of DLA Piper (US) (contained in Exhibit 5.1).</w:t>
            </w:r>
          </w:p>
        </w:tc>
      </w:tr>
      <w:tr>
        <w:trPr>
          <w:trHeight w:val="20"/>
        </w:trPr>
        <w:tc>
          <w:tcPr>
            <w:tcW w:w="10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2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Berkowitz Pollack Brant Advisors + CPAs.</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394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Consent of Wolf &amp; Company, P.C.</w:t>
            </w:r>
          </w:p>
        </w:tc>
        <w:tc>
          <w:tcPr>
            <w:tcW w:w="6280" w:type="dxa"/>
            <w:vAlign w:val="bottom"/>
            <w:tcBorders>
              <w:top w:val="single" w:sz="8" w:color="CCEEFF"/>
            </w:tcBorders>
            <w:gridSpan w:val="5"/>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2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34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CID HoldCo, Inc. 2024 Equity Incentive Plan</w:t>
            </w:r>
          </w:p>
        </w:tc>
        <w:tc>
          <w:tcPr>
            <w:tcW w:w="6740" w:type="dxa"/>
            <w:vAlign w:val="bottom"/>
            <w:tcBorders>
              <w:top w:val="single" w:sz="8" w:color="CCEEFF"/>
            </w:tcBorders>
            <w:gridSpan w:val="6"/>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2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September 4, 2025.</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Edmund Nabrotzky, his true and lawful attorney-in-fact and agent, with full power of substitution and resubstitution, for him and in his name, place and stead, in any and all capacities, to sign any and all amendments to this Form S-8,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registration statement on Form S-8 has been signed below by the following persons on behalf of the Company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82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Edmund Nabrotzky</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0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Maddox</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c>
          <w:tcPr>
            <w:tcW w:w="280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 Saling</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Carlson</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David Carlson</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Sheldon Paul</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Sheldon Paul</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Phyllis Newhouse</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Janice Bryant Howroyd</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Walter Skowronski</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4, 2025</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853"/>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II-5</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650 South Exeter Street</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Suite 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02870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28700" cy="600075"/>
                    </a:xfrm>
                    <a:prstGeom prst="rect">
                      <a:avLst/>
                    </a:prstGeom>
                    <a:noFill/>
                  </pic:spPr>
                </pic:pic>
              </a:graphicData>
            </a:graphic>
          </wp:anchor>
        </w:drawing>
      </w:r>
    </w:p>
    <w:p>
      <w:pPr>
        <w:ind w:left="7880"/>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www.dlapiper.com</w:t>
      </w:r>
    </w:p>
    <w:p>
      <w:pPr>
        <w:spacing w:after="0" w:line="203" w:lineRule="exact"/>
        <w:rPr>
          <w:sz w:val="20"/>
          <w:szCs w:val="20"/>
          <w:color w:val="auto"/>
        </w:rPr>
      </w:pPr>
    </w:p>
    <w:p>
      <w:pPr>
        <w:ind w:left="7880"/>
        <w:spacing w:after="0"/>
        <w:tabs>
          <w:tab w:leader="none" w:pos="8160" w:val="left"/>
        </w:tabs>
        <w:rPr>
          <w:sz w:val="20"/>
          <w:szCs w:val="20"/>
          <w:color w:val="auto"/>
        </w:rPr>
      </w:pPr>
      <w:r>
        <w:rPr>
          <w:rFonts w:ascii="Times New Roman" w:cs="Times New Roman" w:eastAsia="Times New Roman" w:hAnsi="Times New Roman"/>
          <w:sz w:val="18"/>
          <w:szCs w:val="18"/>
          <w:b w:val="1"/>
          <w:bCs w:val="1"/>
          <w:color w:val="auto"/>
        </w:rPr>
        <w:t>T</w:t>
      </w:r>
      <w:r>
        <w:rPr>
          <w:sz w:val="20"/>
          <w:szCs w:val="20"/>
          <w:color w:val="auto"/>
        </w:rPr>
        <w:tab/>
      </w:r>
      <w:r>
        <w:rPr>
          <w:rFonts w:ascii="Times New Roman" w:cs="Times New Roman" w:eastAsia="Times New Roman" w:hAnsi="Times New Roman"/>
          <w:sz w:val="17"/>
          <w:szCs w:val="17"/>
          <w:color w:val="auto"/>
        </w:rPr>
        <w:t>410.580.3000</w:t>
      </w:r>
    </w:p>
    <w:p>
      <w:pPr>
        <w:spacing w:after="0" w:line="31" w:lineRule="exact"/>
        <w:rPr>
          <w:sz w:val="20"/>
          <w:szCs w:val="20"/>
          <w:color w:val="auto"/>
        </w:rPr>
      </w:pPr>
    </w:p>
    <w:p>
      <w:pPr>
        <w:ind w:left="7880"/>
        <w:spacing w:after="0"/>
        <w:tabs>
          <w:tab w:leader="none" w:pos="814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8"/>
          <w:szCs w:val="18"/>
          <w:color w:val="auto"/>
        </w:rPr>
        <w:t>410.580.3001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CID HoldCo,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5661 S Cameron St,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serve as counsel to CID HoldCo,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have been requested to render this opinion in connection with the Company’s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registration of up to 2,032,521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that may be issued pursuant to the CID HoldCo, Inc. 2024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In connection with our representation of the Company, and as a basis for the opinion expressed herein, we have reviewed originals or copies, certified or otherwise identified to our satisfaction, of the following documents (collectively, the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80" w:right="56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Certificate of Incorporation of CID HoldCo, Inc. (in the form attached to the Secretary’s Certificate (as defined below));</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CID HoldCo, Inc.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as amended to the date hereof and as in effect on the date hereof (in the form attached to the Secretary’s Certificate);</w:t>
      </w:r>
    </w:p>
    <w:p>
      <w:pPr>
        <w:spacing w:after="0" w:line="161" w:lineRule="exact"/>
        <w:rPr>
          <w:rFonts w:ascii="Times New Roman" w:cs="Times New Roman" w:eastAsia="Times New Roman" w:hAnsi="Times New Roman"/>
          <w:sz w:val="18"/>
          <w:szCs w:val="18"/>
          <w:color w:val="auto"/>
        </w:rPr>
      </w:pPr>
    </w:p>
    <w:p>
      <w:pPr>
        <w:ind w:left="980" w:right="480" w:hanging="324"/>
        <w:spacing w:after="0" w:line="312" w:lineRule="auto"/>
        <w:tabs>
          <w:tab w:leader="none" w:pos="9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resolutions adopted by the Board of Directors of the Company relating to the approval of the Plan, the authorization and approval of the preparation and filing of the Registration Statement, and the issuance of the Shares (in the form attached to the Secretary’s Certificate);</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standing certificate for the Company, dated as of the date hereof, issued by the Delaware Secretary of State; and</w:t>
      </w:r>
    </w:p>
    <w:p>
      <w:pPr>
        <w:spacing w:after="0" w:line="25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the Secretary of the Company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dated as of the date hereof, as to certain factual matters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2870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6000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CID HoldCo,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4, 2025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the opinion set forth below, we have assumed, without independent investigation, the following:</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whether on behalf of such individual or an entity, is legally competent to do so.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on behalf of a party (other than the Company) is duly authorized to do so.</w:t>
      </w:r>
    </w:p>
    <w:p>
      <w:pPr>
        <w:spacing w:after="0" w:line="225" w:lineRule="exact"/>
        <w:rPr>
          <w:rFonts w:ascii="Times New Roman" w:cs="Times New Roman" w:eastAsia="Times New Roman" w:hAnsi="Times New Roman"/>
          <w:sz w:val="18"/>
          <w:szCs w:val="18"/>
          <w:color w:val="auto"/>
        </w:rPr>
      </w:pPr>
    </w:p>
    <w:p>
      <w:pPr>
        <w:ind w:left="980" w:right="180" w:hanging="324"/>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originals are authentic and complete. All Documents submitted to us as certified or photostatic copies conform to the original documents. All signatures on all Documents are genuine and valid (including, without limitation, signatures via DocuSign or other electronic technology, stamp, typewritten, conformed or other type of signature). All public records reviewed or relied upon by us or on our behalf are true and complete. All statements and information contained in the Documents are true and complete. There has been no oral or written modification or amendment to the Documents by action or omission of the parties or otherwise.</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on the foregoing, it is our opinion that the Shares to be issued under the Plan have been duly authorized, and upon the issuance and delivery of the Shares in the manner contemplated by the Plan and the Registration Statement, and assuming the Company completes all actions and proceedings required on its part to be taken prior to the issuance and delivery of the Shares pursuant to the terms of the Plan, including, without limitation, collection of any required payment for the Shares, the Shares will be validly issued, fully paid and non-assessable.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qualifications set forth above, the foregoing opinion is further qualified as follows:</w:t>
      </w:r>
    </w:p>
    <w:p>
      <w:pPr>
        <w:spacing w:after="0" w:line="225" w:lineRule="exact"/>
        <w:rPr>
          <w:sz w:val="20"/>
          <w:szCs w:val="20"/>
          <w:color w:val="auto"/>
        </w:rPr>
      </w:pPr>
    </w:p>
    <w:p>
      <w:pPr>
        <w:ind w:left="980" w:right="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opinion is rendered as of the date hereof. We assume no obligation to update such opinion to reflect any facts or circumstances that may hereafter come to our attention or changes in the law which may hereafter occur.</w:t>
      </w:r>
    </w:p>
    <w:p>
      <w:pPr>
        <w:spacing w:after="0" w:line="161" w:lineRule="exact"/>
        <w:rPr>
          <w:rFonts w:ascii="Times New Roman" w:cs="Times New Roman" w:eastAsia="Times New Roman" w:hAnsi="Times New Roman"/>
          <w:sz w:val="18"/>
          <w:szCs w:val="18"/>
          <w:color w:val="auto"/>
        </w:rPr>
      </w:pPr>
    </w:p>
    <w:p>
      <w:pPr>
        <w:ind w:left="980" w:right="700" w:hanging="324"/>
        <w:spacing w:after="0" w:line="312" w:lineRule="auto"/>
        <w:tabs>
          <w:tab w:leader="none" w:pos="9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express any opinion herein concerning any law other than the Delaware General Corporation Law (including the statutory provisions, all applicable provisions of the Delaware Constitution and the reported judicial decisions interpreting the foregoing).</w:t>
      </w:r>
    </w:p>
    <w:p>
      <w:pPr>
        <w:spacing w:after="0" w:line="139" w:lineRule="exact"/>
        <w:rPr>
          <w:rFonts w:ascii="Times New Roman" w:cs="Times New Roman" w:eastAsia="Times New Roman" w:hAnsi="Times New Roman"/>
          <w:sz w:val="17"/>
          <w:szCs w:val="17"/>
          <w:color w:val="auto"/>
        </w:rPr>
      </w:pPr>
    </w:p>
    <w:p>
      <w:pPr>
        <w:ind w:left="980" w:right="20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herein with respect to the qualification of the Shares under the securities or blue sky laws of any state or any foreign jurisdiction.</w:t>
      </w:r>
    </w:p>
    <w:p>
      <w:pPr>
        <w:spacing w:after="0" w:line="161" w:lineRule="exact"/>
        <w:rPr>
          <w:rFonts w:ascii="Times New Roman" w:cs="Times New Roman" w:eastAsia="Times New Roman" w:hAnsi="Times New Roman"/>
          <w:sz w:val="18"/>
          <w:szCs w:val="18"/>
          <w:color w:val="auto"/>
        </w:rPr>
      </w:pPr>
    </w:p>
    <w:p>
      <w:pPr>
        <w:ind w:left="980" w:right="80" w:hanging="324"/>
        <w:spacing w:after="0" w:line="25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the issuance of the Shares, together with any other shares of Common Stock then outstanding will not cause the Company to issue shares of Common Stock in excess of the number of such shares then authorized under its Amended and Restated Certificate of Incorporation. The Company has represented to us and we have also assumed that the Company has reserved from its duly authorized but unissued and otherwise unreserved stock a sufficient number of shares of Common Stock as were approved by the Company’s stockholders for issuance under the Plan. We have also assumed that the Company will at all times reserve and keep available out of the aggregate of its authorized but unissued and otherwise unreserved Common Stock, solely for the purpose of enabling it to issue the Shares in accordance with the Plan, the number of Shares which are then issuable and deliverable upon the settlement of awards under the Plan. We have also assumed that the offer and sale of the Shares complies and will comply in all respects with the terms, conditions and restrictions set forth in the Registration Statement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28700"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6000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CID HoldCo,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4, 2025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This opinion is limited to the matters set forth herein, and no other opinion should be inferred beyond the matters expressly stated.</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and the use of our name wherever it appears in the Registration Statement. In giving this consent, we do not admit that we are within the category of persons whose consent is required under Section 7 of the Securities Act, the rules and regulations of the Commission promulgated thereunder or Item 509 of Regulation S-K.</w:t>
      </w:r>
    </w:p>
    <w:p>
      <w:pPr>
        <w:spacing w:after="0" w:line="200" w:lineRule="exact"/>
        <w:rPr>
          <w:sz w:val="20"/>
          <w:szCs w:val="20"/>
          <w:color w:val="auto"/>
        </w:rPr>
      </w:pP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156845</wp:posOffset>
            </wp:positionV>
            <wp:extent cx="5006340" cy="87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063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REGISTERED INDEPENDENT PUBLIC ACCOUNTING FIRM</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CID Holdco, Inc. (the “Company”) of our report dated June 25, 2025, which included an explanatory paragraph as to the Company's ability to continue as a going concern, with respect to our audit of the consolidated financial statements of See ID, Inc. dba Dot Ai, Inc. as of December 31, 2024 and for the year then 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Berkowitz Pollack Brant, Advisors + CPAs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142875</wp:posOffset>
            </wp:positionV>
            <wp:extent cx="492887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928870" cy="1797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CID HoldCo, Inc. of our report dated May 15, 2024, except for Note 10, as to which the date is July 1, 2024, relating to the financial statements of SEE ID, Inc., appearing in the June 26, 2025 Form 8-K of CID HoldCo,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2025</w:t>
      </w:r>
    </w:p>
    <w:p>
      <w:pPr>
        <w:sectPr>
          <w:pgSz w:w="11900" w:h="16838" w:orient="portrait"/>
          <w:cols w:equalWidth="0" w:num="1">
            <w:col w:w="11240"/>
          </w:cols>
          <w:pgMar w:left="32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Annex I</w:t>
            </w:r>
          </w:p>
        </w:tc>
      </w:tr>
      <w:tr>
        <w:trPr>
          <w:trHeight w:val="245"/>
        </w:trPr>
        <w:tc>
          <w:tcPr>
            <w:tcW w:w="3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90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43"/>
        </w:trPr>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9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ESTABLISHMENT, PURPOSE AND TERM OF PLAN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Establishment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Purpose</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 of Plan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7"/>
        </w:trPr>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0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46"/>
        </w:trPr>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Definitions</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Construction</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6</w:t>
            </w:r>
          </w:p>
        </w:tc>
      </w:tr>
      <w:tr>
        <w:trPr>
          <w:trHeight w:val="22"/>
        </w:trPr>
        <w:tc>
          <w:tcPr>
            <w:tcW w:w="360" w:type="dxa"/>
            <w:vAlign w:val="bottom"/>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57"/>
        </w:trPr>
        <w:tc>
          <w:tcPr>
            <w:tcW w:w="360" w:type="dxa"/>
            <w:vAlign w:val="bottom"/>
            <w:shd w:val="clear" w:color="auto" w:fill="CCEEFF"/>
          </w:tcPr>
          <w:p>
            <w:pPr>
              <w:spacing w:after="0"/>
              <w:rPr>
                <w:sz w:val="22"/>
                <w:szCs w:val="22"/>
                <w:color w:val="auto"/>
              </w:rPr>
            </w:pPr>
          </w:p>
        </w:tc>
        <w:tc>
          <w:tcPr>
            <w:tcW w:w="7780" w:type="dxa"/>
            <w:vAlign w:val="bottom"/>
            <w:gridSpan w:val="2"/>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r>
      <w:tr>
        <w:trPr>
          <w:trHeight w:val="247"/>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ADMINISTRATION</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88"/>
              </w:rPr>
              <w:t>6</w:t>
            </w:r>
          </w:p>
        </w:tc>
      </w:tr>
      <w:tr>
        <w:trPr>
          <w:trHeight w:val="246"/>
        </w:trPr>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Administration by the Committee</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6</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Authority of Officers</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6</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3.3</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Administration with Respect to Insiders</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6</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Powers of the Committee</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6</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3.5</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Option or SAR Repricing</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7</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Indemnification</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7</w:t>
            </w:r>
          </w:p>
        </w:tc>
      </w:tr>
      <w:tr>
        <w:trPr>
          <w:trHeight w:val="22"/>
        </w:trPr>
        <w:tc>
          <w:tcPr>
            <w:tcW w:w="360" w:type="dxa"/>
            <w:vAlign w:val="bottom"/>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57"/>
        </w:trPr>
        <w:tc>
          <w:tcPr>
            <w:tcW w:w="360" w:type="dxa"/>
            <w:vAlign w:val="bottom"/>
            <w:shd w:val="clear" w:color="auto" w:fill="CCEEFF"/>
          </w:tcPr>
          <w:p>
            <w:pPr>
              <w:spacing w:after="0"/>
              <w:rPr>
                <w:sz w:val="22"/>
                <w:szCs w:val="22"/>
                <w:color w:val="auto"/>
              </w:rPr>
            </w:pPr>
          </w:p>
        </w:tc>
        <w:tc>
          <w:tcPr>
            <w:tcW w:w="7780" w:type="dxa"/>
            <w:vAlign w:val="bottom"/>
            <w:gridSpan w:val="2"/>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r>
      <w:tr>
        <w:trPr>
          <w:trHeight w:val="247"/>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 SUBJECT TO PLAN</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88"/>
              </w:rPr>
              <w:t>7</w:t>
            </w:r>
          </w:p>
        </w:tc>
      </w:tr>
      <w:tr>
        <w:trPr>
          <w:trHeight w:val="246"/>
        </w:trPr>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4.1</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Maximum Number of Shares Issuable</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7</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 Counting</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7</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6"/>
        </w:trPr>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4.3</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Adjustments for Changes in Capital Structure</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8</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4.4</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Assumption or Substitution of Awards</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8</w:t>
            </w:r>
          </w:p>
        </w:tc>
      </w:tr>
      <w:tr>
        <w:trPr>
          <w:trHeight w:val="22"/>
        </w:trPr>
        <w:tc>
          <w:tcPr>
            <w:tcW w:w="360" w:type="dxa"/>
            <w:vAlign w:val="bottom"/>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57"/>
        </w:trPr>
        <w:tc>
          <w:tcPr>
            <w:tcW w:w="360" w:type="dxa"/>
            <w:vAlign w:val="bottom"/>
            <w:shd w:val="clear" w:color="auto" w:fill="CCEEFF"/>
          </w:tcPr>
          <w:p>
            <w:pPr>
              <w:spacing w:after="0"/>
              <w:rPr>
                <w:sz w:val="22"/>
                <w:szCs w:val="22"/>
                <w:color w:val="auto"/>
              </w:rPr>
            </w:pPr>
          </w:p>
        </w:tc>
        <w:tc>
          <w:tcPr>
            <w:tcW w:w="7780" w:type="dxa"/>
            <w:vAlign w:val="bottom"/>
            <w:gridSpan w:val="2"/>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r>
      <w:tr>
        <w:trPr>
          <w:trHeight w:val="247"/>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ELIGIBILITY, PARTICIPATION AND AWARD LIMITATIONS</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88"/>
              </w:rPr>
              <w:t>8</w:t>
            </w:r>
          </w:p>
        </w:tc>
      </w:tr>
      <w:tr>
        <w:trPr>
          <w:trHeight w:val="246"/>
        </w:trPr>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Persons Eligible for Awards</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8</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Participation in the Plan</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8</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Incentive Stock Option Limitations</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9</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Nonemployee Director Award Limit</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9</w:t>
            </w:r>
          </w:p>
        </w:tc>
      </w:tr>
      <w:tr>
        <w:trPr>
          <w:trHeight w:val="22"/>
        </w:trPr>
        <w:tc>
          <w:tcPr>
            <w:tcW w:w="360" w:type="dxa"/>
            <w:vAlign w:val="bottom"/>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57"/>
        </w:trPr>
        <w:tc>
          <w:tcPr>
            <w:tcW w:w="360" w:type="dxa"/>
            <w:vAlign w:val="bottom"/>
            <w:shd w:val="clear" w:color="auto" w:fill="CCEEFF"/>
          </w:tcPr>
          <w:p>
            <w:pPr>
              <w:spacing w:after="0"/>
              <w:rPr>
                <w:sz w:val="22"/>
                <w:szCs w:val="22"/>
                <w:color w:val="auto"/>
              </w:rPr>
            </w:pPr>
          </w:p>
        </w:tc>
        <w:tc>
          <w:tcPr>
            <w:tcW w:w="7780" w:type="dxa"/>
            <w:vAlign w:val="bottom"/>
            <w:gridSpan w:val="2"/>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r>
      <w:tr>
        <w:trPr>
          <w:trHeight w:val="247"/>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88"/>
              </w:rPr>
              <w:t>9</w:t>
            </w:r>
          </w:p>
        </w:tc>
      </w:tr>
      <w:tr>
        <w:trPr>
          <w:trHeight w:val="246"/>
        </w:trPr>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Exercise Price</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9</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Exercisability and Term of Options</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9</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6"/>
        </w:trPr>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Payment of Exercise Price</w:t>
            </w:r>
          </w:p>
        </w:tc>
        <w:tc>
          <w:tcPr>
            <w:tcW w:w="3100" w:type="dxa"/>
            <w:vAlign w:val="bottom"/>
            <w:tcBorders>
              <w:bottom w:val="single" w:sz="8" w:color="CCEEFF"/>
            </w:tcBorders>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310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6"/>
        </w:trPr>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Transferability of Options</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11</w:t>
            </w:r>
          </w:p>
        </w:tc>
      </w:tr>
      <w:tr>
        <w:trPr>
          <w:trHeight w:val="257"/>
        </w:trPr>
        <w:tc>
          <w:tcPr>
            <w:tcW w:w="360" w:type="dxa"/>
            <w:vAlign w:val="bottom"/>
          </w:tcPr>
          <w:p>
            <w:pPr>
              <w:spacing w:after="0"/>
              <w:rPr>
                <w:sz w:val="22"/>
                <w:szCs w:val="22"/>
                <w:color w:val="auto"/>
              </w:rPr>
            </w:pPr>
          </w:p>
        </w:tc>
        <w:tc>
          <w:tcPr>
            <w:tcW w:w="7780" w:type="dxa"/>
            <w:vAlign w:val="bottom"/>
            <w:gridSpan w:val="2"/>
          </w:tcPr>
          <w:p>
            <w:pPr>
              <w:spacing w:after="0"/>
              <w:rPr>
                <w:sz w:val="22"/>
                <w:szCs w:val="22"/>
                <w:color w:val="auto"/>
              </w:rPr>
            </w:pPr>
          </w:p>
        </w:tc>
        <w:tc>
          <w:tcPr>
            <w:tcW w:w="3100" w:type="dxa"/>
            <w:vAlign w:val="bottom"/>
          </w:tcPr>
          <w:p>
            <w:pPr>
              <w:spacing w:after="0"/>
              <w:rPr>
                <w:sz w:val="22"/>
                <w:szCs w:val="22"/>
                <w:color w:val="auto"/>
              </w:rPr>
            </w:pPr>
          </w:p>
        </w:tc>
      </w:tr>
      <w:tr>
        <w:trPr>
          <w:trHeight w:val="256"/>
        </w:trPr>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STOCK APPRECIATION RIGHTS</w:t>
            </w:r>
          </w:p>
        </w:tc>
        <w:tc>
          <w:tcPr>
            <w:tcW w:w="3100" w:type="dxa"/>
            <w:vAlign w:val="bottom"/>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88"/>
              </w:rPr>
              <w:t>11</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Types of SARs Authorized</w:t>
            </w:r>
          </w:p>
        </w:tc>
        <w:tc>
          <w:tcPr>
            <w:tcW w:w="31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11</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6"/>
        </w:trPr>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Exercise Price</w:t>
            </w:r>
          </w:p>
        </w:tc>
        <w:tc>
          <w:tcPr>
            <w:tcW w:w="3100" w:type="dxa"/>
            <w:vAlign w:val="bottom"/>
            <w:tcBorders>
              <w:bottom w:val="single" w:sz="8" w:color="CCEEFF"/>
            </w:tcBorders>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color w:val="auto"/>
                <w:w w:val="88"/>
              </w:rPr>
              <w:t>11</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7.3</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Exercisability and Term of SARs</w:t>
            </w:r>
          </w:p>
        </w:tc>
        <w:tc>
          <w:tcPr>
            <w:tcW w:w="310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6"/>
        </w:trPr>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Exercise of SARs</w:t>
            </w:r>
          </w:p>
        </w:tc>
        <w:tc>
          <w:tcPr>
            <w:tcW w:w="3100" w:type="dxa"/>
            <w:vAlign w:val="bottom"/>
            <w:tcBorders>
              <w:bottom w:val="single" w:sz="8" w:color="CCEEFF"/>
            </w:tcBorders>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Deemed Exercise of SARs</w:t>
            </w:r>
          </w:p>
        </w:tc>
        <w:tc>
          <w:tcPr>
            <w:tcW w:w="310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2"/>
        </w:trPr>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6"/>
        </w:trPr>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7.6</w:t>
            </w:r>
          </w:p>
        </w:tc>
        <w:tc>
          <w:tcPr>
            <w:tcW w:w="6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3100" w:type="dxa"/>
            <w:vAlign w:val="bottom"/>
            <w:tcBorders>
              <w:bottom w:val="single" w:sz="8" w:color="CCEEFF"/>
            </w:tcBorders>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34"/>
        </w:trPr>
        <w:tc>
          <w:tcPr>
            <w:tcW w:w="36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7.7</w:t>
            </w:r>
          </w:p>
        </w:tc>
        <w:tc>
          <w:tcPr>
            <w:tcW w:w="6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Transferability of SARs</w:t>
            </w:r>
          </w:p>
        </w:tc>
        <w:tc>
          <w:tcPr>
            <w:tcW w:w="310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13</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line="200" w:lineRule="exact"/>
        <w:rPr>
          <w:sz w:val="20"/>
          <w:szCs w:val="20"/>
          <w:color w:val="auto"/>
        </w:rPr>
      </w:pPr>
    </w:p>
    <w:p>
      <w:pPr>
        <w:spacing w:after="0" w:line="245" w:lineRule="exact"/>
        <w:rPr>
          <w:sz w:val="20"/>
          <w:szCs w:val="20"/>
          <w:color w:val="auto"/>
        </w:rPr>
      </w:pPr>
    </w:p>
    <w:p>
      <w:pPr>
        <w:ind w:left="572" w:hanging="572"/>
        <w:spacing w:after="0"/>
        <w:tabs>
          <w:tab w:leader="none" w:pos="57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tbl>
      <w:tblPr>
        <w:tblLayout w:type="fixed"/>
        <w:tblInd w:w="572" w:type="dxa"/>
        <w:tblCellMar>
          <w:top w:w="0" w:type="dxa"/>
          <w:left w:w="0" w:type="dxa"/>
          <w:bottom w:w="0" w:type="dxa"/>
          <w:right w:w="0" w:type="dxa"/>
        </w:tblCellMar>
      </w:tblPr>
      <w:tr>
        <w:trPr>
          <w:trHeight w:val="234"/>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8.1</w:t>
            </w:r>
          </w:p>
        </w:tc>
        <w:tc>
          <w:tcPr>
            <w:tcW w:w="4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Types of Restricted Stock Awards Authorized</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8.2</w:t>
            </w:r>
          </w:p>
        </w:tc>
        <w:tc>
          <w:tcPr>
            <w:tcW w:w="4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Purchase Price</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8.3</w:t>
            </w:r>
          </w:p>
        </w:tc>
        <w:tc>
          <w:tcPr>
            <w:tcW w:w="4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Purchase Period</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8.4</w:t>
            </w:r>
          </w:p>
        </w:tc>
        <w:tc>
          <w:tcPr>
            <w:tcW w:w="4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 of Purchase Price</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8.5</w:t>
            </w:r>
          </w:p>
        </w:tc>
        <w:tc>
          <w:tcPr>
            <w:tcW w:w="4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Vesting and Restrictions on Transfer</w:t>
            </w:r>
          </w:p>
        </w:tc>
      </w:tr>
      <w:tr>
        <w:trPr>
          <w:trHeight w:val="256"/>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8.6</w:t>
            </w:r>
          </w:p>
        </w:tc>
        <w:tc>
          <w:tcPr>
            <w:tcW w:w="4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Voting Rights; Dividends and Distributions</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8.7</w:t>
            </w:r>
          </w:p>
        </w:tc>
        <w:tc>
          <w:tcPr>
            <w:tcW w:w="4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Termination of Service</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8.8</w:t>
            </w:r>
          </w:p>
        </w:tc>
        <w:tc>
          <w:tcPr>
            <w:tcW w:w="41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Nontransferability of Restricted Stock Award Rights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-1113790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-788035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-462280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572" w:hanging="572"/>
        <w:spacing w:after="0"/>
        <w:tabs>
          <w:tab w:leader="none" w:pos="57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tbl>
      <w:tblPr>
        <w:tblLayout w:type="fixed"/>
        <w:tblInd w:w="572" w:type="dxa"/>
        <w:tblCellMar>
          <w:top w:w="0" w:type="dxa"/>
          <w:left w:w="0" w:type="dxa"/>
          <w:bottom w:w="0" w:type="dxa"/>
          <w:right w:w="0" w:type="dxa"/>
        </w:tblCellMar>
      </w:tblPr>
      <w:tr>
        <w:trPr>
          <w:trHeight w:val="234"/>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9.1</w:t>
            </w:r>
          </w:p>
        </w:tc>
        <w:tc>
          <w:tcPr>
            <w:tcW w:w="4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Grant of Restricted Stock Unit Awards</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9.2</w:t>
            </w:r>
          </w:p>
        </w:tc>
        <w:tc>
          <w:tcPr>
            <w:tcW w:w="4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Purchase Price</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9.3</w:t>
            </w:r>
          </w:p>
        </w:tc>
        <w:tc>
          <w:tcPr>
            <w:tcW w:w="4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Vesting</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9.4</w:t>
            </w:r>
          </w:p>
        </w:tc>
        <w:tc>
          <w:tcPr>
            <w:tcW w:w="47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Voting Rights, Dividend Equivalent Rights and Distributions</w:t>
            </w:r>
          </w:p>
        </w:tc>
      </w:tr>
      <w:tr>
        <w:trPr>
          <w:trHeight w:val="256"/>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9.5</w:t>
            </w:r>
          </w:p>
        </w:tc>
        <w:tc>
          <w:tcPr>
            <w:tcW w:w="4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Termination of Service</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9.6</w:t>
            </w:r>
          </w:p>
        </w:tc>
        <w:tc>
          <w:tcPr>
            <w:tcW w:w="4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Settlement of Restricted Stock Unit Awards</w:t>
            </w:r>
          </w:p>
        </w:tc>
      </w:tr>
      <w:tr>
        <w:trPr>
          <w:trHeight w:val="257"/>
        </w:trPr>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9.7</w:t>
            </w:r>
          </w:p>
        </w:tc>
        <w:tc>
          <w:tcPr>
            <w:tcW w:w="4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Nontransferability of Restricted Stock Unit 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-950595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-625475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-299720</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572" w:hanging="572"/>
        <w:spacing w:after="0"/>
        <w:tabs>
          <w:tab w:leader="none" w:pos="57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p>
    <w:p>
      <w:pPr>
        <w:spacing w:after="0" w:line="54" w:lineRule="exact"/>
        <w:rPr>
          <w:sz w:val="20"/>
          <w:szCs w:val="20"/>
          <w:color w:val="auto"/>
        </w:rPr>
      </w:pPr>
    </w:p>
    <w:tbl>
      <w:tblPr>
        <w:tblLayout w:type="fixed"/>
        <w:tblInd w:w="572" w:type="dxa"/>
        <w:tblCellMar>
          <w:top w:w="0" w:type="dxa"/>
          <w:left w:w="0" w:type="dxa"/>
          <w:bottom w:w="0" w:type="dxa"/>
          <w:right w:w="0" w:type="dxa"/>
        </w:tblCellMar>
      </w:tblPr>
      <w:tr>
        <w:trPr>
          <w:trHeight w:val="234"/>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10.1</w:t>
            </w: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Types of Performance Awards Authorized</w:t>
            </w:r>
          </w:p>
        </w:tc>
      </w:tr>
      <w:tr>
        <w:trPr>
          <w:trHeight w:val="257"/>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10.2</w:t>
            </w: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Initial Value of Performance Shares and Performance Units</w:t>
            </w:r>
          </w:p>
        </w:tc>
      </w:tr>
      <w:tr>
        <w:trPr>
          <w:trHeight w:val="256"/>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10.3</w:t>
            </w: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Establishment of Performance Period, Performance Goals and Performance Award Formula</w:t>
            </w:r>
          </w:p>
        </w:tc>
      </w:tr>
      <w:tr>
        <w:trPr>
          <w:trHeight w:val="257"/>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10.4</w:t>
            </w: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Measurement of Performance Goals</w:t>
            </w:r>
          </w:p>
        </w:tc>
      </w:tr>
      <w:tr>
        <w:trPr>
          <w:trHeight w:val="257"/>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10.5</w:t>
            </w: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of Performance Awards</w:t>
            </w:r>
          </w:p>
        </w:tc>
      </w:tr>
      <w:tr>
        <w:trPr>
          <w:trHeight w:val="256"/>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10.6</w:t>
            </w: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Voting Rights; Dividend Equivalent Rights and Distributions</w:t>
            </w:r>
          </w:p>
        </w:tc>
      </w:tr>
      <w:tr>
        <w:trPr>
          <w:trHeight w:val="257"/>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10.7</w:t>
            </w: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Termination of Service</w:t>
            </w:r>
          </w:p>
        </w:tc>
      </w:tr>
      <w:tr>
        <w:trPr>
          <w:trHeight w:val="256"/>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10.8</w:t>
            </w:r>
          </w:p>
        </w:tc>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Nontransferability of Performance 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-951230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-624840</wp:posOffset>
            </wp:positionV>
            <wp:extent cx="713232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-299720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572" w:hanging="572"/>
        <w:spacing w:after="0"/>
        <w:tabs>
          <w:tab w:leader="none" w:pos="57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CASH-BASED AWARDS AND OTHER STOCK-BASED AWARDS.</w:t>
      </w:r>
    </w:p>
    <w:p>
      <w:pPr>
        <w:spacing w:after="0" w:line="54" w:lineRule="exact"/>
        <w:rPr>
          <w:sz w:val="20"/>
          <w:szCs w:val="20"/>
          <w:color w:val="auto"/>
        </w:rPr>
      </w:pPr>
    </w:p>
    <w:tbl>
      <w:tblPr>
        <w:tblLayout w:type="fixed"/>
        <w:tblInd w:w="572" w:type="dxa"/>
        <w:tblCellMar>
          <w:top w:w="0" w:type="dxa"/>
          <w:left w:w="0" w:type="dxa"/>
          <w:bottom w:w="0" w:type="dxa"/>
          <w:right w:w="0" w:type="dxa"/>
        </w:tblCellMar>
      </w:tblPr>
      <w:tr>
        <w:trPr>
          <w:trHeight w:val="234"/>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11.1</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 of Cash-Based Awards</w:t>
            </w:r>
          </w:p>
        </w:tc>
      </w:tr>
      <w:tr>
        <w:trPr>
          <w:trHeight w:val="256"/>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11.2</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 of Other Stock-Based Awards</w:t>
            </w:r>
          </w:p>
        </w:tc>
      </w:tr>
      <w:tr>
        <w:trPr>
          <w:trHeight w:val="257"/>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11.3</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Value of Cash-Based and Other Stock-Based Awards</w:t>
            </w:r>
          </w:p>
        </w:tc>
      </w:tr>
      <w:tr>
        <w:trPr>
          <w:trHeight w:val="257"/>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11.4</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Payment or Settlement of Cash-Based Awards and Other Stock-Based Awards</w:t>
            </w:r>
          </w:p>
        </w:tc>
      </w:tr>
      <w:tr>
        <w:trPr>
          <w:trHeight w:val="256"/>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11.5</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Voting Rights; Dividend Equivalent Rights and Distributions</w:t>
            </w:r>
          </w:p>
        </w:tc>
      </w:tr>
      <w:tr>
        <w:trPr>
          <w:trHeight w:val="257"/>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11.6</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Termination of Service</w:t>
            </w:r>
          </w:p>
        </w:tc>
      </w:tr>
      <w:tr>
        <w:trPr>
          <w:trHeight w:val="256"/>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11.7</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Nontransferability of Cash-Based Awards and Other Stock-Based 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-1113790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-788035</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-462280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572" w:hanging="572"/>
        <w:spacing w:after="0"/>
        <w:tabs>
          <w:tab w:leader="none" w:pos="57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STANDARD FORMS OF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tbl>
      <w:tblPr>
        <w:tblLayout w:type="fixed"/>
        <w:tblInd w:w="572" w:type="dxa"/>
        <w:tblCellMar>
          <w:top w:w="0" w:type="dxa"/>
          <w:left w:w="0" w:type="dxa"/>
          <w:bottom w:w="0" w:type="dxa"/>
          <w:right w:w="0" w:type="dxa"/>
        </w:tblCellMar>
      </w:tblPr>
      <w:tr>
        <w:trPr>
          <w:trHeight w:val="234"/>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12.1</w:t>
            </w:r>
          </w:p>
        </w:tc>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 Agreements</w:t>
            </w:r>
          </w:p>
        </w:tc>
      </w:tr>
      <w:tr>
        <w:trPr>
          <w:trHeight w:val="256"/>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12.2</w:t>
            </w:r>
          </w:p>
        </w:tc>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Authority to Vary Terms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5" w:lineRule="exact"/>
        <w:rPr>
          <w:sz w:val="20"/>
          <w:szCs w:val="20"/>
          <w:color w:val="auto"/>
        </w:rPr>
      </w:pPr>
    </w:p>
    <w:p>
      <w:pPr>
        <w:ind w:left="572" w:hanging="572"/>
        <w:spacing w:after="0"/>
        <w:tabs>
          <w:tab w:leader="none" w:pos="57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tbl>
      <w:tblPr>
        <w:tblLayout w:type="fixed"/>
        <w:tblInd w:w="572" w:type="dxa"/>
        <w:tblCellMar>
          <w:top w:w="0" w:type="dxa"/>
          <w:left w:w="0" w:type="dxa"/>
          <w:bottom w:w="0" w:type="dxa"/>
          <w:right w:w="0" w:type="dxa"/>
        </w:tblCellMar>
      </w:tblPr>
      <w:tr>
        <w:trPr>
          <w:trHeight w:val="234"/>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13.1</w:t>
            </w: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Change in Control on Awards</w:t>
            </w:r>
          </w:p>
        </w:tc>
      </w:tr>
      <w:tr>
        <w:trPr>
          <w:trHeight w:val="256"/>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13.2</w:t>
            </w: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Effect of Change in Control on Nonemployee Director Awards</w:t>
            </w:r>
          </w:p>
        </w:tc>
      </w:tr>
      <w:tr>
        <w:trPr>
          <w:trHeight w:val="256"/>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13.3</w:t>
            </w: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Excise Tax Under Section 4999 of the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No.</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13</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13</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13</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13</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13</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13</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14</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14</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14</w:t>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14</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14</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14</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15</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15</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15</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15</w:t>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16</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18</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18</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19</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19</w:t>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19</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19</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19</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19</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19</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w:t>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w:t>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21</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2">
            <w:col w:w="9672" w:space="720"/>
            <w:col w:w="680"/>
          </w:cols>
          <w:pgMar w:left="328" w:top="333" w:right="499" w:bottom="1440" w:gutter="0" w:footer="0" w:header="0"/>
        </w:sectPr>
      </w:pPr>
    </w:p>
    <w:bookmarkStart w:id="16" w:name="page17"/>
    <w:bookmarkEnd w:id="16"/>
    <w:p>
      <w:pPr>
        <w:spacing w:after="0" w:line="200" w:lineRule="exact"/>
        <w:rPr>
          <w:sz w:val="20"/>
          <w:szCs w:val="20"/>
          <w:color w:val="auto"/>
        </w:rPr>
      </w:pPr>
    </w:p>
    <w:p>
      <w:pPr>
        <w:spacing w:after="0" w:line="245"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SECURITIES LAW.</w:t>
      </w:r>
    </w:p>
    <w:p>
      <w:pPr>
        <w:spacing w:after="0" w:line="306"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15.1</w:t>
            </w: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Awards Subject to Section 409A</w:t>
            </w:r>
          </w:p>
        </w:tc>
      </w:tr>
      <w:tr>
        <w:trPr>
          <w:trHeight w:val="257"/>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15.2</w:t>
            </w: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Deferral and/or Distribution Elections</w:t>
            </w:r>
          </w:p>
        </w:tc>
      </w:tr>
      <w:tr>
        <w:trPr>
          <w:trHeight w:val="257"/>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15.3</w:t>
            </w: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Subsequent Elections</w:t>
            </w:r>
          </w:p>
        </w:tc>
      </w:tr>
      <w:tr>
        <w:trPr>
          <w:trHeight w:val="256"/>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15.4</w:t>
            </w: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Payment of Section 409A Deferred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16.1</w:t>
            </w:r>
          </w:p>
        </w:tc>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Withholding in General</w:t>
            </w:r>
          </w:p>
        </w:tc>
      </w:tr>
      <w:tr>
        <w:trPr>
          <w:trHeight w:val="256"/>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16.2</w:t>
            </w:r>
          </w:p>
        </w:tc>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Withholding in or Directed Sale of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SUSPENSION OR TERMINATION OF PLAN</w:t>
      </w:r>
    </w:p>
    <w:p>
      <w:pPr>
        <w:spacing w:after="0" w:line="306"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18.1</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Repurchase Rights</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18.2</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Forfeiture Events</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18.3</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of Information</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18.4</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Rights as Employee, Consultant or Director</w:t>
            </w:r>
          </w:p>
        </w:tc>
      </w:tr>
      <w:tr>
        <w:trPr>
          <w:trHeight w:val="25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18.5</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as a Stockholder</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18.6</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Delivery of Title to Shares</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18.7</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Fractional Shares</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18.8</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Retirement and Welfare Plans</w:t>
            </w:r>
          </w:p>
        </w:tc>
      </w:tr>
      <w:tr>
        <w:trPr>
          <w:trHeight w:val="25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18.9</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Beneficiary Designation</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18.10</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Severability</w:t>
            </w:r>
          </w:p>
        </w:tc>
      </w:tr>
      <w:tr>
        <w:trPr>
          <w:trHeight w:val="25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18.11</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Constraint on Corporate Action</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18.12</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Unfunded Obligation</w:t>
            </w:r>
          </w:p>
        </w:tc>
      </w:tr>
      <w:tr>
        <w:trPr>
          <w:trHeight w:val="25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18.13</w:t>
            </w:r>
          </w:p>
        </w:tc>
        <w:tc>
          <w:tcPr>
            <w:tcW w:w="3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Choice of Law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-1276350</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right"/>
        <w:ind w:right="398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No.</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22</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22</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22</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22</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22</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23</w:t>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24</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24</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24</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25</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25</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25</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25</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25</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25</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2">
            <w:col w:w="9680" w:space="720"/>
            <w:col w:w="680"/>
          </w:cols>
          <w:pgMar w:left="320" w:top="333" w:right="4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ESTABLISHMENT, PURPOSE AND TERM OF PLAN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Establishment</w:t>
      </w:r>
      <w:r>
        <w:rPr>
          <w:rFonts w:ascii="Times New Roman" w:cs="Times New Roman" w:eastAsia="Times New Roman" w:hAnsi="Times New Roman"/>
          <w:sz w:val="18"/>
          <w:szCs w:val="18"/>
          <w:color w:val="auto"/>
        </w:rPr>
        <w:t>. The CID Holdco, Inc. 2024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hereby established effective as of June 18, 2025, the date of the closing of the transactions contemplated by that certain business combination agreement dated as of March 18, 2024, entered into by and between ShoulderUp Technology Acquisition Corp., SEE ID, Inc., the Company, and certain other parties, following the Plan’s approval by the stockholders of the Company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xml:space="preserve">. The Plan shall continue in effect until its termination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Awards shall be granted, if at all, within ten (10) years from the earlier of the date that the Plan was approved by the Board or the stockholders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DEFINITIONS AND CONSTRUCTION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Whenever used herein, the following terms shall have their respective meanings set forth below:</w:t>
      </w:r>
    </w:p>
    <w:p>
      <w:pPr>
        <w:spacing w:after="0" w:line="225" w:lineRule="exact"/>
        <w:rPr>
          <w:sz w:val="20"/>
          <w:szCs w:val="20"/>
          <w:color w:val="auto"/>
        </w:rPr>
      </w:pPr>
    </w:p>
    <w:p>
      <w:pPr>
        <w:jc w:val="both"/>
        <w:ind w:firstLine="1304"/>
        <w:spacing w:after="0" w:line="262" w:lineRule="auto"/>
        <w:tabs>
          <w:tab w:leader="none" w:pos="15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spacing w:after="0" w:line="176" w:lineRule="exact"/>
        <w:rPr>
          <w:rFonts w:ascii="Times New Roman" w:cs="Times New Roman" w:eastAsia="Times New Roman" w:hAnsi="Times New Roman"/>
          <w:sz w:val="18"/>
          <w:szCs w:val="18"/>
          <w:color w:val="auto"/>
        </w:rPr>
      </w:pPr>
    </w:p>
    <w:p>
      <w:pPr>
        <w:ind w:right="20" w:firstLine="1304"/>
        <w:spacing w:after="0" w:line="286" w:lineRule="auto"/>
        <w:tabs>
          <w:tab w:leader="none" w:pos="15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Option, Stock Appreciation Right, Restricted Stock Purchase Right, Restricted Stock Bonus, Restricted Stock Unit, Performance Share, Performance Unit, Cash-Based Award or Other Stock-Based Award granted under the Plan.</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setting forth the terms, conditions and restrictions applicable to an Award.</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Cash-Based Award</w:t>
      </w:r>
      <w:r>
        <w:rPr>
          <w:rFonts w:ascii="Times New Roman" w:cs="Times New Roman" w:eastAsia="Times New Roman" w:hAnsi="Times New Roman"/>
          <w:sz w:val="18"/>
          <w:szCs w:val="18"/>
          <w:color w:val="auto"/>
        </w:rPr>
        <w:t xml:space="preserve">” means an Award denominated in cash and granted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xml:space="preserve">” means a Cashless Exercise as defined in </w:t>
      </w:r>
      <w:r>
        <w:rPr>
          <w:rFonts w:ascii="Times New Roman" w:cs="Times New Roman" w:eastAsia="Times New Roman" w:hAnsi="Times New Roman"/>
          <w:sz w:val="18"/>
          <w:szCs w:val="18"/>
          <w:u w:val="single" w:color="auto"/>
          <w:color w:val="auto"/>
        </w:rPr>
        <w:t>Section 6.3(b)(i)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unless such term or an equivalent term is otherwise defined by the applicable Award Agreement or other written agreement between a Participant and a Participating Company applicable to an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nolo contendere) of any criminal act involving fraud, dishonesty, misappropriation or moral turpitude, or which impairs the Participant’s ability to perform his or her duties with a Participating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one or a combination of the following:</w:t>
      </w:r>
    </w:p>
    <w:p>
      <w:pPr>
        <w:spacing w:after="0" w:line="22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5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184" w:lineRule="exact"/>
        <w:rPr>
          <w:rFonts w:ascii="Times New Roman" w:cs="Times New Roman" w:eastAsia="Times New Roman" w:hAnsi="Times New Roman"/>
          <w:sz w:val="18"/>
          <w:szCs w:val="18"/>
          <w:color w:val="auto"/>
        </w:rPr>
      </w:pPr>
    </w:p>
    <w:p>
      <w:pPr>
        <w:jc w:val="both"/>
        <w:ind w:firstLine="1952"/>
        <w:spacing w:after="0" w:line="259" w:lineRule="auto"/>
        <w:tabs>
          <w:tab w:leader="none" w:pos="223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Ownership Change Event or series of related Ownership Change Events (collectively,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w:t>
      </w:r>
      <w:r>
        <w:rPr>
          <w:rFonts w:ascii="Times New Roman" w:cs="Times New Roman" w:eastAsia="Times New Roman" w:hAnsi="Times New Roman"/>
          <w:sz w:val="18"/>
          <w:szCs w:val="18"/>
          <w:u w:val="single" w:color="auto"/>
          <w:color w:val="auto"/>
        </w:rPr>
        <w:t>Section 2.1(dd)(iii)</w:t>
      </w:r>
      <w:r>
        <w:rPr>
          <w:rFonts w:ascii="Times New Roman" w:cs="Times New Roman" w:eastAsia="Times New Roman" w:hAnsi="Times New Roman"/>
          <w:sz w:val="18"/>
          <w:szCs w:val="18"/>
          <w:color w:val="auto"/>
        </w:rPr>
        <w:t>, the entity to which the assets of the Company were transferred (the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as the case may be; or</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date specified by the Committee following approval by the stockholders of a plan of complete liquidation or dissolution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Change in Control shall be deemed not to include a transaction described in subsections (i) or (ii) of this </w:t>
      </w:r>
      <w:r>
        <w:rPr>
          <w:rFonts w:ascii="Times New Roman" w:cs="Times New Roman" w:eastAsia="Times New Roman" w:hAnsi="Times New Roman"/>
          <w:sz w:val="18"/>
          <w:szCs w:val="18"/>
          <w:u w:val="single" w:color="auto"/>
          <w:color w:val="auto"/>
        </w:rPr>
        <w:t>Section 2.1(h)</w:t>
      </w:r>
      <w:r>
        <w:rPr>
          <w:rFonts w:ascii="Times New Roman" w:cs="Times New Roman" w:eastAsia="Times New Roman" w:hAnsi="Times New Roman"/>
          <w:sz w:val="18"/>
          <w:szCs w:val="18"/>
          <w:color w:val="auto"/>
        </w:rPr>
        <w:t xml:space="preserve"> in which a majority of the members of the board of directors of the continuing, surviving or successor entity, or parent thereof, immediately after such transaction is comprised of Incumbent Directors.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w:t>
      </w:r>
    </w:p>
    <w:p>
      <w:pPr>
        <w:spacing w:after="0" w:line="1" w:lineRule="exact"/>
        <w:rPr>
          <w:sz w:val="20"/>
          <w:szCs w:val="20"/>
          <w:color w:val="auto"/>
        </w:rPr>
      </w:pPr>
    </w:p>
    <w:p>
      <w:pPr>
        <w:ind w:firstLine="8"/>
        <w:spacing w:after="0" w:line="260" w:lineRule="auto"/>
        <w:tabs>
          <w:tab w:leader="none" w:pos="2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(iii) of this </w:t>
      </w:r>
      <w:r>
        <w:rPr>
          <w:rFonts w:ascii="Times New Roman" w:cs="Times New Roman" w:eastAsia="Times New Roman" w:hAnsi="Times New Roman"/>
          <w:sz w:val="18"/>
          <w:szCs w:val="18"/>
          <w:u w:val="single" w:color="auto"/>
          <w:color w:val="auto"/>
        </w:rPr>
        <w:t>Section 2.1(h)</w:t>
      </w:r>
      <w:r>
        <w:rPr>
          <w:rFonts w:ascii="Times New Roman" w:cs="Times New Roman" w:eastAsia="Times New Roman" w:hAnsi="Times New Roman"/>
          <w:sz w:val="18"/>
          <w:szCs w:val="18"/>
          <w:color w:val="auto"/>
        </w:rPr>
        <w:t xml:space="preserve"> are related and to be treated in the aggregate as a single Change in Control, and its determination shall be final, binding and conclusive.</w:t>
      </w:r>
    </w:p>
    <w:p>
      <w:pPr>
        <w:spacing w:after="0" w:line="177"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and any applicable regulations and administrative guidelines promulgated thereunder.</w:t>
      </w:r>
    </w:p>
    <w:p>
      <w:pPr>
        <w:spacing w:after="0" w:line="15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spacing w:after="0" w:line="18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CID Holdco, Inc., a Delaware corporation, and any successor corporation thereto.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ind w:firstLine="1304"/>
        <w:spacing w:after="0" w:line="262" w:lineRule="auto"/>
        <w:tabs>
          <w:tab w:leader="none" w:pos="15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means a person engaged to provide consulting or advisory services (other than as an Employee or a Director) to a Participating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7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the permanent and total disability of the Participant, within the meaning of Section 22(e)(3) of the Code.</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Equivalent Right</w:t>
      </w:r>
      <w:r>
        <w:rPr>
          <w:rFonts w:ascii="Times New Roman" w:cs="Times New Roman" w:eastAsia="Times New Roman" w:hAnsi="Times New Roman"/>
          <w:sz w:val="18"/>
          <w:szCs w:val="18"/>
          <w:color w:val="auto"/>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w:t>
      </w:r>
    </w:p>
    <w:p>
      <w:pPr>
        <w:spacing w:after="0" w:line="170"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8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5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the value of a share of Stock or other property as determined by the Committee, in its discretion, or by the Company, in its discretion, if such determination is expressly allocated to the Company herein, subject to the following:</w:t>
      </w:r>
    </w:p>
    <w:p>
      <w:pPr>
        <w:spacing w:after="0" w:line="15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7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The Wall Street Journal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or Section 422 of the Code to the extent applicable.</w:t>
      </w:r>
    </w:p>
    <w:p>
      <w:pPr>
        <w:spacing w:after="0" w:line="171"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 Value Award</w:t>
      </w:r>
      <w:r>
        <w:rPr>
          <w:rFonts w:ascii="Times New Roman" w:cs="Times New Roman" w:eastAsia="Times New Roman" w:hAnsi="Times New Roman"/>
          <w:sz w:val="18"/>
          <w:szCs w:val="18"/>
          <w:color w:val="auto"/>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15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intended to be (as set forth in the Award Agreement) and which qualifies as an incentive stock option within the meaning of Section 422(b) of the Code.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both"/>
        <w:ind w:firstLine="1304"/>
        <w:spacing w:after="0" w:line="262" w:lineRule="auto"/>
        <w:tabs>
          <w:tab w:leader="none" w:pos="15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Incumbent Director</w:t>
      </w:r>
      <w:r>
        <w:rPr>
          <w:rFonts w:ascii="Times New Roman" w:cs="Times New Roman" w:eastAsia="Times New Roman" w:hAnsi="Times New Roman"/>
          <w:sz w:val="18"/>
          <w:szCs w:val="18"/>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17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w:t>
      </w:r>
      <w:r>
        <w:rPr>
          <w:rFonts w:ascii="Times New Roman" w:cs="Times New Roman" w:eastAsia="Times New Roman" w:hAnsi="Times New Roman"/>
          <w:sz w:val="18"/>
          <w:szCs w:val="18"/>
          <w:color w:val="auto"/>
        </w:rPr>
        <w:t>” means an Officer, a Director or other person whose transactions in Stock are subject to Section 16 of the Exchange Act.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xml:space="preserve">” means a Net Exercise as defined in </w:t>
      </w:r>
      <w:r>
        <w:rPr>
          <w:rFonts w:ascii="Times New Roman" w:cs="Times New Roman" w:eastAsia="Times New Roman" w:hAnsi="Times New Roman"/>
          <w:sz w:val="18"/>
          <w:szCs w:val="18"/>
          <w:u w:val="single" w:color="auto"/>
          <w:color w:val="auto"/>
        </w:rPr>
        <w:t>Section 6.3(b)(iii)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who is not an Employee.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 Award</w:t>
      </w:r>
      <w:r>
        <w:rPr>
          <w:rFonts w:ascii="Times New Roman" w:cs="Times New Roman" w:eastAsia="Times New Roman" w:hAnsi="Times New Roman"/>
          <w:sz w:val="18"/>
          <w:szCs w:val="18"/>
          <w:color w:val="auto"/>
        </w:rPr>
        <w:t>” means any Award granted to a Nonemployee Director.</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5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means an Option not intended to be (as set forth in the Award Agreement) or which does not qualify as an incentive stock option within the meaning of Section 422(b) of the Code.</w:t>
      </w:r>
    </w:p>
    <w:p>
      <w:pPr>
        <w:spacing w:after="0" w:line="155" w:lineRule="exact"/>
        <w:rPr>
          <w:sz w:val="20"/>
          <w:szCs w:val="20"/>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any person designated by the Board as an officer of the Company.</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Nonstatutory Stock Option granted pursuant to the Plan.</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Stock-Based Award</w:t>
      </w:r>
      <w:r>
        <w:rPr>
          <w:rFonts w:ascii="Times New Roman" w:cs="Times New Roman" w:eastAsia="Times New Roman" w:hAnsi="Times New Roman"/>
          <w:sz w:val="18"/>
          <w:szCs w:val="18"/>
          <w:color w:val="auto"/>
        </w:rPr>
        <w:t xml:space="preserve">” means an Award denominated in shares of Stock and granted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9" w:lineRule="auto"/>
        <w:tabs>
          <w:tab w:leader="none" w:pos="16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Ownership Change Event</w:t>
      </w:r>
      <w:r>
        <w:rPr>
          <w:rFonts w:ascii="Times New Roman" w:cs="Times New Roman" w:eastAsia="Times New Roman" w:hAnsi="Times New Roman"/>
          <w:sz w:val="18"/>
          <w:szCs w:val="18"/>
          <w:color w:val="auto"/>
        </w:rPr>
        <w:t>”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Corporation</w:t>
      </w:r>
      <w:r>
        <w:rPr>
          <w:rFonts w:ascii="Times New Roman" w:cs="Times New Roman" w:eastAsia="Times New Roman" w:hAnsi="Times New Roman"/>
          <w:sz w:val="18"/>
          <w:szCs w:val="18"/>
          <w:color w:val="auto"/>
        </w:rPr>
        <w:t>” means any present or future “parent corporation” of the Company, as defined in Section 424(e) of the Code.</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any eligible person who has been granted one or more Awards.</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Company</w:t>
      </w:r>
      <w:r>
        <w:rPr>
          <w:rFonts w:ascii="Times New Roman" w:cs="Times New Roman" w:eastAsia="Times New Roman" w:hAnsi="Times New Roman"/>
          <w:sz w:val="18"/>
          <w:szCs w:val="18"/>
          <w:color w:val="auto"/>
        </w:rPr>
        <w:t>” means the Company or any Parent Corporation, Subsidiary Corporation or Affiliate.</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6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Company Group</w:t>
      </w:r>
      <w:r>
        <w:rPr>
          <w:rFonts w:ascii="Times New Roman" w:cs="Times New Roman" w:eastAsia="Times New Roman" w:hAnsi="Times New Roman"/>
          <w:sz w:val="18"/>
          <w:szCs w:val="18"/>
          <w:color w:val="auto"/>
        </w:rPr>
        <w:t>” means, at any point in time, the Company and all other entities collectively which are then Participating Companies.</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an Award of Performance Shares or Performance Units.</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 Formula</w:t>
      </w:r>
      <w:r>
        <w:rPr>
          <w:rFonts w:ascii="Times New Roman" w:cs="Times New Roman" w:eastAsia="Times New Roman" w:hAnsi="Times New Roman"/>
          <w:sz w:val="18"/>
          <w:szCs w:val="18"/>
          <w:color w:val="auto"/>
        </w:rPr>
        <w:t xml:space="preserve">” means, for any Performance Award, a formula or table established by the Committee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which provides the basis for computing the value of a Performance Award at one or more levels of attainment of the applicable Performance Goal(s) measured as of the end of the applicable Performance Period.</w:t>
      </w:r>
    </w:p>
    <w:p>
      <w:pPr>
        <w:spacing w:after="0" w:line="170"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w:t>
      </w:r>
      <w:r>
        <w:rPr>
          <w:rFonts w:ascii="Times New Roman" w:cs="Times New Roman" w:eastAsia="Times New Roman" w:hAnsi="Times New Roman"/>
          <w:sz w:val="18"/>
          <w:szCs w:val="18"/>
          <w:color w:val="auto"/>
        </w:rPr>
        <w:t xml:space="preserve">” means a performance goal established by the Committee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xml:space="preserve">” means a period established by the Committee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at the end of which one or more Performance Goals are to be measured.</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7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Share</w:t>
      </w:r>
      <w:r>
        <w:rPr>
          <w:rFonts w:ascii="Times New Roman" w:cs="Times New Roman" w:eastAsia="Times New Roman" w:hAnsi="Times New Roman"/>
          <w:sz w:val="18"/>
          <w:szCs w:val="18"/>
          <w:color w:val="auto"/>
        </w:rPr>
        <w:t xml:space="preserve">” means a right granted to a Participant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to receive a payment equal to the value of a Performance Share, as determined by the Committee, based upon attainment of applicable Performance Goal(s).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firstLine="1304"/>
        <w:spacing w:after="0" w:line="286" w:lineRule="auto"/>
        <w:tabs>
          <w:tab w:leader="none" w:pos="1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Unit</w:t>
      </w:r>
      <w:r>
        <w:rPr>
          <w:rFonts w:ascii="Times New Roman" w:cs="Times New Roman" w:eastAsia="Times New Roman" w:hAnsi="Times New Roman"/>
          <w:sz w:val="18"/>
          <w:szCs w:val="18"/>
          <w:color w:val="auto"/>
        </w:rPr>
        <w:t xml:space="preserve">” means a right granted to a Participant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to receive a payment equal to the value of a Performance Unit, as determined by the Committee, based upon attainment of applicable Performance Goal(s).</w:t>
      </w:r>
    </w:p>
    <w:p>
      <w:pPr>
        <w:spacing w:after="0" w:line="154"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Award</w:t>
      </w:r>
      <w:r>
        <w:rPr>
          <w:rFonts w:ascii="Times New Roman" w:cs="Times New Roman" w:eastAsia="Times New Roman" w:hAnsi="Times New Roman"/>
          <w:sz w:val="18"/>
          <w:szCs w:val="18"/>
          <w:color w:val="auto"/>
        </w:rPr>
        <w:t>” means an Award of a Restricted Stock Bonus or a Restricted Stock Purchase Right.</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Bonus</w:t>
      </w:r>
      <w:r>
        <w:rPr>
          <w:rFonts w:ascii="Times New Roman" w:cs="Times New Roman" w:eastAsia="Times New Roman" w:hAnsi="Times New Roman"/>
          <w:sz w:val="18"/>
          <w:szCs w:val="18"/>
          <w:color w:val="auto"/>
        </w:rPr>
        <w:t xml:space="preserve">” means Stock granted to a Participant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Purchase Right</w:t>
      </w:r>
      <w:r>
        <w:rPr>
          <w:rFonts w:ascii="Times New Roman" w:cs="Times New Roman" w:eastAsia="Times New Roman" w:hAnsi="Times New Roman"/>
          <w:sz w:val="18"/>
          <w:szCs w:val="18"/>
          <w:color w:val="auto"/>
        </w:rPr>
        <w:t xml:space="preserve">” means a right to purchase Stock granted to a Participant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5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xml:space="preserve">” means a right granted to a Participant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to receive on a future date or occurrence of a future event a share of Stock or cash in lieu thereof, as determined by the Committee.</w:t>
      </w:r>
    </w:p>
    <w:p>
      <w:pPr>
        <w:spacing w:after="0" w:line="154"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under the Exchange Act, as amended from time to time, or any successor rule or regulation.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xml:space="preserve">” means a right granted to a Participant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to receive payment, for each share of Stock subject to such Award, of an amount equal to the excess, if any, of the Fair Market Value of a share of Stock on the date of exercise of the Award over the exercise price thereof.</w:t>
      </w:r>
    </w:p>
    <w:p>
      <w:pPr>
        <w:spacing w:after="0" w:line="170"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6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 Deferred Compensation</w:t>
      </w:r>
      <w:r>
        <w:rPr>
          <w:rFonts w:ascii="Times New Roman" w:cs="Times New Roman" w:eastAsia="Times New Roman" w:hAnsi="Times New Roman"/>
          <w:sz w:val="18"/>
          <w:szCs w:val="18"/>
          <w:color w:val="auto"/>
        </w:rPr>
        <w:t>” means compensation provided pursuant to an Award that constitutes nonqualified deferred compensation within the meaning of Section 409A.</w:t>
      </w:r>
    </w:p>
    <w:p>
      <w:pPr>
        <w:spacing w:after="0" w:line="154"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xml:space="preserve">”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provided by the Committee, if any such leave taken by a Participant exceeds ninety (90) days, then on the ninety-first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197" w:lineRule="exact"/>
        <w:rPr>
          <w:sz w:val="20"/>
          <w:szCs w:val="20"/>
          <w:color w:val="auto"/>
        </w:rPr>
      </w:pPr>
    </w:p>
    <w:p>
      <w:pPr>
        <w:ind w:left="1640" w:hanging="336"/>
        <w:spacing w:after="0"/>
        <w:tabs>
          <w:tab w:leader="none" w:pos="1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means the common stock of the Company, as adjusted from time to time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Tender Exercise</w:t>
      </w:r>
      <w:r>
        <w:rPr>
          <w:rFonts w:ascii="Times New Roman" w:cs="Times New Roman" w:eastAsia="Times New Roman" w:hAnsi="Times New Roman"/>
          <w:sz w:val="18"/>
          <w:szCs w:val="18"/>
          <w:color w:val="auto"/>
        </w:rPr>
        <w:t xml:space="preserve">” means a Stock Tender Exercise as defined in </w:t>
      </w:r>
      <w:r>
        <w:rPr>
          <w:rFonts w:ascii="Times New Roman" w:cs="Times New Roman" w:eastAsia="Times New Roman" w:hAnsi="Times New Roman"/>
          <w:sz w:val="18"/>
          <w:szCs w:val="18"/>
          <w:u w:val="single" w:color="auto"/>
          <w:color w:val="auto"/>
        </w:rPr>
        <w:t>Section 6.3(b)(ii)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(aaa) “</w:t>
      </w:r>
      <w:r>
        <w:rPr>
          <w:rFonts w:ascii="Times New Roman" w:cs="Times New Roman" w:eastAsia="Times New Roman" w:hAnsi="Times New Roman"/>
          <w:sz w:val="18"/>
          <w:szCs w:val="18"/>
          <w:b w:val="1"/>
          <w:bCs w:val="1"/>
          <w:color w:val="auto"/>
        </w:rPr>
        <w:t>Subsidiary Corporation</w:t>
      </w:r>
      <w:r>
        <w:rPr>
          <w:rFonts w:ascii="Times New Roman" w:cs="Times New Roman" w:eastAsia="Times New Roman" w:hAnsi="Times New Roman"/>
          <w:sz w:val="18"/>
          <w:szCs w:val="18"/>
          <w:color w:val="auto"/>
        </w:rPr>
        <w:t>” means any present or future “subsidiary corporation” of the Company, as defined in Section 424(f)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w:t>
      </w:r>
    </w:p>
    <w:p>
      <w:pPr>
        <w:spacing w:after="0" w:line="203" w:lineRule="exact"/>
        <w:rPr>
          <w:sz w:val="20"/>
          <w:szCs w:val="20"/>
          <w:color w:val="auto"/>
        </w:rPr>
      </w:pPr>
    </w:p>
    <w:p>
      <w:pPr>
        <w:jc w:val="both"/>
        <w:ind w:firstLine="1304"/>
        <w:spacing w:after="0" w:line="268" w:lineRule="auto"/>
        <w:tabs>
          <w:tab w:leader="none" w:pos="17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 Percent Owner</w:t>
      </w:r>
      <w:r>
        <w:rPr>
          <w:rFonts w:ascii="Times New Roman" w:cs="Times New Roman" w:eastAsia="Times New Roman" w:hAnsi="Times New Roman"/>
          <w:sz w:val="18"/>
          <w:szCs w:val="18"/>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ind w:right="20" w:firstLine="1304"/>
        <w:spacing w:after="0" w:line="268" w:lineRule="auto"/>
        <w:tabs>
          <w:tab w:leader="none" w:pos="17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Compliance Policy</w:t>
      </w:r>
      <w:r>
        <w:rPr>
          <w:rFonts w:ascii="Times New Roman" w:cs="Times New Roman" w:eastAsia="Times New Roman" w:hAnsi="Times New Roman"/>
          <w:sz w:val="18"/>
          <w:szCs w:val="18"/>
          <w:color w:val="auto"/>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170" w:lineRule="exact"/>
        <w:rPr>
          <w:rFonts w:ascii="Times New Roman" w:cs="Times New Roman" w:eastAsia="Times New Roman" w:hAnsi="Times New Roman"/>
          <w:sz w:val="18"/>
          <w:szCs w:val="18"/>
          <w:color w:val="auto"/>
        </w:rPr>
      </w:pPr>
    </w:p>
    <w:p>
      <w:pPr>
        <w:jc w:val="both"/>
        <w:ind w:firstLine="1304"/>
        <w:spacing w:after="0" w:line="268" w:lineRule="auto"/>
        <w:tabs>
          <w:tab w:leader="none" w:pos="17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Conditions</w:t>
      </w:r>
      <w:r>
        <w:rPr>
          <w:rFonts w:ascii="Times New Roman" w:cs="Times New Roman" w:eastAsia="Times New Roman" w:hAnsi="Times New Roman"/>
          <w:sz w:val="18"/>
          <w:szCs w:val="18"/>
          <w:color w:val="auto"/>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ADMINISTRATION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Administration by the Committee</w:t>
      </w:r>
      <w:r>
        <w:rPr>
          <w:rFonts w:ascii="Times New Roman" w:cs="Times New Roman" w:eastAsia="Times New Roman" w:hAnsi="Times New Roman"/>
          <w:sz w:val="18"/>
          <w:szCs w:val="18"/>
          <w:color w:val="auto"/>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Authority of Officers</w:t>
      </w:r>
      <w:r>
        <w:rPr>
          <w:rFonts w:ascii="Times New Roman" w:cs="Times New Roman" w:eastAsia="Times New Roman" w:hAnsi="Times New Roman"/>
          <w:sz w:val="18"/>
          <w:szCs w:val="18"/>
          <w:color w:val="auto"/>
        </w:rPr>
        <w:t xml:space="preserve">. Any Officer shall have the authority to act on behalf of the Company with respect to any matter, right, obligation, determination or election that is the responsibility of or that is allocated to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Officer has apparent authority with respect to such matter, right, obligation, determination or election.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Administration with Respect to Insiders</w:t>
      </w:r>
      <w:r>
        <w:rPr>
          <w:rFonts w:ascii="Times New Roman" w:cs="Times New Roman" w:eastAsia="Times New Roman" w:hAnsi="Times New Roman"/>
          <w:sz w:val="18"/>
          <w:szCs w:val="18"/>
          <w:color w:val="auto"/>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Powers of the Committee</w:t>
      </w:r>
      <w:r>
        <w:rPr>
          <w:rFonts w:ascii="Times New Roman" w:cs="Times New Roman" w:eastAsia="Times New Roman" w:hAnsi="Times New Roman"/>
          <w:sz w:val="18"/>
          <w:szCs w:val="18"/>
          <w:color w:val="auto"/>
        </w:rPr>
        <w:t>. In addition to any other powers set forth in the Plan and subject to the provisions of the Plan, the Committee shall have the full and final power and authority, in its discretion:</w:t>
      </w:r>
    </w:p>
    <w:p>
      <w:pPr>
        <w:spacing w:after="0" w:line="159" w:lineRule="exact"/>
        <w:rPr>
          <w:sz w:val="20"/>
          <w:szCs w:val="20"/>
          <w:color w:val="auto"/>
        </w:rPr>
      </w:pPr>
    </w:p>
    <w:p>
      <w:pPr>
        <w:ind w:right="20" w:firstLine="1304"/>
        <w:spacing w:after="0" w:line="282" w:lineRule="auto"/>
        <w:tabs>
          <w:tab w:leader="none" w:pos="15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persons to whom, and the time or times at which, Awards shall be granted and the number of shares of Stock, units or monetary value to be subject to each Award;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of Award granted;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 of shares of Stock or other property;</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19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 Award will be settled in shares of Stock, cash, other property or in any combination thereof;</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forms of Award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ind w:firstLine="1304"/>
        <w:spacing w:after="0" w:line="282"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modify, extend, cancel or renew any Award or to waive any restrictions or conditions applicable to any Award or any shares acquired pursuant thereto;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continue, extend or defer the exercisability or vesting of any Award or any shares acquired pursuant thereto, including with respect to the period following a Participant’s termination of Service;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Option or SAR Repricing</w:t>
      </w:r>
      <w:r>
        <w:rPr>
          <w:rFonts w:ascii="Times New Roman" w:cs="Times New Roman" w:eastAsia="Times New Roman" w:hAnsi="Times New Roman"/>
          <w:sz w:val="18"/>
          <w:szCs w:val="18"/>
          <w:color w:val="auto"/>
        </w:rPr>
        <w:t>. Without the affirmative vote of holders of a majority of the shares of Stock cast in person or by proxy at a meeting of the stockholders of the Company at which a quorum representing a majority of all outstanding shares of Stock is present or represented by proxy, the Committee shall not approve a program providing for either (a) the cancellation of outstanding Options or SARs having exercise prices per share greater than the then Fair Market Value of a share of Stock (“</w:t>
      </w:r>
      <w:r>
        <w:rPr>
          <w:rFonts w:ascii="Times New Roman" w:cs="Times New Roman" w:eastAsia="Times New Roman" w:hAnsi="Times New Roman"/>
          <w:sz w:val="18"/>
          <w:szCs w:val="18"/>
          <w:b w:val="1"/>
          <w:bCs w:val="1"/>
          <w:color w:val="auto"/>
        </w:rPr>
        <w:t>Underwater Awards</w:t>
      </w:r>
      <w:r>
        <w:rPr>
          <w:rFonts w:ascii="Times New Roman" w:cs="Times New Roman" w:eastAsia="Times New Roman" w:hAnsi="Times New Roman"/>
          <w:sz w:val="18"/>
          <w:szCs w:val="18"/>
          <w:color w:val="auto"/>
        </w:rPr>
        <w:t xml:space="preserve">”) and the grant in substitution therefor of new Options or SARs having a lower exercise price, Full Value Awards or payments in cash, or (b) the amendment of outstanding Underwater Awards to reduce the exercise price thereof. This Section shall not be construed to apply to (i) “issuing or assuming a stock option in a transaction to which Section 424(a) applies,” within the meaning of Section 424 of the Code, (ii) adjustments pursuant to the assumption of or substitution for an Option or SAR in a manner that would comply with Section 409A, or (iii) an adjustment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within sixty (60) days after the institution of such action, suit or proceeding, such person shall offer to the Company, in writing, the opportunity at its own expense to handle and defend the same.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SHARES SUBJECT TO PLAN</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Maximum Number of Shares Issuable</w:t>
      </w:r>
      <w:r>
        <w:rPr>
          <w:rFonts w:ascii="Times New Roman" w:cs="Times New Roman" w:eastAsia="Times New Roman" w:hAnsi="Times New Roman"/>
          <w:sz w:val="18"/>
          <w:szCs w:val="18"/>
          <w:color w:val="auto"/>
        </w:rPr>
        <w:t xml:space="preserve">. Subject to adjustment as provided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the maximum aggregate number of shares of Stock that may be issued under the Plan shall be equal to 2,032,521 shares (the “</w:t>
      </w:r>
      <w:r>
        <w:rPr>
          <w:rFonts w:ascii="Times New Roman" w:cs="Times New Roman" w:eastAsia="Times New Roman" w:hAnsi="Times New Roman"/>
          <w:sz w:val="18"/>
          <w:szCs w:val="18"/>
          <w:b w:val="1"/>
          <w:bCs w:val="1"/>
          <w:color w:val="auto"/>
        </w:rPr>
        <w:t>Base Reserve</w:t>
      </w:r>
      <w:r>
        <w:rPr>
          <w:rFonts w:ascii="Times New Roman" w:cs="Times New Roman" w:eastAsia="Times New Roman" w:hAnsi="Times New Roman"/>
          <w:sz w:val="18"/>
          <w:szCs w:val="18"/>
          <w:color w:val="auto"/>
        </w:rPr>
        <w:t>”) plus an annual increase, effective as of the first day of the Company’s fiscal year beginning in the year following the fiscal year in which the Company’s stockholders approved the Plan and the first day of each</w:t>
      </w:r>
    </w:p>
    <w:p>
      <w:pPr>
        <w:jc w:val="both"/>
        <w:spacing w:after="0" w:line="227" w:lineRule="auto"/>
        <w:rPr>
          <w:sz w:val="20"/>
          <w:szCs w:val="20"/>
          <w:color w:val="auto"/>
        </w:rPr>
      </w:pPr>
      <w:r>
        <w:rPr>
          <w:rFonts w:ascii="Times New Roman" w:cs="Times New Roman" w:eastAsia="Times New Roman" w:hAnsi="Times New Roman"/>
          <w:sz w:val="18"/>
          <w:szCs w:val="18"/>
          <w:color w:val="auto"/>
        </w:rPr>
        <w:t>subsequent fiscal year through and including the first day of the Company’s fiscal year beginning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Share Counting</w:t>
      </w:r>
      <w:r>
        <w:rPr>
          <w:rFonts w:ascii="Times New Roman" w:cs="Times New Roman" w:eastAsia="Times New Roman" w:hAnsi="Times New Roman"/>
          <w:sz w:val="18"/>
          <w:szCs w:val="18"/>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net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only by the net number of shares for which the Option is exercised. Shares withheld or reacquired by the Company in satisfaction of tax withholding obligations pursuant to the exercise or settlement of Options or SARs pursuant to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and Shares withheld or reacquired by the Company in satisfaction of tax withholding obligations pursuant to the vesting or settlement of Full Value Awards pursuant to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shall again become available for issuance under the Plan.</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Adjustments for Changes in Capital Structure</w:t>
      </w:r>
      <w:r>
        <w:rPr>
          <w:rFonts w:ascii="Times New Roman" w:cs="Times New Roman" w:eastAsia="Times New Roman" w:hAnsi="Times New Roman"/>
          <w:sz w:val="18"/>
          <w:szCs w:val="18"/>
          <w:color w:val="auto"/>
        </w:rPr>
        <w:t xml:space="preserve">.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annual increase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 Award limits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Assumption or Substitution of Awards</w:t>
      </w:r>
      <w:r>
        <w:rPr>
          <w:rFonts w:ascii="Times New Roman" w:cs="Times New Roman" w:eastAsia="Times New Roman" w:hAnsi="Times New Roman"/>
          <w:sz w:val="18"/>
          <w:szCs w:val="18"/>
          <w:color w:val="auto"/>
        </w:rPr>
        <w:t>.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ELIGIBILITY, PARTICIPATION AND AWARD LIMITATIONS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Persons Eligible for Awards</w:t>
      </w:r>
      <w:r>
        <w:rPr>
          <w:rFonts w:ascii="Times New Roman" w:cs="Times New Roman" w:eastAsia="Times New Roman" w:hAnsi="Times New Roman"/>
          <w:sz w:val="18"/>
          <w:szCs w:val="18"/>
          <w:color w:val="auto"/>
        </w:rPr>
        <w:t>. Awards may be granted only to Employees, Consultants and Directors.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Participation in the Plan</w:t>
      </w:r>
      <w:r>
        <w:rPr>
          <w:rFonts w:ascii="Times New Roman" w:cs="Times New Roman" w:eastAsia="Times New Roman" w:hAnsi="Times New Roman"/>
          <w:sz w:val="18"/>
          <w:szCs w:val="18"/>
          <w:color w:val="auto"/>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Incentive Stock Option Limitations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8" w:lineRule="auto"/>
        <w:tabs>
          <w:tab w:leader="none" w:pos="15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Number of Shares Issuable Pursuant to Incentive Stock Options</w:t>
      </w:r>
      <w:r>
        <w:rPr>
          <w:rFonts w:ascii="Times New Roman" w:cs="Times New Roman" w:eastAsia="Times New Roman" w:hAnsi="Times New Roman"/>
          <w:sz w:val="18"/>
          <w:szCs w:val="18"/>
          <w:color w:val="auto"/>
        </w:rPr>
        <w:t xml:space="preserve">. Subject to adjustment as provided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the maximum aggregate number of shares of Stock that may be issued under the Plan pursuant to the exercise of Incentive Stock Options shall not exceed a number of shares equal to three times the Base Reserve. The maximum aggregate number of shares of Stock that may be issued under the Plan pursuant to all Awards other than Incentive Stock Options shall be the number of shares determined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subject to adjustment as provided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Eligible</w:t>
      </w:r>
      <w:r>
        <w:rPr>
          <w:rFonts w:ascii="Times New Roman" w:cs="Times New Roman" w:eastAsia="Times New Roman" w:hAnsi="Times New Roman"/>
          <w:sz w:val="18"/>
          <w:szCs w:val="18"/>
          <w:color w:val="auto"/>
        </w:rPr>
        <w:t>. An Incentive Stock Option may be granted only to a person who, on the effective date of grant, is an Employee of the Company, a Parent Corporation or a Subsidiary Corporation (each being an “</w:t>
      </w:r>
      <w:r>
        <w:rPr>
          <w:rFonts w:ascii="Times New Roman" w:cs="Times New Roman" w:eastAsia="Times New Roman" w:hAnsi="Times New Roman"/>
          <w:sz w:val="18"/>
          <w:szCs w:val="18"/>
          <w:b w:val="1"/>
          <w:bCs w:val="1"/>
          <w:color w:val="auto"/>
        </w:rPr>
        <w:t>ISO-Qualifying Corporation</w:t>
      </w:r>
      <w:r>
        <w:rPr>
          <w:rFonts w:ascii="Times New Roman" w:cs="Times New Roman" w:eastAsia="Times New Roman" w:hAnsi="Times New Roman"/>
          <w:sz w:val="18"/>
          <w:szCs w:val="18"/>
          <w:color w:val="auto"/>
        </w:rPr>
        <w:t>”). Any person who is not an Employee of an ISO-Qualifying Corporation on the effective date of the grant of an Option to such person may be granted only a Nonstatutory Stock Option.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Market Value Limitation</w:t>
      </w:r>
      <w:r>
        <w:rPr>
          <w:rFonts w:ascii="Times New Roman" w:cs="Times New Roman" w:eastAsia="Times New Roman" w:hAnsi="Times New Roman"/>
          <w:sz w:val="18"/>
          <w:szCs w:val="18"/>
          <w:color w:val="auto"/>
        </w:rPr>
        <w:t>. To the extent that options designated as Incentive Stock Options (granted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Nonemployee Director Award Limit</w:t>
      </w:r>
      <w:r>
        <w:rPr>
          <w:rFonts w:ascii="Times New Roman" w:cs="Times New Roman" w:eastAsia="Times New Roman" w:hAnsi="Times New Roman"/>
          <w:sz w:val="18"/>
          <w:szCs w:val="18"/>
          <w:color w:val="auto"/>
        </w:rPr>
        <w:t>. Annual compensation awarded to any Nonemployee Director during each calendar year, including both shares of Stock subject to Awards and any cash fees paid to such Nonemployee Director (but excluding any cash retainer fees, including cash retainer fees converted into equity awards at the election of the Nonemployee Director, expense reimbursements or distributions from any deferred compensation program applicable to the Nonemployee Director), may not exceed $1,000,000 in total value, or $2,000,000 in the calendar year in which any Nonemployee Director is initially elected to the Board (calculating the value of any such Awards based on the grant date fair value of such Awards for financial reporting purposes).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 OPTIONS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xml:space="preserve">. The exercise price for each Option shall be established in the discretion of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Exercisability and Term of Options</w:t>
      </w:r>
      <w:r>
        <w:rPr>
          <w:rFonts w:ascii="Times New Roman" w:cs="Times New Roman" w:eastAsia="Times New Roman" w:hAnsi="Times New Roman"/>
          <w:sz w:val="18"/>
          <w:szCs w:val="18"/>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Payment of Exercise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Forms of Consideration Authorized</w:t>
      </w:r>
      <w:r>
        <w:rPr>
          <w:rFonts w:ascii="Times New Roman" w:cs="Times New Roman" w:eastAsia="Times New Roman" w:hAnsi="Times New Roman"/>
          <w:sz w:val="18"/>
          <w:szCs w:val="18"/>
          <w:color w:val="auto"/>
        </w:rPr>
        <w:t xml:space="preserve">. Except as otherwise provided below, payment of the exercise price for the number of shares of Stock being purchased pursuant to any Option shall be made (i) in cash, by check or in cash equivalent; (ii) if permitted by the Committee and subject to the limitations contained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by means of (1) a Cashless Exercise, (2) a Stock Tender Exercise or (3) a Net Exercise;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Forms of Consideration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8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means the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82"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0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Tender Exercise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Stock Tender Exercise</w:t>
      </w:r>
      <w:r>
        <w:rPr>
          <w:rFonts w:ascii="Times New Roman" w:cs="Times New Roman" w:eastAsia="Times New Roman" w:hAnsi="Times New Roman"/>
          <w:sz w:val="18"/>
          <w:szCs w:val="18"/>
          <w:color w:val="auto"/>
        </w:rPr>
        <w:t>” means the delivery of a 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82" w:lineRule="exact"/>
        <w:rPr>
          <w:rFonts w:ascii="Times New Roman" w:cs="Times New Roman" w:eastAsia="Times New Roman" w:hAnsi="Times New Roman"/>
          <w:sz w:val="18"/>
          <w:szCs w:val="18"/>
          <w:color w:val="auto"/>
        </w:rPr>
      </w:pPr>
    </w:p>
    <w:p>
      <w:pPr>
        <w:jc w:val="both"/>
        <w:ind w:firstLine="1952"/>
        <w:spacing w:after="0" w:line="259" w:lineRule="auto"/>
        <w:tabs>
          <w:tab w:leader="none" w:pos="22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Exercise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means the delivery of a properly executed 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Exercisability</w:t>
      </w:r>
      <w:r>
        <w:rPr>
          <w:rFonts w:ascii="Times New Roman" w:cs="Times New Roman" w:eastAsia="Times New Roman" w:hAnsi="Times New Roman"/>
          <w:sz w:val="18"/>
          <w:szCs w:val="18"/>
          <w:color w:val="auto"/>
        </w:rPr>
        <w:t>. Subject to earlier termination of the Option as otherwise provided by this Plan and unless otherwise provided by the Committee or in an Award Agreement,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8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 provided by the Award Agreement) after the date on which the Participant’s Service terminated, but in any event no later than the date of expiration of the Option’s term as set forth in the Award Agreement evidencing such Option (the “</w:t>
      </w:r>
      <w:r>
        <w:rPr>
          <w:rFonts w:ascii="Times New Roman" w:cs="Times New Roman" w:eastAsia="Times New Roman" w:hAnsi="Times New Roman"/>
          <w:sz w:val="18"/>
          <w:szCs w:val="18"/>
          <w:b w:val="1"/>
          <w:bCs w:val="1"/>
          <w:color w:val="auto"/>
        </w:rPr>
        <w:t>Option Expiration Date</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ind w:firstLine="1952"/>
        <w:spacing w:after="0" w:line="256" w:lineRule="auto"/>
        <w:tabs>
          <w:tab w:leader="none" w:pos="222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provided by the Award Agreement) after the date on which the Participant’s Service terminated, but in any event no later than the Option Expiration Date. The Participant’s Service shall be deemed to have terminated on account of death if the Participant dies within three (3) months (or such longer or shorter period provided by the Award Agreement) after the Participant’s termination of Service for any reason other than Cause.</w:t>
      </w:r>
    </w:p>
    <w:p>
      <w:pPr>
        <w:spacing w:after="0" w:line="187"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Notwithstanding any other provision of the Plan 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 of Service</w:t>
      </w:r>
      <w:r>
        <w:rPr>
          <w:rFonts w:ascii="Times New Roman" w:cs="Times New Roman" w:eastAsia="Times New Roman" w:hAnsi="Times New Roman"/>
          <w:sz w:val="18"/>
          <w:szCs w:val="18"/>
          <w:color w:val="auto"/>
        </w:rPr>
        <w:t>.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(or such longer or shorter period provided by the Award Agreement) after the date on which the Participant’s Service terminated, but in any event no later than the Option Expiration Date.</w:t>
      </w:r>
    </w:p>
    <w:p>
      <w:pPr>
        <w:spacing w:after="0" w:line="180" w:lineRule="exact"/>
        <w:rPr>
          <w:sz w:val="20"/>
          <w:szCs w:val="20"/>
          <w:color w:val="auto"/>
        </w:rPr>
      </w:pPr>
    </w:p>
    <w:p>
      <w:pPr>
        <w:jc w:val="both"/>
        <w:ind w:firstLine="1304"/>
        <w:spacing w:after="0" w:line="261"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if Exercise Prevented by Law</w:t>
      </w:r>
      <w:r>
        <w:rPr>
          <w:rFonts w:ascii="Times New Roman" w:cs="Times New Roman" w:eastAsia="Times New Roman" w:hAnsi="Times New Roman"/>
          <w:sz w:val="18"/>
          <w:szCs w:val="18"/>
          <w:color w:val="auto"/>
        </w:rPr>
        <w:t xml:space="preserve">. Notwithstanding the foregoing, other than termination of Service for Cause, if the exercise of an Option within the applicable time periods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or an Award Agreement is prevented by the provisions of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below, the Option shall remain exercisable until the later of (i) thirty (30) days after the date such exercise first would no longer be prevented by such provisions or (ii) the end of the applicable time period under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but in any event no later than the Option Expiration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Transferability of Options</w:t>
      </w:r>
      <w:r>
        <w:rPr>
          <w:rFonts w:ascii="Times New Roman" w:cs="Times New Roman" w:eastAsia="Times New Roman" w:hAnsi="Times New Roman"/>
          <w:sz w:val="18"/>
          <w:szCs w:val="18"/>
          <w:color w:val="auto"/>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 APPRECIATION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Types of SARs Authorized</w:t>
      </w:r>
      <w:r>
        <w:rPr>
          <w:rFonts w:ascii="Times New Roman" w:cs="Times New Roman" w:eastAsia="Times New Roman" w:hAnsi="Times New Roman"/>
          <w:sz w:val="18"/>
          <w:szCs w:val="18"/>
          <w:color w:val="auto"/>
        </w:rPr>
        <w:t>. SARs may be granted in tandem with all or any portion of a related Option (a “</w:t>
      </w:r>
      <w:r>
        <w:rPr>
          <w:rFonts w:ascii="Times New Roman" w:cs="Times New Roman" w:eastAsia="Times New Roman" w:hAnsi="Times New Roman"/>
          <w:sz w:val="18"/>
          <w:szCs w:val="18"/>
          <w:b w:val="1"/>
          <w:bCs w:val="1"/>
          <w:color w:val="auto"/>
        </w:rPr>
        <w:t>Tandem SAR</w:t>
      </w:r>
      <w:r>
        <w:rPr>
          <w:rFonts w:ascii="Times New Roman" w:cs="Times New Roman" w:eastAsia="Times New Roman" w:hAnsi="Times New Roman"/>
          <w:sz w:val="18"/>
          <w:szCs w:val="18"/>
          <w:color w:val="auto"/>
        </w:rPr>
        <w:t>”) or may be granted independently of any Option (a “</w:t>
      </w:r>
      <w:r>
        <w:rPr>
          <w:rFonts w:ascii="Times New Roman" w:cs="Times New Roman" w:eastAsia="Times New Roman" w:hAnsi="Times New Roman"/>
          <w:sz w:val="18"/>
          <w:szCs w:val="18"/>
          <w:b w:val="1"/>
          <w:bCs w:val="1"/>
          <w:color w:val="auto"/>
        </w:rPr>
        <w:t>Freestanding SAR</w:t>
      </w:r>
      <w:r>
        <w:rPr>
          <w:rFonts w:ascii="Times New Roman" w:cs="Times New Roman" w:eastAsia="Times New Roman" w:hAnsi="Times New Roman"/>
          <w:sz w:val="18"/>
          <w:szCs w:val="18"/>
          <w:color w:val="auto"/>
        </w:rPr>
        <w:t>”). A Tandem SAR may only be granted concurrently with the grant of the related Option.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xml:space="preserve">. The exercise price for each SAR shall be established in the discretion of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Exercisability and Term of SARs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4"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Tandem SARs</w:t>
      </w:r>
      <w:r>
        <w:rPr>
          <w:rFonts w:ascii="Times New Roman" w:cs="Times New Roman" w:eastAsia="Times New Roman" w:hAnsi="Times New Roman"/>
          <w:sz w:val="18"/>
          <w:szCs w:val="18"/>
          <w:color w:val="auto"/>
        </w:rPr>
        <w:t>. Tandem SARs shall be exercisable only at the time and to the extent, and only to 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Freestanding SARs</w:t>
      </w:r>
      <w:r>
        <w:rPr>
          <w:rFonts w:ascii="Times New Roman" w:cs="Times New Roman" w:eastAsia="Times New Roman" w:hAnsi="Times New Roman"/>
          <w:sz w:val="18"/>
          <w:szCs w:val="18"/>
          <w:color w:val="auto"/>
        </w:rPr>
        <w:t xml:space="preserve">. Freestanding SARs shall be exercisable at such time or times, or upon such event or events, and subject to such terms, conditions, performance criteria and restrictions as shall be determined by the Committee and set forth in the Award Agreement evidencing such SAR;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Exercise of SARs</w:t>
      </w:r>
      <w:r>
        <w:rPr>
          <w:rFonts w:ascii="Times New Roman" w:cs="Times New Roman" w:eastAsia="Times New Roman" w:hAnsi="Times New Roman"/>
          <w:sz w:val="18"/>
          <w:szCs w:val="18"/>
          <w:color w:val="auto"/>
        </w:rPr>
        <w:t xml:space="preserve">. Upon the exercise (or deemed exercise pursuant to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 SAR shall be deemed exercised on the date on which the Company receives notice of exercise from the Participant or as otherwise provided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Deemed Exercise of SARs</w:t>
      </w:r>
      <w:r>
        <w:rPr>
          <w:rFonts w:ascii="Times New Roman" w:cs="Times New Roman" w:eastAsia="Times New Roman" w:hAnsi="Times New Roman"/>
          <w:sz w:val="18"/>
          <w:szCs w:val="18"/>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at any time upon notice to a Participant or to apply the deemed exercise feature only to certain groups of Participants. The deemed exercise of a SAR pursuant to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apply only to a SAR that has been timely accepted by a Participant under procedures specified by the Company from time to time.</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(treating the SAR as if it were an Option) and thereafter shall terminate.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Transferability of SARs</w:t>
      </w:r>
      <w:r>
        <w:rPr>
          <w:rFonts w:ascii="Times New Roman" w:cs="Times New Roman" w:eastAsia="Times New Roman" w:hAnsi="Times New Roman"/>
          <w:sz w:val="18"/>
          <w:szCs w:val="18"/>
          <w:color w:val="auto"/>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RESTRICTED STOCK AWARDS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Types of Restricted Stock Awards Authorized</w:t>
      </w:r>
      <w:r>
        <w:rPr>
          <w:rFonts w:ascii="Times New Roman" w:cs="Times New Roman" w:eastAsia="Times New Roman" w:hAnsi="Times New Roman"/>
          <w:sz w:val="18"/>
          <w:szCs w:val="18"/>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If either the grant of or satisfaction of Vesting Conditions applicable to a Restricted Stock Award is to be contingent upon the attainment of one or more Performance Goals, the Committee shall follow procedures substantially equivalent to those set forth in </w:t>
      </w:r>
      <w:r>
        <w:rPr>
          <w:rFonts w:ascii="Times New Roman" w:cs="Times New Roman" w:eastAsia="Times New Roman" w:hAnsi="Times New Roman"/>
          <w:sz w:val="18"/>
          <w:szCs w:val="18"/>
          <w:u w:val="single" w:color="auto"/>
          <w:color w:val="auto"/>
        </w:rPr>
        <w:t>Sections 10.3</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10.5(a)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Purchase Period</w:t>
      </w:r>
      <w:r>
        <w:rPr>
          <w:rFonts w:ascii="Times New Roman" w:cs="Times New Roman" w:eastAsia="Times New Roman" w:hAnsi="Times New Roman"/>
          <w:sz w:val="18"/>
          <w:szCs w:val="18"/>
          <w:color w:val="auto"/>
        </w:rPr>
        <w:t>. A Restricted Stock Purchase Right shall be exercisable within a period established by the Committee, which shall in no event exceed thirty (30) days from the effective date of the grant of the Restricted Stock Purchase Right.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Payment of Purchase Price</w:t>
      </w:r>
      <w:r>
        <w:rPr>
          <w:rFonts w:ascii="Times New Roman" w:cs="Times New Roman" w:eastAsia="Times New Roman" w:hAnsi="Times New Roman"/>
          <w:sz w:val="18"/>
          <w:szCs w:val="18"/>
          <w:color w:val="auto"/>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Vesting and Restrictions on Transfer</w:t>
      </w:r>
      <w:r>
        <w:rPr>
          <w:rFonts w:ascii="Times New Roman" w:cs="Times New Roman" w:eastAsia="Times New Roman" w:hAnsi="Times New Roman"/>
          <w:sz w:val="18"/>
          <w:szCs w:val="18"/>
          <w:color w:val="auto"/>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 Dividends and Distributions</w:t>
      </w:r>
      <w:r>
        <w:rPr>
          <w:rFonts w:ascii="Times New Roman" w:cs="Times New Roman" w:eastAsia="Times New Roman" w:hAnsi="Times New Roman"/>
          <w:sz w:val="18"/>
          <w:szCs w:val="18"/>
          <w:color w:val="auto"/>
        </w:rPr>
        <w:t xml:space="preserve">. Except as provided in this Section,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such dividends and distributions shall be subject to the same Vesting Conditions as the shares subject to the Restricted Stock Award with respect to which such dividends or distributions were paid, and otherwise shall be paid no later than the end of the calendar</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year in which such dividends or distributions are paid to stockholders (or, if later,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color w:val="auto"/>
        </w:rPr>
        <w:t>Nontransferability of Restricted Stock Award Rights</w:t>
      </w:r>
      <w:r>
        <w:rPr>
          <w:rFonts w:ascii="Times New Roman" w:cs="Times New Roman" w:eastAsia="Times New Roman" w:hAnsi="Times New Roman"/>
          <w:sz w:val="18"/>
          <w:szCs w:val="18"/>
          <w:color w:val="auto"/>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RESTRICTED STOCK UNITS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Grant of Restricted Stock Unit Awards</w:t>
      </w:r>
      <w:r>
        <w:rPr>
          <w:rFonts w:ascii="Times New Roman" w:cs="Times New Roman" w:eastAsia="Times New Roman" w:hAnsi="Times New Roman"/>
          <w:sz w:val="18"/>
          <w:szCs w:val="18"/>
          <w:color w:val="auto"/>
        </w:rPr>
        <w:t xml:space="preserve">. Restricted Stock Unit Awards may be granted upon such conditions as the Committee shall determine, including, without limitation, upon the attainment of one or more Performance Goals described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If either the grant of a Restricted Stock Unit Award or the Vesting Conditions with respect to such Award is to be contingent upon the attainment of one or more Performance Goals, the Committee shall follow procedures substantially equivalent to those set forth in </w:t>
      </w:r>
      <w:r>
        <w:rPr>
          <w:rFonts w:ascii="Times New Roman" w:cs="Times New Roman" w:eastAsia="Times New Roman" w:hAnsi="Times New Roman"/>
          <w:sz w:val="18"/>
          <w:szCs w:val="18"/>
          <w:u w:val="single" w:color="auto"/>
          <w:color w:val="auto"/>
        </w:rPr>
        <w:t>Sections 10.3</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10.5(a)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as shall be established by the Committee and set forth in the Award Agreement evidencing such Award.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Voting Rights, Dividend Equivalent Rights and Distributions</w:t>
      </w:r>
      <w:r>
        <w:rPr>
          <w:rFonts w:ascii="Times New Roman" w:cs="Times New Roman" w:eastAsia="Times New Roman" w:hAnsi="Times New Roman"/>
          <w:sz w:val="18"/>
          <w:szCs w:val="18"/>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color w:val="auto"/>
        </w:rPr>
        <w:t>Settlement of Restricted Stock Unit Awards</w:t>
      </w:r>
      <w:r>
        <w:rPr>
          <w:rFonts w:ascii="Times New Roman" w:cs="Times New Roman" w:eastAsia="Times New Roman" w:hAnsi="Times New Roman"/>
          <w:sz w:val="18"/>
          <w:szCs w:val="18"/>
          <w:color w:val="auto"/>
        </w:rPr>
        <w:t xml:space="preserve">.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such shares would not violate the Trading Compliance Policy but in any event no later than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19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color w:val="auto"/>
        </w:rPr>
        <w:t>Nontransferability of Restricted Stock Unit Awards</w:t>
      </w:r>
      <w:r>
        <w:rPr>
          <w:rFonts w:ascii="Times New Roman" w:cs="Times New Roman" w:eastAsia="Times New Roman" w:hAnsi="Times New Roman"/>
          <w:sz w:val="18"/>
          <w:szCs w:val="18"/>
          <w:color w:val="auto"/>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10. PERFORMANCE AWARDS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Types of Performance Awards Authorized</w:t>
      </w:r>
      <w:r>
        <w:rPr>
          <w:rFonts w:ascii="Times New Roman" w:cs="Times New Roman" w:eastAsia="Times New Roman" w:hAnsi="Times New Roman"/>
          <w:sz w:val="18"/>
          <w:szCs w:val="18"/>
          <w:color w:val="auto"/>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Initial Value of Performance Shares and Performance Units</w:t>
      </w:r>
      <w:r>
        <w:rPr>
          <w:rFonts w:ascii="Times New Roman" w:cs="Times New Roman" w:eastAsia="Times New Roman" w:hAnsi="Times New Roman"/>
          <w:sz w:val="18"/>
          <w:szCs w:val="18"/>
          <w:color w:val="auto"/>
        </w:rPr>
        <w:t xml:space="preserve">. Unless otherwise provided by the Committee in granting a Performance Award, each Performance Share shall have an initial monetary value equal to the Fair Market Value of one (1) share of Stock, subject to adjustment as provided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Establishment of Performance Period, Performance Goals and Performance Award Formula</w:t>
      </w:r>
      <w:r>
        <w:rPr>
          <w:rFonts w:ascii="Times New Roman" w:cs="Times New Roman" w:eastAsia="Times New Roman" w:hAnsi="Times New Roman"/>
          <w:sz w:val="18"/>
          <w:szCs w:val="18"/>
          <w:color w:val="auto"/>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Measurement of Performance Goals</w:t>
      </w:r>
      <w:r>
        <w:rPr>
          <w:rFonts w:ascii="Times New Roman" w:cs="Times New Roman" w:eastAsia="Times New Roman" w:hAnsi="Times New Roman"/>
          <w:sz w:val="18"/>
          <w:szCs w:val="18"/>
          <w:color w:val="auto"/>
        </w:rPr>
        <w:t>. Performance Goals shall be established by the Committee on the basis of targets to be attained (“</w:t>
      </w:r>
      <w:r>
        <w:rPr>
          <w:rFonts w:ascii="Times New Roman" w:cs="Times New Roman" w:eastAsia="Times New Roman" w:hAnsi="Times New Roman"/>
          <w:sz w:val="18"/>
          <w:szCs w:val="18"/>
          <w:b w:val="1"/>
          <w:bCs w:val="1"/>
          <w:color w:val="auto"/>
        </w:rPr>
        <w:t>Performance Targets</w:t>
      </w:r>
      <w:r>
        <w:rPr>
          <w:rFonts w:ascii="Times New Roman" w:cs="Times New Roman" w:eastAsia="Times New Roman" w:hAnsi="Times New Roman"/>
          <w:sz w:val="18"/>
          <w:szCs w:val="18"/>
          <w:color w:val="auto"/>
        </w:rPr>
        <w:t>”) with respect to one or more measures of business or financial performance or other criteria established by the Committee (each, a “</w:t>
      </w:r>
      <w:r>
        <w:rPr>
          <w:rFonts w:ascii="Times New Roman" w:cs="Times New Roman" w:eastAsia="Times New Roman" w:hAnsi="Times New Roman"/>
          <w:sz w:val="18"/>
          <w:szCs w:val="18"/>
          <w:b w:val="1"/>
          <w:bCs w:val="1"/>
          <w:color w:val="auto"/>
        </w:rPr>
        <w:t>Performance Measure</w:t>
      </w:r>
      <w:r>
        <w:rPr>
          <w:rFonts w:ascii="Times New Roman" w:cs="Times New Roman" w:eastAsia="Times New Roman" w:hAnsi="Times New Roman"/>
          <w:sz w:val="18"/>
          <w:szCs w:val="18"/>
          <w:color w:val="auto"/>
        </w:rPr>
        <w:t>”), subject to the following:</w:t>
      </w:r>
    </w:p>
    <w:p>
      <w:pPr>
        <w:spacing w:after="0" w:line="175" w:lineRule="exact"/>
        <w:rPr>
          <w:sz w:val="20"/>
          <w:szCs w:val="20"/>
          <w:color w:val="auto"/>
        </w:rPr>
      </w:pPr>
    </w:p>
    <w:p>
      <w:pPr>
        <w:jc w:val="both"/>
        <w:ind w:firstLine="1304"/>
        <w:spacing w:after="0" w:line="253" w:lineRule="auto"/>
        <w:tabs>
          <w:tab w:leader="none" w:pos="15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Measures</w:t>
      </w:r>
      <w:r>
        <w:rPr>
          <w:rFonts w:ascii="Times New Roman" w:cs="Times New Roman" w:eastAsia="Times New Roman" w:hAnsi="Times New Roman"/>
          <w:sz w:val="18"/>
          <w:szCs w:val="18"/>
          <w:color w:val="auto"/>
        </w:rPr>
        <w:t>. Performance Measures based on 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prior to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based upon one or more of the following, without limitation, as determined by the Committee:</w:t>
      </w:r>
    </w:p>
    <w:p>
      <w:pPr>
        <w:spacing w:after="0" w:line="187"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ind w:left="2280" w:hanging="348"/>
        <w:spacing w:after="0"/>
        <w:tabs>
          <w:tab w:leader="none" w:pos="2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any one or more of: stock-based compensation expense, interest, taxes, depreciation and amortization;</w:t>
      </w:r>
    </w:p>
    <w:p>
      <w:pPr>
        <w:spacing w:after="0" w:line="225" w:lineRule="exact"/>
        <w:rPr>
          <w:rFonts w:ascii="Times New Roman" w:cs="Times New Roman" w:eastAsia="Times New Roman" w:hAnsi="Times New Roman"/>
          <w:sz w:val="18"/>
          <w:szCs w:val="18"/>
          <w:color w:val="auto"/>
        </w:rPr>
      </w:pPr>
    </w:p>
    <w:p>
      <w:pPr>
        <w:ind w:left="2340" w:hanging="408"/>
        <w:spacing w:after="0"/>
        <w:tabs>
          <w:tab w:leader="none" w:pos="2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profit;</w:t>
      </w:r>
    </w:p>
    <w:p>
      <w:pPr>
        <w:spacing w:after="0" w:line="225" w:lineRule="exact"/>
        <w:rPr>
          <w:rFonts w:ascii="Times New Roman" w:cs="Times New Roman" w:eastAsia="Times New Roman" w:hAnsi="Times New Roman"/>
          <w:sz w:val="18"/>
          <w:szCs w:val="18"/>
          <w:color w:val="auto"/>
        </w:rPr>
      </w:pPr>
    </w:p>
    <w:p>
      <w:pPr>
        <w:ind w:left="2240" w:hanging="308"/>
        <w:spacing w:after="0"/>
        <w:tabs>
          <w:tab w:leader="none" w:pos="2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225" w:lineRule="exact"/>
        <w:rPr>
          <w:rFonts w:ascii="Times New Roman" w:cs="Times New Roman" w:eastAsia="Times New Roman" w:hAnsi="Times New Roman"/>
          <w:sz w:val="18"/>
          <w:szCs w:val="18"/>
          <w:color w:val="auto"/>
        </w:rPr>
      </w:pPr>
    </w:p>
    <w:p>
      <w:pPr>
        <w:ind w:left="2180" w:hanging="248"/>
        <w:spacing w:after="0"/>
        <w:tabs>
          <w:tab w:leader="none" w:pos="2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225" w:lineRule="exact"/>
        <w:rPr>
          <w:rFonts w:ascii="Times New Roman" w:cs="Times New Roman" w:eastAsia="Times New Roman" w:hAnsi="Times New Roman"/>
          <w:sz w:val="18"/>
          <w:szCs w:val="18"/>
          <w:color w:val="auto"/>
        </w:rPr>
      </w:pPr>
    </w:p>
    <w:p>
      <w:pPr>
        <w:ind w:left="2240" w:hanging="308"/>
        <w:spacing w:after="0"/>
        <w:tabs>
          <w:tab w:leader="none" w:pos="2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added;</w:t>
      </w:r>
    </w:p>
    <w:p>
      <w:pPr>
        <w:spacing w:after="0" w:line="225" w:lineRule="exact"/>
        <w:rPr>
          <w:rFonts w:ascii="Times New Roman" w:cs="Times New Roman" w:eastAsia="Times New Roman" w:hAnsi="Times New Roman"/>
          <w:sz w:val="18"/>
          <w:szCs w:val="18"/>
          <w:color w:val="auto"/>
        </w:rPr>
      </w:pPr>
    </w:p>
    <w:p>
      <w:pPr>
        <w:ind w:left="2280" w:hanging="348"/>
        <w:spacing w:after="0"/>
        <w:tabs>
          <w:tab w:leader="none" w:pos="2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p>
    <w:p>
      <w:pPr>
        <w:spacing w:after="0" w:line="225" w:lineRule="exact"/>
        <w:rPr>
          <w:rFonts w:ascii="Times New Roman" w:cs="Times New Roman" w:eastAsia="Times New Roman" w:hAnsi="Times New Roman"/>
          <w:sz w:val="18"/>
          <w:szCs w:val="18"/>
          <w:color w:val="auto"/>
        </w:rPr>
      </w:pPr>
    </w:p>
    <w:p>
      <w:pPr>
        <w:ind w:left="2340" w:hanging="408"/>
        <w:spacing w:after="0"/>
        <w:tabs>
          <w:tab w:leader="none" w:pos="2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of cash, cash equivalents and marketable securities;</w:t>
      </w:r>
    </w:p>
    <w:p>
      <w:pPr>
        <w:spacing w:after="0" w:line="225" w:lineRule="exact"/>
        <w:rPr>
          <w:rFonts w:ascii="Times New Roman" w:cs="Times New Roman" w:eastAsia="Times New Roman" w:hAnsi="Times New Roman"/>
          <w:sz w:val="18"/>
          <w:szCs w:val="18"/>
          <w:color w:val="auto"/>
        </w:rPr>
      </w:pPr>
    </w:p>
    <w:p>
      <w:pPr>
        <w:ind w:left="2280" w:hanging="348"/>
        <w:spacing w:after="0"/>
        <w:tabs>
          <w:tab w:leader="none" w:pos="2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5" w:lineRule="exact"/>
        <w:rPr>
          <w:rFonts w:ascii="Times New Roman" w:cs="Times New Roman" w:eastAsia="Times New Roman" w:hAnsi="Times New Roman"/>
          <w:sz w:val="18"/>
          <w:szCs w:val="18"/>
          <w:color w:val="auto"/>
        </w:rPr>
      </w:pPr>
    </w:p>
    <w:p>
      <w:pPr>
        <w:ind w:left="2380" w:hanging="448"/>
        <w:spacing w:after="0"/>
        <w:tabs>
          <w:tab w:leader="none" w:pos="2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stockholder equity;</w:t>
      </w:r>
    </w:p>
    <w:p>
      <w:pPr>
        <w:spacing w:after="0" w:line="225" w:lineRule="exact"/>
        <w:rPr>
          <w:rFonts w:ascii="Times New Roman" w:cs="Times New Roman" w:eastAsia="Times New Roman" w:hAnsi="Times New Roman"/>
          <w:sz w:val="18"/>
          <w:szCs w:val="18"/>
          <w:color w:val="auto"/>
        </w:rPr>
      </w:pPr>
    </w:p>
    <w:p>
      <w:pPr>
        <w:ind w:left="2420" w:hanging="488"/>
        <w:spacing w:after="0"/>
        <w:tabs>
          <w:tab w:leader="none" w:pos="2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capital;</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w:t>
      </w:r>
    </w:p>
    <w:p>
      <w:pPr>
        <w:spacing w:after="0" w:line="225" w:lineRule="exact"/>
        <w:rPr>
          <w:rFonts w:ascii="Times New Roman" w:cs="Times New Roman" w:eastAsia="Times New Roman" w:hAnsi="Times New Roman"/>
          <w:sz w:val="18"/>
          <w:szCs w:val="18"/>
          <w:color w:val="auto"/>
        </w:rPr>
      </w:pPr>
    </w:p>
    <w:p>
      <w:pPr>
        <w:ind w:left="2280" w:hanging="348"/>
        <w:spacing w:after="0"/>
        <w:tabs>
          <w:tab w:leader="none" w:pos="2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w:t>
      </w:r>
    </w:p>
    <w:p>
      <w:pPr>
        <w:spacing w:after="0" w:line="225" w:lineRule="exact"/>
        <w:rPr>
          <w:rFonts w:ascii="Times New Roman" w:cs="Times New Roman" w:eastAsia="Times New Roman" w:hAnsi="Times New Roman"/>
          <w:sz w:val="18"/>
          <w:szCs w:val="18"/>
          <w:color w:val="auto"/>
        </w:rPr>
      </w:pPr>
    </w:p>
    <w:p>
      <w:pPr>
        <w:ind w:left="2320" w:hanging="388"/>
        <w:spacing w:after="0"/>
        <w:tabs>
          <w:tab w:leader="none" w:pos="2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w:t>
      </w:r>
    </w:p>
    <w:p>
      <w:pPr>
        <w:spacing w:after="0" w:line="225" w:lineRule="exact"/>
        <w:rPr>
          <w:rFonts w:ascii="Times New Roman" w:cs="Times New Roman" w:eastAsia="Times New Roman" w:hAnsi="Times New Roman"/>
          <w:sz w:val="18"/>
          <w:szCs w:val="18"/>
          <w:color w:val="auto"/>
        </w:rPr>
      </w:pPr>
    </w:p>
    <w:p>
      <w:pPr>
        <w:ind w:left="2380" w:hanging="448"/>
        <w:spacing w:after="0"/>
        <w:tabs>
          <w:tab w:leader="none" w:pos="2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satisfaction;</w:t>
      </w:r>
    </w:p>
    <w:p>
      <w:pPr>
        <w:spacing w:after="0" w:line="225" w:lineRule="exact"/>
        <w:rPr>
          <w:rFonts w:ascii="Times New Roman" w:cs="Times New Roman" w:eastAsia="Times New Roman" w:hAnsi="Times New Roman"/>
          <w:sz w:val="18"/>
          <w:szCs w:val="18"/>
          <w:color w:val="auto"/>
        </w:rPr>
      </w:pPr>
    </w:p>
    <w:p>
      <w:pPr>
        <w:ind w:left="2420" w:hanging="488"/>
        <w:spacing w:after="0"/>
        <w:tabs>
          <w:tab w:leader="none" w:pos="2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w:t>
      </w:r>
    </w:p>
    <w:p>
      <w:pPr>
        <w:spacing w:after="0" w:line="225" w:lineRule="exact"/>
        <w:rPr>
          <w:rFonts w:ascii="Times New Roman" w:cs="Times New Roman" w:eastAsia="Times New Roman" w:hAnsi="Times New Roman"/>
          <w:sz w:val="18"/>
          <w:szCs w:val="18"/>
          <w:color w:val="auto"/>
        </w:rPr>
      </w:pPr>
    </w:p>
    <w:p>
      <w:pPr>
        <w:ind w:left="2420" w:hanging="488"/>
        <w:spacing w:after="0"/>
        <w:tabs>
          <w:tab w:leader="none" w:pos="2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225" w:lineRule="exact"/>
        <w:rPr>
          <w:rFonts w:ascii="Times New Roman" w:cs="Times New Roman" w:eastAsia="Times New Roman" w:hAnsi="Times New Roman"/>
          <w:sz w:val="18"/>
          <w:szCs w:val="18"/>
          <w:color w:val="auto"/>
        </w:rPr>
      </w:pPr>
    </w:p>
    <w:p>
      <w:pPr>
        <w:ind w:left="2360" w:hanging="428"/>
        <w:spacing w:after="0"/>
        <w:tabs>
          <w:tab w:leader="none" w:pos="2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w:t>
      </w:r>
    </w:p>
    <w:p>
      <w:pPr>
        <w:spacing w:after="0" w:line="225" w:lineRule="exact"/>
        <w:rPr>
          <w:rFonts w:ascii="Times New Roman" w:cs="Times New Roman" w:eastAsia="Times New Roman" w:hAnsi="Times New Roman"/>
          <w:sz w:val="18"/>
          <w:szCs w:val="18"/>
          <w:color w:val="auto"/>
        </w:rPr>
      </w:pPr>
    </w:p>
    <w:p>
      <w:pPr>
        <w:ind w:left="2420" w:hanging="488"/>
        <w:spacing w:after="0"/>
        <w:tabs>
          <w:tab w:leader="none" w:pos="2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w:t>
      </w:r>
    </w:p>
    <w:p>
      <w:pPr>
        <w:spacing w:after="0" w:line="225" w:lineRule="exact"/>
        <w:rPr>
          <w:rFonts w:ascii="Times New Roman" w:cs="Times New Roman" w:eastAsia="Times New Roman" w:hAnsi="Times New Roman"/>
          <w:sz w:val="18"/>
          <w:szCs w:val="18"/>
          <w:color w:val="auto"/>
        </w:rPr>
      </w:pPr>
    </w:p>
    <w:p>
      <w:pPr>
        <w:ind w:left="2460" w:hanging="528"/>
        <w:spacing w:after="0"/>
        <w:tabs>
          <w:tab w:leader="none" w:pos="2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225" w:lineRule="exact"/>
        <w:rPr>
          <w:rFonts w:ascii="Times New Roman" w:cs="Times New Roman" w:eastAsia="Times New Roman" w:hAnsi="Times New Roman"/>
          <w:sz w:val="18"/>
          <w:szCs w:val="18"/>
          <w:color w:val="auto"/>
        </w:rPr>
      </w:pPr>
    </w:p>
    <w:p>
      <w:pPr>
        <w:ind w:left="2520" w:hanging="588"/>
        <w:spacing w:after="0"/>
        <w:tabs>
          <w:tab w:leader="none" w:pos="2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 identified special project;</w:t>
      </w:r>
    </w:p>
    <w:p>
      <w:pPr>
        <w:spacing w:after="0" w:line="225" w:lineRule="exact"/>
        <w:rPr>
          <w:rFonts w:ascii="Times New Roman" w:cs="Times New Roman" w:eastAsia="Times New Roman" w:hAnsi="Times New Roman"/>
          <w:sz w:val="18"/>
          <w:szCs w:val="18"/>
          <w:color w:val="auto"/>
        </w:rPr>
      </w:pPr>
    </w:p>
    <w:p>
      <w:pPr>
        <w:ind w:left="2420" w:hanging="488"/>
        <w:spacing w:after="0"/>
        <w:tabs>
          <w:tab w:leader="none" w:pos="2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 joint venture or other corporate transaction; and</w:t>
      </w:r>
    </w:p>
    <w:p>
      <w:pPr>
        <w:spacing w:after="0" w:line="225" w:lineRule="exact"/>
        <w:rPr>
          <w:rFonts w:ascii="Times New Roman" w:cs="Times New Roman" w:eastAsia="Times New Roman" w:hAnsi="Times New Roman"/>
          <w:sz w:val="18"/>
          <w:szCs w:val="18"/>
          <w:color w:val="auto"/>
        </w:rPr>
      </w:pPr>
    </w:p>
    <w:p>
      <w:pPr>
        <w:ind w:left="2360" w:hanging="428"/>
        <w:spacing w:after="0"/>
        <w:tabs>
          <w:tab w:leader="none" w:pos="2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performance objectives established for an individual Participant or group of Participants.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Notwithstanding the foregoing, the Committee retains discretion to select any other Performance Measures whether or not listed herein.</w:t>
      </w:r>
    </w:p>
    <w:p>
      <w:pPr>
        <w:spacing w:after="0" w:line="225" w:lineRule="exact"/>
        <w:rPr>
          <w:sz w:val="20"/>
          <w:szCs w:val="20"/>
          <w:color w:val="auto"/>
        </w:rPr>
      </w:pPr>
    </w:p>
    <w:p>
      <w:pPr>
        <w:jc w:val="both"/>
        <w:ind w:left="-20" w:firstLine="1304"/>
        <w:spacing w:after="0" w:line="261" w:lineRule="auto"/>
        <w:tabs>
          <w:tab w:leader="none" w:pos="15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Targets</w:t>
      </w:r>
      <w:r>
        <w:rPr>
          <w:rFonts w:ascii="Times New Roman" w:cs="Times New Roman" w:eastAsia="Times New Roman" w:hAnsi="Times New Roman"/>
          <w:sz w:val="18"/>
          <w:szCs w:val="18"/>
          <w:color w:val="auto"/>
        </w:rPr>
        <w:t>. Performance Targets may include a minimum, maximum, target level and 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Settlement of Performance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Final Value</w:t>
      </w:r>
      <w:r>
        <w:rPr>
          <w:rFonts w:ascii="Times New Roman" w:cs="Times New Roman" w:eastAsia="Times New Roman" w:hAnsi="Times New Roman"/>
          <w:sz w:val="18"/>
          <w:szCs w:val="18"/>
          <w:color w:val="auto"/>
        </w:rPr>
        <w:t>. As soon as practicable following the completion of the Performance Period 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Adjustment of Award Formula</w:t>
      </w:r>
      <w:r>
        <w:rPr>
          <w:rFonts w:ascii="Times New Roman" w:cs="Times New Roman" w:eastAsia="Times New Roman" w:hAnsi="Times New Roman"/>
          <w:sz w:val="18"/>
          <w:szCs w:val="18"/>
          <w:color w:val="auto"/>
        </w:rPr>
        <w:t>. In its discretion, the Committee may, either at the time it grants a Performance Award or at any time thereafter, provide for the positive or negative adjustment of the Performance Award Formula applicable to a Performance Award to reflect such Participant’s individual performance in his or her position with the Company or such other factors as the Committee may determine.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Leaves of Absence</w:t>
      </w:r>
      <w:r>
        <w:rPr>
          <w:rFonts w:ascii="Times New Roman" w:cs="Times New Roman" w:eastAsia="Times New Roman" w:hAnsi="Times New Roman"/>
          <w:sz w:val="18"/>
          <w:szCs w:val="18"/>
          <w:color w:val="auto"/>
        </w:rPr>
        <w:t>. Unless otherwise required by law or a Participant’s Award Agreement, payment of the final value, if 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Participants</w:t>
      </w:r>
      <w:r>
        <w:rPr>
          <w:rFonts w:ascii="Times New Roman" w:cs="Times New Roman" w:eastAsia="Times New Roman" w:hAnsi="Times New Roman"/>
          <w:sz w:val="18"/>
          <w:szCs w:val="18"/>
          <w:color w:val="auto"/>
        </w:rPr>
        <w:t xml:space="preserve">. As soon as practicable following the Committee’s determination in accordance with </w:t>
      </w:r>
      <w:r>
        <w:rPr>
          <w:rFonts w:ascii="Times New Roman" w:cs="Times New Roman" w:eastAsia="Times New Roman" w:hAnsi="Times New Roman"/>
          <w:sz w:val="18"/>
          <w:szCs w:val="18"/>
          <w:u w:val="single" w:color="auto"/>
          <w:color w:val="auto"/>
        </w:rPr>
        <w:t>Sections 10.5(a)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Company shall notify each Participant of the determination of the Committee.</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Settlement of Performance Awards</w:t>
      </w:r>
      <w:r>
        <w:rPr>
          <w:rFonts w:ascii="Times New Roman" w:cs="Times New Roman" w:eastAsia="Times New Roman" w:hAnsi="Times New Roman"/>
          <w:sz w:val="18"/>
          <w:szCs w:val="18"/>
          <w:color w:val="auto"/>
        </w:rPr>
        <w:t xml:space="preserve">. As soon as practicable following the Committee’s determination in accordance with </w:t>
      </w:r>
      <w:r>
        <w:rPr>
          <w:rFonts w:ascii="Times New Roman" w:cs="Times New Roman" w:eastAsia="Times New Roman" w:hAnsi="Times New Roman"/>
          <w:sz w:val="18"/>
          <w:szCs w:val="18"/>
          <w:u w:val="single" w:color="auto"/>
          <w:color w:val="auto"/>
        </w:rPr>
        <w:t>Sections 10.5(a)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but in any event within the Short-Term Deferral Period described in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Applicable to Payment in Shares</w:t>
      </w:r>
      <w:r>
        <w:rPr>
          <w:rFonts w:ascii="Times New Roman" w:cs="Times New Roman" w:eastAsia="Times New Roman" w:hAnsi="Times New Roman"/>
          <w:sz w:val="18"/>
          <w:szCs w:val="18"/>
          <w:color w:val="auto"/>
        </w:rPr>
        <w:t xml:space="preserve">. If payment is to be made in shares of Stock, the 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Any shares subject to Vesting Conditions shall be evidenced by an appropriate Award Agreement and shall be subject to the provisions of </w:t>
      </w:r>
      <w:r>
        <w:rPr>
          <w:rFonts w:ascii="Times New Roman" w:cs="Times New Roman" w:eastAsia="Times New Roman" w:hAnsi="Times New Roman"/>
          <w:sz w:val="18"/>
          <w:szCs w:val="18"/>
          <w:u w:val="single" w:color="auto"/>
          <w:color w:val="auto"/>
        </w:rPr>
        <w:t>Sections 8.5</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8.8</w:t>
      </w:r>
      <w:r>
        <w:rPr>
          <w:rFonts w:ascii="Times New Roman" w:cs="Times New Roman" w:eastAsia="Times New Roman" w:hAnsi="Times New Roman"/>
          <w:sz w:val="18"/>
          <w:szCs w:val="18"/>
          <w:color w:val="auto"/>
        </w:rPr>
        <w:t xml:space="preserve"> above.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Voting Rights; Dividend Equivalent Rights and Distributions</w:t>
      </w:r>
      <w:r>
        <w:rPr>
          <w:rFonts w:ascii="Times New Roman" w:cs="Times New Roman" w:eastAsia="Times New Roman" w:hAnsi="Times New Roman"/>
          <w:sz w:val="18"/>
          <w:szCs w:val="18"/>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Dividend Equivalent Rights shall not be paid with respect to Performance Units. In the event of a dividend or distribution paid in shares of Stock or other property or any other adjustment made upon a change in the capital structure of the Company as described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Unless otherwise provided by the Committee and set forth in the Award Agreement evidencing a Performance Award, if the Participant’s Service terminates for any reason before the completion of the Performance Period applicable to the Performance Award, the Award shall be forfeited.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Nontransferability of Performance Awards</w:t>
      </w:r>
      <w:r>
        <w:rPr>
          <w:rFonts w:ascii="Times New Roman" w:cs="Times New Roman" w:eastAsia="Times New Roman" w:hAnsi="Times New Roman"/>
          <w:sz w:val="18"/>
          <w:szCs w:val="18"/>
          <w:color w:val="auto"/>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CASH-BASED AWARDS AND OTHER STOCK-BASED AWARDS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Grant of Cash-Based Awards</w:t>
      </w:r>
      <w:r>
        <w:rPr>
          <w:rFonts w:ascii="Times New Roman" w:cs="Times New Roman" w:eastAsia="Times New Roman" w:hAnsi="Times New Roman"/>
          <w:sz w:val="18"/>
          <w:szCs w:val="18"/>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Grant of Other Stock-Based Awards</w:t>
      </w:r>
      <w:r>
        <w:rPr>
          <w:rFonts w:ascii="Times New Roman" w:cs="Times New Roman" w:eastAsia="Times New Roman" w:hAnsi="Times New Roman"/>
          <w:sz w:val="18"/>
          <w:szCs w:val="18"/>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color w:val="auto"/>
        </w:rPr>
        <w:t>Value of Cash-Based and Other Stock-Based Awards</w:t>
      </w:r>
      <w:r>
        <w:rPr>
          <w:rFonts w:ascii="Times New Roman" w:cs="Times New Roman" w:eastAsia="Times New Roman" w:hAnsi="Times New Roman"/>
          <w:sz w:val="18"/>
          <w:szCs w:val="18"/>
          <w:color w:val="auto"/>
        </w:rPr>
        <w:t xml:space="preserve">.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color w:val="auto"/>
        </w:rPr>
        <w:t>Payment or Settlement of Cash-Based Awards and Other Stock-Based Awards</w:t>
      </w:r>
      <w:r>
        <w:rPr>
          <w:rFonts w:ascii="Times New Roman" w:cs="Times New Roman" w:eastAsia="Times New Roman" w:hAnsi="Times New Roman"/>
          <w:sz w:val="18"/>
          <w:szCs w:val="18"/>
          <w:color w:val="auto"/>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color w:val="auto"/>
        </w:rPr>
        <w:t>Voting Rights; Dividend Equivalent Rights and Distributions</w:t>
      </w:r>
      <w:r>
        <w:rPr>
          <w:rFonts w:ascii="Times New Roman" w:cs="Times New Roman" w:eastAsia="Times New Roman" w:hAnsi="Times New Roman"/>
          <w:sz w:val="18"/>
          <w:szCs w:val="18"/>
          <w:color w:val="auto"/>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Dividend Equivalent Rights shall not be granted with respect to Cash-Based Awards. In the event of a dividend or distribution paid in shares of Stock or other property or any other adjustment made upon a change in the capital structure of the Company as described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b w:val="1"/>
          <w:bCs w:val="1"/>
          <w:color w:val="auto"/>
        </w:rPr>
        <w:t>Nontransferability of Cash-Based Awards and Other Stock-Based Awards</w:t>
      </w:r>
      <w:r>
        <w:rPr>
          <w:rFonts w:ascii="Times New Roman" w:cs="Times New Roman" w:eastAsia="Times New Roman" w:hAnsi="Times New Roman"/>
          <w:sz w:val="18"/>
          <w:szCs w:val="18"/>
          <w:color w:val="auto"/>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STANDARD FORMS OF AWARD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Award Agreements</w:t>
      </w:r>
      <w:r>
        <w:rPr>
          <w:rFonts w:ascii="Times New Roman" w:cs="Times New Roman" w:eastAsia="Times New Roman" w:hAnsi="Times New Roman"/>
          <w:sz w:val="18"/>
          <w:szCs w:val="18"/>
          <w:color w:val="auto"/>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color w:val="auto"/>
        </w:rPr>
        <w:t>Authority to Vary Terms</w:t>
      </w:r>
      <w:r>
        <w:rPr>
          <w:rFonts w:ascii="Times New Roman" w:cs="Times New Roman" w:eastAsia="Times New Roman" w:hAnsi="Times New Roman"/>
          <w:sz w:val="18"/>
          <w:szCs w:val="18"/>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terms and conditions of any such new, revised or amended standard form or forms of Award Agreement are not inconsistent with the terms of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CHANGE IN CONTROL</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Effect of Change in Control on Awards</w:t>
      </w:r>
      <w:r>
        <w:rPr>
          <w:rFonts w:ascii="Times New Roman" w:cs="Times New Roman" w:eastAsia="Times New Roman" w:hAnsi="Times New Roman"/>
          <w:sz w:val="18"/>
          <w:szCs w:val="18"/>
          <w:color w:val="auto"/>
        </w:rPr>
        <w:t>. In the event of a Change in Control, outstanding Awards shall be subject to the definitive agreement entered into by the Company in connection with the Change in Control. Subject to the requirements and limitations of Section 409A, if applicable, the Committee may provide in an Award Agreement or otherwise for any one or more of the following:</w:t>
      </w:r>
    </w:p>
    <w:p>
      <w:pPr>
        <w:spacing w:after="0" w:line="175" w:lineRule="exact"/>
        <w:rPr>
          <w:sz w:val="20"/>
          <w:szCs w:val="20"/>
          <w:color w:val="auto"/>
        </w:rPr>
      </w:pPr>
    </w:p>
    <w:p>
      <w:pPr>
        <w:jc w:val="both"/>
        <w:ind w:firstLine="1304"/>
        <w:spacing w:after="0" w:line="261"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w:t>
      </w:r>
      <w:r>
        <w:rPr>
          <w:rFonts w:ascii="Times New Roman" w:cs="Times New Roman" w:eastAsia="Times New Roman" w:hAnsi="Times New Roman"/>
          <w:sz w:val="18"/>
          <w:szCs w:val="18"/>
          <w:color w:val="auto"/>
        </w:rPr>
        <w:t>. In its discretion, the Committee may provide in the grant of any Award or at any other time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firstLine="1304"/>
        <w:spacing w:after="0" w:line="252" w:lineRule="auto"/>
        <w:tabs>
          <w:tab w:leader="none" w:pos="15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Continuation or Substitution</w:t>
      </w:r>
      <w:r>
        <w:rPr>
          <w:rFonts w:ascii="Times New Roman" w:cs="Times New Roman" w:eastAsia="Times New Roman" w:hAnsi="Times New Roman"/>
          <w:sz w:val="18"/>
          <w:szCs w:val="18"/>
          <w:color w:val="auto"/>
        </w:rPr>
        <w:t>. In the event of a Change in Control, the surviving, continuing, successor, or purchasing corporation or other business entity or parent thereof, as the case may be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xml:space="preserve">”),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19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Cash-Out of Outstanding Stock-Based Awards</w:t>
      </w:r>
      <w:r>
        <w:rPr>
          <w:rFonts w:ascii="Times New Roman" w:cs="Times New Roman" w:eastAsia="Times New Roman" w:hAnsi="Times New Roman"/>
          <w:sz w:val="18"/>
          <w:szCs w:val="18"/>
          <w:color w:val="auto"/>
        </w:rPr>
        <w:t>. The Committee may, in its discretion and without the 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w:t>
      </w:r>
    </w:p>
    <w:p>
      <w:pPr>
        <w:spacing w:after="0" w:line="18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and Earnouts</w:t>
      </w:r>
      <w:r>
        <w:rPr>
          <w:rFonts w:ascii="Times New Roman" w:cs="Times New Roman" w:eastAsia="Times New Roman" w:hAnsi="Times New Roman"/>
          <w:sz w:val="18"/>
          <w:szCs w:val="18"/>
          <w:color w:val="auto"/>
        </w:rPr>
        <w:t>. In making any determination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Change in Control,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Effect of Change in Control on Nonemployee Director Awards</w:t>
      </w:r>
      <w:r>
        <w:rPr>
          <w:rFonts w:ascii="Times New Roman" w:cs="Times New Roman" w:eastAsia="Times New Roman" w:hAnsi="Times New Roman"/>
          <w:sz w:val="18"/>
          <w:szCs w:val="18"/>
          <w:color w:val="auto"/>
        </w:rPr>
        <w:t xml:space="preserve">. Subject to the requirements and limitations of Section 409A, if applicable, including as provided by </w:t>
      </w:r>
      <w:r>
        <w:rPr>
          <w:rFonts w:ascii="Times New Roman" w:cs="Times New Roman" w:eastAsia="Times New Roman" w:hAnsi="Times New Roman"/>
          <w:sz w:val="18"/>
          <w:szCs w:val="18"/>
          <w:u w:val="single" w:color="auto"/>
          <w:color w:val="auto"/>
        </w:rPr>
        <w:t>Section 15.4(f)</w:t>
      </w:r>
      <w:r>
        <w:rPr>
          <w:rFonts w:ascii="Times New Roman" w:cs="Times New Roman" w:eastAsia="Times New Roman" w:hAnsi="Times New Roman"/>
          <w:sz w:val="18"/>
          <w:szCs w:val="18"/>
          <w:color w:val="auto"/>
        </w:rPr>
        <w:t xml:space="preserve">, in the event of a Change in Control, each outstanding Nonemployee Director Award shall become immediately exercisable and vested in full and, except to the extent assumed, continued or substituted for pursuant to </w:t>
      </w:r>
      <w:r>
        <w:rPr>
          <w:rFonts w:ascii="Times New Roman" w:cs="Times New Roman" w:eastAsia="Times New Roman" w:hAnsi="Times New Roman"/>
          <w:sz w:val="18"/>
          <w:szCs w:val="18"/>
          <w:u w:val="single" w:color="auto"/>
          <w:color w:val="auto"/>
        </w:rPr>
        <w:t>Section 13.1(b)</w:t>
      </w:r>
      <w:r>
        <w:rPr>
          <w:rFonts w:ascii="Times New Roman" w:cs="Times New Roman" w:eastAsia="Times New Roman" w:hAnsi="Times New Roman"/>
          <w:sz w:val="18"/>
          <w:szCs w:val="18"/>
          <w:color w:val="auto"/>
        </w:rPr>
        <w:t xml:space="preserve"> or otherwise restricted by Section 409A, shall be settled effective immediately prior to the time of consummation of the Change in Control.</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color w:val="auto"/>
        </w:rPr>
        <w:t>Federal Excise Tax Under Section 4999 of the Code</w:t>
      </w:r>
      <w:r>
        <w:rPr>
          <w:rFonts w:ascii="Times New Roman" w:cs="Times New Roman" w:eastAsia="Times New Roman" w:hAnsi="Times New Roman"/>
          <w:sz w:val="18"/>
          <w:szCs w:val="18"/>
          <w:color w:val="auto"/>
        </w:rPr>
        <w:t>. If any acceleration of vesting pursuant to an Award and 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14. COMPLIANCE WITH SECURITIES LAW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COMPLIANCE WITH SECTION 409A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Awards Subject to Section 409A</w:t>
      </w:r>
      <w:r>
        <w:rPr>
          <w:rFonts w:ascii="Times New Roman" w:cs="Times New Roman" w:eastAsia="Times New Roman" w:hAnsi="Times New Roman"/>
          <w:sz w:val="18"/>
          <w:szCs w:val="18"/>
          <w:color w:val="auto"/>
        </w:rPr>
        <w:t xml:space="preserve">. The Company intends that Awards granted pursuant to the Plan shall either be exempt from or comply with Section 409A, and the Plan shall be so construed. The provisions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apply to any Award or portion thereof that constitutes or provides for payment of Section 409A Deferred Compensation. Such Awards may include, without limitation:</w:t>
      </w:r>
    </w:p>
    <w:p>
      <w:pPr>
        <w:spacing w:after="0" w:line="175" w:lineRule="exact"/>
        <w:rPr>
          <w:sz w:val="20"/>
          <w:szCs w:val="20"/>
          <w:color w:val="auto"/>
        </w:rPr>
      </w:pPr>
    </w:p>
    <w:p>
      <w:pPr>
        <w:jc w:val="both"/>
        <w:ind w:firstLine="1304"/>
        <w:spacing w:after="0" w:line="266" w:lineRule="auto"/>
        <w:tabs>
          <w:tab w:leader="none" w:pos="15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7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7"/>
          <w:szCs w:val="17"/>
          <w:color w:val="auto"/>
        </w:rPr>
        <w:t>Subject to the provisions of Section 409A, the term “</w:t>
      </w:r>
      <w:r>
        <w:rPr>
          <w:rFonts w:ascii="Times New Roman" w:cs="Times New Roman" w:eastAsia="Times New Roman" w:hAnsi="Times New Roman"/>
          <w:sz w:val="17"/>
          <w:szCs w:val="17"/>
          <w:b w:val="1"/>
          <w:bCs w:val="1"/>
          <w:color w:val="auto"/>
        </w:rPr>
        <w:t>Short-Term Deferral Period</w:t>
      </w:r>
      <w:r>
        <w:rPr>
          <w:rFonts w:ascii="Times New Roman" w:cs="Times New Roman" w:eastAsia="Times New Roman" w:hAnsi="Times New Roman"/>
          <w:sz w:val="17"/>
          <w:szCs w:val="17"/>
          <w:color w:val="auto"/>
        </w:rPr>
        <w:t>” means the 2 1∕2 month period ending on the later of (i)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the third month following the end of the Participant’s taxable year in which the right to payment under the applicable portion of the Award is no</w:t>
      </w:r>
    </w:p>
    <w:p>
      <w:pPr>
        <w:jc w:val="both"/>
        <w:spacing w:after="0" w:line="220" w:lineRule="auto"/>
        <w:rPr>
          <w:sz w:val="20"/>
          <w:szCs w:val="20"/>
          <w:color w:val="auto"/>
        </w:rPr>
      </w:pPr>
      <w:r>
        <w:rPr>
          <w:rFonts w:ascii="Times New Roman" w:cs="Times New Roman" w:eastAsia="Times New Roman" w:hAnsi="Times New Roman"/>
          <w:sz w:val="18"/>
          <w:szCs w:val="18"/>
          <w:color w:val="auto"/>
        </w:rPr>
        <w:t>longer subject to a substantial risk of forfeiture or (ii)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9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Deferral and/or Distribution Elections</w:t>
      </w:r>
      <w:r>
        <w:rPr>
          <w:rFonts w:ascii="Times New Roman" w:cs="Times New Roman" w:eastAsia="Times New Roman" w:hAnsi="Times New Roman"/>
          <w:sz w:val="18"/>
          <w:szCs w:val="18"/>
          <w:color w:val="auto"/>
        </w:rPr>
        <w:t>. Except as otherwise permitted or required by Section 409A and the Company, the following rules shall apply to any compensation deferral and/or payment elections (each, an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that may be permitted or required by the Committee pursuant to an Award providing Section 409A Deferred Compensation:</w:t>
      </w:r>
    </w:p>
    <w:p>
      <w:pPr>
        <w:spacing w:after="0" w:line="175" w:lineRule="exact"/>
        <w:rPr>
          <w:sz w:val="20"/>
          <w:szCs w:val="20"/>
          <w:color w:val="auto"/>
        </w:rPr>
      </w:pPr>
    </w:p>
    <w:p>
      <w:pPr>
        <w:ind w:firstLine="1304"/>
        <w:spacing w:after="0" w:line="282" w:lineRule="auto"/>
        <w:tabs>
          <w:tab w:leader="none" w:pos="15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must be in writing and specify the amount of the payment in settlement of an Award being deferred, as well as the time and form of payment as permitted by this Plan.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shall be made by the end of the Participant’s taxable year prior to the year in which services commence for which an Award may be granted to the Participant.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w:t>
      </w: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or as permitted by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Subsequent Elections</w:t>
      </w:r>
      <w:r>
        <w:rPr>
          <w:rFonts w:ascii="Times New Roman" w:cs="Times New Roman" w:eastAsia="Times New Roman" w:hAnsi="Times New Roman"/>
          <w:sz w:val="18"/>
          <w:szCs w:val="18"/>
          <w:color w:val="auto"/>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175" w:lineRule="exact"/>
        <w:rPr>
          <w:sz w:val="20"/>
          <w:szCs w:val="20"/>
          <w:color w:val="auto"/>
        </w:rPr>
      </w:pPr>
    </w:p>
    <w:p>
      <w:pPr>
        <w:ind w:left="5540" w:right="380" w:hanging="4236"/>
        <w:spacing w:after="0" w:line="783" w:lineRule="auto"/>
        <w:tabs>
          <w:tab w:leader="none" w:pos="15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may take effect until at least twelve (12) months after the date on which the subsequent Election is made.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1560" w:hanging="256"/>
        <w:spacing w:after="0"/>
        <w:tabs>
          <w:tab w:leader="none" w:pos="15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subsequent Election related to a payment in settlement of an Award not described in </w:t>
      </w:r>
      <w:r>
        <w:rPr>
          <w:rFonts w:ascii="Times New Roman" w:cs="Times New Roman" w:eastAsia="Times New Roman" w:hAnsi="Times New Roman"/>
          <w:sz w:val="18"/>
          <w:szCs w:val="18"/>
          <w:u w:val="single" w:color="auto"/>
          <w:color w:val="auto"/>
        </w:rPr>
        <w:t>Sections 15.4(a)(ii)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15.4(a)(iii)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15.4(a)</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321" w:val="left"/>
        </w:tabs>
        <w:numPr>
          <w:ilvl w:val="0"/>
          <w:numId w:val="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must result in a delay of the payment for a period of not less than five (5) years from the date on which such payment would otherwise have been made.</w:t>
      </w:r>
    </w:p>
    <w:p>
      <w:pPr>
        <w:spacing w:after="0" w:line="181" w:lineRule="exact"/>
        <w:rPr>
          <w:rFonts w:ascii="Times New Roman" w:cs="Times New Roman" w:eastAsia="Times New Roman" w:hAnsi="Times New Roman"/>
          <w:sz w:val="18"/>
          <w:szCs w:val="18"/>
          <w:u w:val="single" w:color="auto"/>
          <w:color w:val="auto"/>
        </w:rPr>
      </w:pPr>
    </w:p>
    <w:p>
      <w:pPr>
        <w:ind w:firstLine="1304"/>
        <w:spacing w:after="0" w:line="282" w:lineRule="auto"/>
        <w:tabs>
          <w:tab w:leader="none" w:pos="15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subsequent Election related to a payment pursuant to </w:t>
      </w:r>
      <w:r>
        <w:rPr>
          <w:rFonts w:ascii="Times New Roman" w:cs="Times New Roman" w:eastAsia="Times New Roman" w:hAnsi="Times New Roman"/>
          <w:sz w:val="18"/>
          <w:szCs w:val="18"/>
          <w:u w:val="single" w:color="auto"/>
          <w:color w:val="auto"/>
        </w:rPr>
        <w:t>Section 15.4(a)(vi)</w:t>
      </w:r>
      <w:r>
        <w:rPr>
          <w:rFonts w:ascii="Times New Roman" w:cs="Times New Roman" w:eastAsia="Times New Roman" w:hAnsi="Times New Roman"/>
          <w:sz w:val="18"/>
          <w:szCs w:val="18"/>
          <w:color w:val="auto"/>
        </w:rPr>
        <w:t xml:space="preserve"> shall be made less than twelve (12) months before the date on which such payment would otherwise have been made.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color w:val="auto"/>
        </w:rPr>
        <w:t>Payment of Section 409A Deferred 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5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Permissible Payments</w:t>
      </w:r>
      <w:r>
        <w:rPr>
          <w:rFonts w:ascii="Times New Roman" w:cs="Times New Roman" w:eastAsia="Times New Roman" w:hAnsi="Times New Roman"/>
          <w:sz w:val="18"/>
          <w:szCs w:val="18"/>
          <w:color w:val="auto"/>
        </w:rPr>
        <w:t>. Except as otherwise permitted or required by Section 409A, an Award providing Section 409A Deferred Compensation must provide for payment in settlement of the Award only upon one or more of the following:</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“separation from service” (as defined by Section 409A);</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becoming “disabled” (as defined by Section 409A);</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death;</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time or fixed schedule that is either (i) specified by the Committee upon the grant of an Award and set forth in the Award Agreement evidencing such Award or (ii) specified by the Participant in an Election complying with the requirements of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15.3</w:t>
      </w:r>
      <w:r>
        <w:rPr>
          <w:rFonts w:ascii="Times New Roman" w:cs="Times New Roman" w:eastAsia="Times New Roman" w:hAnsi="Times New Roman"/>
          <w:sz w:val="18"/>
          <w:szCs w:val="18"/>
          <w:color w:val="auto"/>
        </w:rPr>
        <w:t>, as applicable;</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20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or effective control or the Company or in the ownership of a substantial portion of the assets of the Company determined in accordance with Section 409A; or</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“unforeseeable emergency” (as defined by Section 409A).</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Installment Payments</w:t>
      </w:r>
      <w:r>
        <w:rPr>
          <w:rFonts w:ascii="Times New Roman" w:cs="Times New Roman" w:eastAsia="Times New Roman" w:hAnsi="Times New Roman"/>
          <w:sz w:val="18"/>
          <w:szCs w:val="18"/>
          <w:color w:val="auto"/>
        </w:rPr>
        <w:t>. It is the intent of this Plan that any right of a Participant to receive installment payments (within the meaning of Section 409A) shall, for all purposes of Section 409A, be treated as a right to a series of separate payments.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Delay in Payment to Specified Employee Pursuant to Separation from Service</w:t>
      </w:r>
      <w:r>
        <w:rPr>
          <w:rFonts w:ascii="Times New Roman" w:cs="Times New Roman" w:eastAsia="Times New Roman" w:hAnsi="Times New Roman"/>
          <w:sz w:val="18"/>
          <w:szCs w:val="18"/>
          <w:color w:val="auto"/>
        </w:rPr>
        <w:t xml:space="preserve">. Notwithstanding any provision of the Plan or an Award Agreement to the contrary, except as otherwise permitted by Section 409A, no payment pursuant to </w:t>
      </w:r>
      <w:r>
        <w:rPr>
          <w:rFonts w:ascii="Times New Roman" w:cs="Times New Roman" w:eastAsia="Times New Roman" w:hAnsi="Times New Roman"/>
          <w:sz w:val="18"/>
          <w:szCs w:val="18"/>
          <w:u w:val="single" w:color="auto"/>
          <w:color w:val="auto"/>
        </w:rPr>
        <w:t>Section 15.4(a)(i)</w:t>
      </w:r>
      <w:r>
        <w:rPr>
          <w:rFonts w:ascii="Times New Roman" w:cs="Times New Roman" w:eastAsia="Times New Roman" w:hAnsi="Times New Roman"/>
          <w:sz w:val="18"/>
          <w:szCs w:val="18"/>
          <w:color w:val="auto"/>
        </w:rPr>
        <w:t xml:space="preserve">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 w:cs="Times New Roman" w:eastAsia="Times New Roman" w:hAnsi="Times New Roman"/>
          <w:sz w:val="18"/>
          <w:szCs w:val="18"/>
          <w:b w:val="1"/>
          <w:bCs w:val="1"/>
          <w:color w:val="auto"/>
        </w:rPr>
        <w:t>Delayed Payment Date</w:t>
      </w:r>
      <w:r>
        <w:rPr>
          <w:rFonts w:ascii="Times New Roman" w:cs="Times New Roman" w:eastAsia="Times New Roman" w:hAnsi="Times New Roman"/>
          <w:sz w:val="18"/>
          <w:szCs w:val="18"/>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Disability</w:t>
      </w:r>
      <w:r>
        <w:rPr>
          <w:rFonts w:ascii="Times New Roman" w:cs="Times New Roman" w:eastAsia="Times New Roman" w:hAnsi="Times New Roman"/>
          <w:sz w:val="18"/>
          <w:szCs w:val="18"/>
          <w:color w:val="auto"/>
        </w:rPr>
        <w:t xml:space="preserve">. All distributions of Section 409A Deferred Compensation payable pursuant to </w:t>
      </w:r>
      <w:r>
        <w:rPr>
          <w:rFonts w:ascii="Times New Roman" w:cs="Times New Roman" w:eastAsia="Times New Roman" w:hAnsi="Times New Roman"/>
          <w:sz w:val="18"/>
          <w:szCs w:val="18"/>
          <w:u w:val="single" w:color="auto"/>
          <w:color w:val="auto"/>
        </w:rPr>
        <w:t>Section 15.4(a)(ii)</w:t>
      </w:r>
      <w:r>
        <w:rPr>
          <w:rFonts w:ascii="Times New Roman" w:cs="Times New Roman" w:eastAsia="Times New Roman" w:hAnsi="Times New Roman"/>
          <w:sz w:val="18"/>
          <w:szCs w:val="18"/>
          <w:color w:val="auto"/>
        </w:rPr>
        <w:t xml:space="preserve">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Death</w:t>
      </w:r>
      <w:r>
        <w:rPr>
          <w:rFonts w:ascii="Times New Roman" w:cs="Times New Roman" w:eastAsia="Times New Roman" w:hAnsi="Times New Roman"/>
          <w:sz w:val="18"/>
          <w:szCs w:val="18"/>
          <w:color w:val="auto"/>
        </w:rPr>
        <w:t>. If a Participant dies before complete distribution of amounts 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1304"/>
        <w:spacing w:after="0" w:line="254" w:lineRule="auto"/>
        <w:tabs>
          <w:tab w:leader="none" w:pos="153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Change in Control</w:t>
      </w:r>
      <w:r>
        <w:rPr>
          <w:rFonts w:ascii="Times New Roman" w:cs="Times New Roman" w:eastAsia="Times New Roman" w:hAnsi="Times New Roman"/>
          <w:sz w:val="18"/>
          <w:szCs w:val="18"/>
          <w:color w:val="auto"/>
        </w:rPr>
        <w:t xml:space="preserve">. Notwithstanding any provision of the Plan or an Award 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w:t>
      </w:r>
      <w:r>
        <w:rPr>
          <w:rFonts w:ascii="Times New Roman" w:cs="Times New Roman" w:eastAsia="Times New Roman" w:hAnsi="Times New Roman"/>
          <w:sz w:val="18"/>
          <w:szCs w:val="18"/>
          <w:u w:val="single" w:color="auto"/>
          <w:color w:val="auto"/>
        </w:rPr>
        <w:t>Section 13.1(b)</w:t>
      </w:r>
      <w:r>
        <w:rPr>
          <w:rFonts w:ascii="Times New Roman" w:cs="Times New Roman" w:eastAsia="Times New Roman" w:hAnsi="Times New Roman"/>
          <w:sz w:val="18"/>
          <w:szCs w:val="18"/>
          <w:color w:val="auto"/>
        </w:rPr>
        <w:t xml:space="preserve">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w:t>
      </w:r>
      <w:r>
        <w:rPr>
          <w:rFonts w:ascii="Times New Roman" w:cs="Times New Roman" w:eastAsia="Times New Roman" w:hAnsi="Times New Roman"/>
          <w:sz w:val="18"/>
          <w:szCs w:val="18"/>
          <w:u w:val="single" w:color="auto"/>
          <w:color w:val="auto"/>
        </w:rPr>
        <w:t>Section 15.4(c)</w:t>
      </w:r>
      <w:r>
        <w:rPr>
          <w:rFonts w:ascii="Times New Roman" w:cs="Times New Roman" w:eastAsia="Times New Roman" w:hAnsi="Times New Roman"/>
          <w:sz w:val="18"/>
          <w:szCs w:val="18"/>
          <w:color w:val="auto"/>
        </w:rPr>
        <w:t>), an amount or amounts equal in the aggregate to the intrinsic value of the Award at the time of the Change in Control.</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Unforeseeable Emergency</w:t>
      </w:r>
      <w:r>
        <w:rPr>
          <w:rFonts w:ascii="Times New Roman" w:cs="Times New Roman" w:eastAsia="Times New Roman" w:hAnsi="Times New Roman"/>
          <w:sz w:val="18"/>
          <w:szCs w:val="18"/>
          <w:color w:val="auto"/>
        </w:rPr>
        <w:t xml:space="preserve">. The Committee shall have the authority to provide in the Award Agreement evidencing any Award providing for Section 409A Deferred Compensation for payment pursuant to </w:t>
      </w:r>
      <w:r>
        <w:rPr>
          <w:rFonts w:ascii="Times New Roman" w:cs="Times New Roman" w:eastAsia="Times New Roman" w:hAnsi="Times New Roman"/>
          <w:sz w:val="18"/>
          <w:szCs w:val="18"/>
          <w:u w:val="single" w:color="auto"/>
          <w:color w:val="auto"/>
        </w:rPr>
        <w:t>Section 15.4(a)(vi)</w:t>
      </w:r>
      <w:r>
        <w:rPr>
          <w:rFonts w:ascii="Times New Roman" w:cs="Times New Roman" w:eastAsia="Times New Roman" w:hAnsi="Times New Roman"/>
          <w:sz w:val="18"/>
          <w:szCs w:val="18"/>
          <w:color w:val="auto"/>
        </w:rPr>
        <w:t xml:space="preserve">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of Acceleration of Payments</w:t>
      </w:r>
      <w:r>
        <w:rPr>
          <w:rFonts w:ascii="Times New Roman" w:cs="Times New Roman" w:eastAsia="Times New Roman" w:hAnsi="Times New Roman"/>
          <w:sz w:val="18"/>
          <w:szCs w:val="18"/>
          <w:color w:val="auto"/>
        </w:rPr>
        <w:t>. Notwithstanding any provision of the Plan or an Award Agreement to the contrary, this Plan does not permit the acceleration of the time or schedule of any payment under an Award providing Section 409A Deferred Compensation, except as permitted by Section 409A.</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 Regarding Section 409A Compliance</w:t>
      </w:r>
      <w:r>
        <w:rPr>
          <w:rFonts w:ascii="Times New Roman" w:cs="Times New Roman" w:eastAsia="Times New Roman" w:hAnsi="Times New Roman"/>
          <w:sz w:val="18"/>
          <w:szCs w:val="18"/>
          <w:color w:val="auto"/>
        </w:rPr>
        <w:t>. Notwithstanding any other provision of the Plan, the Company makes no representation that Awards shall be exempt from or comply with Section 409A. No Participating Company shall be liable for any tax, penalty or interest imposed on a Participant by Section 409A.</w:t>
      </w:r>
    </w:p>
    <w:p>
      <w:pPr>
        <w:spacing w:after="0" w:line="17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WITHHOLDING</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Tax Withholding in General</w:t>
      </w:r>
      <w:r>
        <w:rPr>
          <w:rFonts w:ascii="Times New Roman" w:cs="Times New Roman" w:eastAsia="Times New Roman" w:hAnsi="Times New Roman"/>
          <w:sz w:val="18"/>
          <w:szCs w:val="18"/>
          <w:color w:val="auto"/>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color w:val="auto"/>
        </w:rPr>
        <w:t>Withholding in or Directed Sale of Shares</w:t>
      </w:r>
      <w:r>
        <w:rPr>
          <w:rFonts w:ascii="Times New Roman" w:cs="Times New Roman" w:eastAsia="Times New Roman" w:hAnsi="Times New Roman"/>
          <w:sz w:val="18"/>
          <w:szCs w:val="18"/>
          <w:color w:val="auto"/>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17. AMENDMENT, SUSPENSION OR TERMINATION OF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Committee may amend, suspend or terminate the Plan at any time. However, without the approval of the Company’s stockholders, there shall be (a) no increase in the maximum aggregate number of shares of Stock that may be issued under the Plan (except by operation of the provisions of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MISCELLANEOUS PROVISIONS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b w:val="1"/>
          <w:bCs w:val="1"/>
          <w:color w:val="auto"/>
        </w:rPr>
        <w:t>Repurchase Rights</w:t>
      </w:r>
      <w:r>
        <w:rPr>
          <w:rFonts w:ascii="Times New Roman" w:cs="Times New Roman" w:eastAsia="Times New Roman" w:hAnsi="Times New Roman"/>
          <w:sz w:val="18"/>
          <w:szCs w:val="18"/>
          <w:color w:val="auto"/>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4" w:lineRule="auto"/>
        <w:tabs>
          <w:tab w:leader="none" w:pos="15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twelve-(12-) month period.</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b w:val="1"/>
          <w:bCs w:val="1"/>
          <w:color w:val="auto"/>
        </w:rPr>
        <w:t>Provision of Information</w:t>
      </w:r>
      <w:r>
        <w:rPr>
          <w:rFonts w:ascii="Times New Roman" w:cs="Times New Roman" w:eastAsia="Times New Roman" w:hAnsi="Times New Roman"/>
          <w:sz w:val="18"/>
          <w:szCs w:val="18"/>
          <w:color w:val="auto"/>
        </w:rPr>
        <w:t>. Each Participant shall be given access to information concerning the Company equivalent to that information generally made available to the Company’s common stockholders.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b w:val="1"/>
          <w:bCs w:val="1"/>
          <w:color w:val="auto"/>
        </w:rPr>
        <w:t>Rights as Employee, Consultant or Director</w:t>
      </w:r>
      <w:r>
        <w:rPr>
          <w:rFonts w:ascii="Times New Roman" w:cs="Times New Roman" w:eastAsia="Times New Roman" w:hAnsi="Times New Roman"/>
          <w:sz w:val="18"/>
          <w:szCs w:val="18"/>
          <w:color w:val="auto"/>
        </w:rPr>
        <w:t xml:space="preserve">. No person, even though eligible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another provision of the Plan.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b w:val="1"/>
          <w:bCs w:val="1"/>
          <w:color w:val="auto"/>
        </w:rPr>
        <w:t>Delivery of Title to Shares</w:t>
      </w:r>
      <w:r>
        <w:rPr>
          <w:rFonts w:ascii="Times New Roman" w:cs="Times New Roman" w:eastAsia="Times New Roman" w:hAnsi="Times New Roman"/>
          <w:sz w:val="18"/>
          <w:szCs w:val="18"/>
          <w:color w:val="auto"/>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color w:val="auto"/>
        </w:rPr>
        <w:t>. The Company shall not be required to issue fractional shares upon the exercise or settlement of any Award.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b w:val="1"/>
          <w:bCs w:val="1"/>
          <w:color w:val="auto"/>
        </w:rPr>
        <w:t>Retirement and Welfare Plans</w:t>
      </w:r>
      <w:r>
        <w:rPr>
          <w:rFonts w:ascii="Times New Roman" w:cs="Times New Roman" w:eastAsia="Times New Roman" w:hAnsi="Times New Roman"/>
          <w:sz w:val="18"/>
          <w:szCs w:val="18"/>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b w:val="1"/>
          <w:bCs w:val="1"/>
          <w:color w:val="auto"/>
        </w:rPr>
        <w:t>Beneficiary Designation</w:t>
      </w:r>
      <w:r>
        <w:rPr>
          <w:rFonts w:ascii="Times New Roman" w:cs="Times New Roman" w:eastAsia="Times New Roman" w:hAnsi="Times New Roman"/>
          <w:sz w:val="18"/>
          <w:szCs w:val="18"/>
          <w:color w:val="auto"/>
        </w:rPr>
        <w:t>. Subject to local laws and procedures and if the Committee so permits,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b w:val="1"/>
          <w:bCs w:val="1"/>
          <w:color w:val="auto"/>
        </w:rPr>
        <w:t>No Constraint on Corporate Action</w:t>
      </w:r>
      <w:r>
        <w:rPr>
          <w:rFonts w:ascii="Times New Roman" w:cs="Times New Roman" w:eastAsia="Times New Roman" w:hAnsi="Times New Roman"/>
          <w:sz w:val="18"/>
          <w:szCs w:val="18"/>
          <w:color w:val="auto"/>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b w:val="1"/>
          <w:bCs w:val="1"/>
          <w:color w:val="auto"/>
        </w:rPr>
        <w:t>Unfunded Obligation</w:t>
      </w:r>
      <w:r>
        <w:rPr>
          <w:rFonts w:ascii="Times New Roman" w:cs="Times New Roman" w:eastAsia="Times New Roman" w:hAnsi="Times New Roman"/>
          <w:sz w:val="18"/>
          <w:szCs w:val="18"/>
          <w:color w:val="auto"/>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88"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Except to the extent governed by applicable federal law, the validity, interpretation, construction and performance of the Plan and each Award Agreement shall be governed by the laws of the State of Delaware, without regard to its conflict of law rules.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Secretary of the Company certifies that the foregoing sets forth the CID Holdco, Inc. 2024 Equity Incentive Plan as duly adopted by the Board and Stockholders and effective as of June 18, 2025.</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Charles Maddox,</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80" w:type="dxa"/>
            <w:vAlign w:val="bottom"/>
            <w:gridSpan w:val="8"/>
          </w:tcPr>
          <w:p>
            <w:pPr>
              <w:ind w:left="10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0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2,032,521</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4.17</w:t>
            </w: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$ 8,475,612.57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0.0001531</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$ 1,297.62</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1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$ 8,475,612.57</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1,297.62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$ 1,297.62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additional shares of common stock, par value $0.001 per share, of CID HoldCo, Inc. (the “Company”), which may become issuable by reason of any stock split, stock dividend, recapitalization or other similar transaction effected without consideration which results in an increase in the number of the Company’s outstanding shares of common stock.</w:t>
      </w:r>
    </w:p>
    <w:p>
      <w:pPr>
        <w:spacing w:after="0" w:line="179" w:lineRule="exact"/>
        <w:rPr>
          <w:rFonts w:ascii="Times New Roman" w:cs="Times New Roman" w:eastAsia="Times New Roman" w:hAnsi="Times New Roman"/>
          <w:sz w:val="18"/>
          <w:szCs w:val="18"/>
          <w:color w:val="auto"/>
        </w:rPr>
      </w:pPr>
    </w:p>
    <w:p>
      <w:pPr>
        <w:jc w:val="both"/>
        <w:ind w:left="3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and (h) of the Securities Act. The proposed maximum offering price per share, proposed maximum aggregate offering price and the amount of the registration fee are based on the average of the high and low prices for the common stock as reported on the Nasdaq National Market LLC on September 2, 2025.</w:t>
      </w:r>
    </w:p>
    <w:p>
      <w:pPr>
        <w:spacing w:after="0" w:line="17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common stock of the Company issuable under CID HoldCo, Inc. 2024 Equity Incentive Plan, as may be amended or restated from time to time (the “Plan”). Shares of common stock issuable under the Plan include awards of stock options, stock appreciation rights, restricted stock, restricted stock units, performance awards and other stock-based awards.</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836C40E"/>
    <w:multiLevelType w:val="hybridMultilevel"/>
    <w:lvl w:ilvl="0">
      <w:lvlJc w:val="left"/>
      <w:lvlText w:val="%1"/>
      <w:numFmt w:val="decimal"/>
      <w:start w:val="1"/>
    </w:lvl>
    <w:lvl w:ilvl="1">
      <w:lvlJc w:val="left"/>
      <w:lvlText w:val="(%2)"/>
      <w:numFmt w:val="lowerLetter"/>
      <w:start w:val="2"/>
    </w:lvl>
  </w:abstractNum>
  <w:abstractNum w:abstractNumId="4">
    <w:nsid w:val="2901D82"/>
    <w:multiLevelType w:val="hybridMultilevel"/>
    <w:lvl w:ilvl="0">
      <w:lvlJc w:val="left"/>
      <w:lvlText w:val="%1."/>
      <w:numFmt w:val="decimal"/>
      <w:start w:val="2"/>
    </w:lvl>
    <w:lvl w:ilvl="1">
      <w:lvlJc w:val="left"/>
      <w:lvlText w:val="%2"/>
      <w:numFmt w:val="lowerLetter"/>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decimal"/>
      <w:start w:val="8"/>
    </w:lvl>
  </w:abstractNum>
  <w:abstractNum w:abstractNumId="10">
    <w:nsid w:val="6CEAF087"/>
    <w:multiLevelType w:val="hybridMultilevel"/>
    <w:lvl w:ilvl="0">
      <w:lvlJc w:val="left"/>
      <w:lvlText w:val="%1."/>
      <w:numFmt w:val="decimal"/>
      <w:start w:val="9"/>
    </w:lvl>
  </w:abstractNum>
  <w:abstractNum w:abstractNumId="11">
    <w:nsid w:val="22221A70"/>
    <w:multiLevelType w:val="hybridMultilevel"/>
    <w:lvl w:ilvl="0">
      <w:lvlJc w:val="left"/>
      <w:lvlText w:val="%1."/>
      <w:numFmt w:val="decimal"/>
      <w:start w:val="10"/>
    </w:lvl>
  </w:abstractNum>
  <w:abstractNum w:abstractNumId="12">
    <w:nsid w:val="4516DDE9"/>
    <w:multiLevelType w:val="hybridMultilevel"/>
    <w:lvl w:ilvl="0">
      <w:lvlJc w:val="left"/>
      <w:lvlText w:val="%1."/>
      <w:numFmt w:val="decimal"/>
      <w:start w:val="11"/>
    </w:lvl>
  </w:abstractNum>
  <w:abstractNum w:abstractNumId="13">
    <w:nsid w:val="3006C83E"/>
    <w:multiLevelType w:val="hybridMultilevel"/>
    <w:lvl w:ilvl="0">
      <w:lvlJc w:val="left"/>
      <w:lvlText w:val="%1."/>
      <w:numFmt w:val="decimal"/>
      <w:start w:val="12"/>
    </w:lvl>
  </w:abstractNum>
  <w:abstractNum w:abstractNumId="14">
    <w:nsid w:val="614FD4A1"/>
    <w:multiLevelType w:val="hybridMultilevel"/>
    <w:lvl w:ilvl="0">
      <w:lvlJc w:val="left"/>
      <w:lvlText w:val="%1."/>
      <w:numFmt w:val="decimal"/>
      <w:start w:val="13"/>
    </w:lvl>
  </w:abstractNum>
  <w:abstractNum w:abstractNumId="15">
    <w:nsid w:val="419AC241"/>
    <w:multiLevelType w:val="hybridMultilevel"/>
    <w:lvl w:ilvl="0">
      <w:lvlJc w:val="left"/>
      <w:lvlText w:val="%1."/>
      <w:numFmt w:val="decimal"/>
      <w:start w:val="14"/>
    </w:lvl>
  </w:abstractNum>
  <w:abstractNum w:abstractNumId="16">
    <w:nsid w:val="5577F8E1"/>
    <w:multiLevelType w:val="hybridMultilevel"/>
    <w:lvl w:ilvl="0">
      <w:lvlJc w:val="left"/>
      <w:lvlText w:val="%1."/>
      <w:numFmt w:val="decimal"/>
      <w:start w:val="16"/>
    </w:lvl>
  </w:abstractNum>
  <w:abstractNum w:abstractNumId="17">
    <w:nsid w:val="440BADFC"/>
    <w:multiLevelType w:val="hybridMultilevel"/>
    <w:lvl w:ilvl="0">
      <w:lvlJc w:val="left"/>
      <w:lvlText w:val="%1."/>
      <w:numFmt w:val="decimal"/>
      <w:start w:val="17"/>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1)"/>
      <w:numFmt w:val="lowerLetter"/>
      <w:start w:val="8"/>
    </w:lvl>
    <w:lvl w:ilvl="1">
      <w:lvlJc w:val="left"/>
      <w:lvlText w:val="(%2)"/>
      <w:numFmt w:val="lowerRoman"/>
      <w:start w:val="1"/>
    </w:lvl>
  </w:abstractNum>
  <w:abstractNum w:abstractNumId="20">
    <w:nsid w:val="77465F01"/>
    <w:multiLevelType w:val="hybridMultilevel"/>
    <w:lvl w:ilvl="0">
      <w:lvlJc w:val="left"/>
      <w:lvlText w:val="(%1)"/>
      <w:numFmt w:val="lowerLetter"/>
      <w:start w:val="35"/>
    </w:lvl>
    <w:lvl w:ilvl="1">
      <w:lvlJc w:val="left"/>
      <w:lvlText w:val="(%2)"/>
      <w:numFmt w:val="lowerLetter"/>
      <w:start w:val="9"/>
    </w:lvl>
  </w:abstractNum>
  <w:abstractNum w:abstractNumId="21">
    <w:nsid w:val="7724C67E"/>
    <w:multiLevelType w:val="hybridMultilevel"/>
    <w:lvl w:ilvl="0">
      <w:lvlJc w:val="left"/>
      <w:lvlText w:val="(%1)"/>
      <w:numFmt w:val="lowerLetter"/>
      <w:start w:val="12"/>
    </w:lvl>
    <w:lvl w:ilvl="1">
      <w:lvlJc w:val="left"/>
      <w:lvlText w:val="(%2)"/>
      <w:numFmt w:val="lowerRoman"/>
      <w:start w:val="1"/>
    </w:lvl>
  </w:abstractNum>
  <w:abstractNum w:abstractNumId="22">
    <w:nsid w:val="5C482A97"/>
    <w:multiLevelType w:val="hybridMultilevel"/>
    <w:lvl w:ilvl="0">
      <w:lvlJc w:val="left"/>
      <w:lvlText w:val="(%1)"/>
      <w:numFmt w:val="lowerLetter"/>
      <w:start w:val="21"/>
    </w:lvl>
  </w:abstractNum>
  <w:abstractNum w:abstractNumId="23">
    <w:nsid w:val="2463B9EA"/>
    <w:multiLevelType w:val="hybridMultilevel"/>
    <w:lvl w:ilvl="0">
      <w:lvlJc w:val="left"/>
      <w:lvlText w:val="(%1)"/>
      <w:numFmt w:val="lowerLetter"/>
      <w:start w:val="27"/>
    </w:lvl>
  </w:abstractNum>
  <w:abstractNum w:abstractNumId="24">
    <w:nsid w:val="5E884ADC"/>
    <w:multiLevelType w:val="hybridMultilevel"/>
    <w:lvl w:ilvl="0">
      <w:lvlJc w:val="left"/>
      <w:lvlText w:val="(%1)"/>
      <w:numFmt w:val="lowerLetter"/>
      <w:start w:val="40"/>
    </w:lvl>
  </w:abstractNum>
  <w:abstractNum w:abstractNumId="25">
    <w:nsid w:val="51EAD36B"/>
    <w:multiLevelType w:val="hybridMultilevel"/>
    <w:lvl w:ilvl="0">
      <w:lvlJc w:val="left"/>
      <w:lvlText w:val="(%1)"/>
      <w:numFmt w:val="lowerLetter"/>
      <w:start w:val="51"/>
    </w:lvl>
  </w:abstractNum>
  <w:abstractNum w:abstractNumId="26">
    <w:nsid w:val="2D517796"/>
    <w:multiLevelType w:val="hybridMultilevel"/>
    <w:lvl w:ilvl="0">
      <w:lvlJc w:val="left"/>
      <w:lvlText w:val="(%1)"/>
      <w:numFmt w:val="lowerLetter"/>
      <w:start w:val="54"/>
    </w:lvl>
  </w:abstractNum>
  <w:abstractNum w:abstractNumId="27">
    <w:nsid w:val="580BD78F"/>
    <w:multiLevelType w:val="hybridMultilevel"/>
    <w:lvl w:ilvl="0">
      <w:lvlJc w:val="left"/>
      <w:lvlText w:val="(%1)"/>
      <w:numFmt w:val="lowerLetter"/>
      <w:start w:val="55"/>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1)"/>
      <w:numFmt w:val="lowerLetter"/>
      <w:start w:val="7"/>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1"/>
    </w:lvl>
    <w:lvl w:ilvl="1">
      <w:lvlJc w:val="left"/>
      <w:lvlText w:val="(%2)"/>
      <w:numFmt w:val="lowerRoman"/>
      <w:start w:val="1"/>
    </w:lvl>
  </w:abstractNum>
  <w:abstractNum w:abstractNumId="32">
    <w:nsid w:val="2A487CB0"/>
    <w:multiLevelType w:val="hybridMultilevel"/>
    <w:lvl w:ilvl="0">
      <w:lvlJc w:val="left"/>
      <w:lvlText w:val="(%1)"/>
      <w:numFmt w:val="lowerLetter"/>
      <w:start w:val="1"/>
    </w:lvl>
    <w:lvl w:ilvl="1">
      <w:lvlJc w:val="left"/>
      <w:lvlText w:val="(%2)"/>
      <w:numFmt w:val="lowerLetter"/>
      <w:start w:val="9"/>
    </w:lvl>
  </w:abstractNum>
  <w:abstractNum w:abstractNumId="33">
    <w:nsid w:val="1D4ED43B"/>
    <w:multiLevelType w:val="hybridMultilevel"/>
    <w:lvl w:ilvl="0">
      <w:lvlJc w:val="left"/>
      <w:lvlText w:val="(%1)"/>
      <w:numFmt w:val="lowerRoman"/>
      <w:start w:val="2"/>
    </w:lvl>
  </w:abstractNum>
  <w:abstractNum w:abstractNumId="34">
    <w:nsid w:val="725A06FB"/>
    <w:multiLevelType w:val="hybridMultilevel"/>
    <w:lvl w:ilvl="0">
      <w:lvlJc w:val="left"/>
      <w:lvlText w:val="(%1)"/>
      <w:numFmt w:val="lowerLetter"/>
      <w:start w:val="2"/>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lvl w:ilvl="1">
      <w:lvlJc w:val="left"/>
      <w:lvlText w:val="(%2)"/>
      <w:numFmt w:val="lowerRoman"/>
      <w:start w:val="1"/>
    </w:lvl>
  </w:abstractNum>
  <w:abstractNum w:abstractNumId="37">
    <w:nsid w:val="7A6D8D3C"/>
    <w:multiLevelType w:val="hybridMultilevel"/>
    <w:lvl w:ilvl="0">
      <w:lvlJc w:val="left"/>
      <w:lvlText w:val="(%1)"/>
      <w:numFmt w:val="lowerRoman"/>
      <w:start w:val="7"/>
    </w:lvl>
  </w:abstractNum>
  <w:abstractNum w:abstractNumId="38">
    <w:nsid w:val="4B588F54"/>
    <w:multiLevelType w:val="hybridMultilevel"/>
    <w:lvl w:ilvl="0">
      <w:lvlJc w:val="left"/>
      <w:lvlText w:val="(%1)"/>
      <w:numFmt w:val="lowerLetter"/>
      <w:start w:val="2"/>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2"/>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lowerLetter"/>
      <w:start w:val="1"/>
    </w:lvl>
    <w:lvl w:ilvl="1">
      <w:lvlJc w:val="left"/>
      <w:lvlText w:val="(%2)"/>
      <w:numFmt w:val="lowerLetter"/>
      <w:start w:val="1"/>
    </w:lvl>
  </w:abstractNum>
  <w:abstractNum w:abstractNumId="44">
    <w:nsid w:val="684A481A"/>
    <w:multiLevelType w:val="hybridMultilevel"/>
    <w:lvl w:ilvl="0">
      <w:lvlJc w:val="left"/>
      <w:lvlText w:val="(%1)"/>
      <w:numFmt w:val="lowerLetter"/>
      <w:start w:val="2"/>
    </w:lvl>
    <w:lvl w:ilvl="1">
      <w:lvlJc w:val="left"/>
      <w:lvlText w:val="%2"/>
      <w:numFmt w:val="lowerLetter"/>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Roman"/>
      <w:start w:val="1"/>
    </w:lvl>
    <w:lvl w:ilvl="1">
      <w:lvlJc w:val="left"/>
      <w:lvlText w:val="(%2)"/>
      <w:numFmt w:val="lowerLetter"/>
      <w:start w:val="2"/>
    </w:lvl>
  </w:abstractNum>
  <w:abstractNum w:abstractNumId="47">
    <w:nsid w:val="3DC240FB"/>
    <w:multiLevelType w:val="hybridMultilevel"/>
    <w:lvl w:ilvl="0">
      <w:lvlJc w:val="left"/>
      <w:lvlText w:val="(%1)"/>
      <w:numFmt w:val="lowerRoman"/>
      <w:start w:val="6"/>
    </w:lvl>
    <w:lvl w:ilvl="1">
      <w:lvlJc w:val="left"/>
      <w:lvlText w:val="(%2)"/>
      <w:numFmt w:val="lowerLetter"/>
      <w:start w:val="3"/>
    </w:lvl>
  </w:abstractNum>
  <w:abstractNum w:abstractNumId="48">
    <w:nsid w:val="1BA026FA"/>
    <w:multiLevelType w:val="hybridMultilevel"/>
    <w:lvl w:ilvl="0">
      <w:lvlJc w:val="left"/>
      <w:lvlText w:val="(%1)"/>
      <w:numFmt w:val="lowerLetter"/>
      <w:start w:val="1"/>
    </w:lvl>
    <w:lvl w:ilvl="1">
      <w:lvlJc w:val="left"/>
      <w:lvlText w:val="(%2)"/>
      <w:numFmt w:val="lowerRoman"/>
      <w:start w:val="1"/>
    </w:lvl>
  </w:abstractNum>
  <w:abstractNum w:abstractNumId="49">
    <w:nsid w:val="79A1DEAA"/>
    <w:multiLevelType w:val="hybridMultilevel"/>
    <w:lvl w:ilvl="0">
      <w:lvlJc w:val="left"/>
      <w:lvlText w:val="%1"/>
      <w:numFmt w:val="decimal"/>
      <w:start w:val="1"/>
    </w:lvl>
    <w:lvl w:ilvl="1">
      <w:lvlJc w:val="left"/>
      <w:lvlText w:val="(%2)"/>
      <w:numFmt w:val="lowerLetter"/>
      <w:start w:val="6"/>
    </w:lvl>
  </w:abstractNum>
  <w:abstractNum w:abstractNumId="50">
    <w:nsid w:val="75C6C33A"/>
    <w:multiLevelType w:val="hybridMultilevel"/>
    <w:lvl w:ilvl="0">
      <w:lvlJc w:val="left"/>
      <w:lvlText w:val="%1."/>
      <w:numFmt w:val="decimal"/>
      <w:start w:val="16"/>
    </w:lvl>
    <w:lvl w:ilvl="1">
      <w:lvlJc w:val="left"/>
      <w:lvlText w:val="%2"/>
      <w:numFmt w:val="lowerLetter"/>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jpeg"/><Relationship Id="rId26" Type="http://schemas.openxmlformats.org/officeDocument/2006/relationships/image" Target="media/image14.png"/><Relationship Id="rId27" Type="http://schemas.openxmlformats.org/officeDocument/2006/relationships/image" Target="media/image15.jpe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pn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5" Type="http://schemas.openxmlformats.org/officeDocument/2006/relationships/hyperlink" Target="https://www.sec.gov/Archives/edgar/data/2033770/000121390025057972/ea0246607-8k_cidhold.htm" TargetMode="External"/><Relationship Id="rId16" Type="http://schemas.openxmlformats.org/officeDocument/2006/relationships/hyperlink" Target="https://www.sec.gov/Archives/edgar/data/2033770/000121390025078660/ea0252997-10q_cidhold.htm" TargetMode="External"/><Relationship Id="rId17" Type="http://schemas.openxmlformats.org/officeDocument/2006/relationships/hyperlink" Target="https://www.sec.gov/Archives/edgar/data/2033770/000121390025055727/ea0246011-8a12b_cidhold.htm" TargetMode="External"/><Relationship Id="rId21" Type="http://schemas.openxmlformats.org/officeDocument/2006/relationships/hyperlink" Target="https://www.sec.gov/Archives/edgar/data/2033770/000121390025057972/ea024660701ex3-1_cidhold.htm" TargetMode="External"/><Relationship Id="rId22" Type="http://schemas.openxmlformats.org/officeDocument/2006/relationships/hyperlink" Target="https://www.sec.gov/Archives/edgar/data/2033770/000121390025057972/ea024660701ex3-2_cid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2025-09-04T16:22:01Z</dcterms:created>
  <dcterms:modified xsi:type="dcterms:W3CDTF">2025-09-04T16:22:01Z</dcterms:modified>
</cp:coreProperties>
</file>