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FORM 8-K</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Pursuant to Section 13 or 15(d) 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September 8, 2025</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CID Holdco,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(Exact Name of Registrant as Specified in Charter)</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259"/>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000" w:type="dxa"/>
            <w:vAlign w:val="bottom"/>
            <w:gridSpan w:val="3"/>
          </w:tcPr>
          <w:p>
            <w:pPr>
              <w:jc w:val="center"/>
              <w:ind w:right="600"/>
              <w:spacing w:after="0"/>
              <w:rPr>
                <w:sz w:val="20"/>
                <w:szCs w:val="20"/>
                <w:color w:val="auto"/>
              </w:rPr>
            </w:pPr>
            <w:r>
              <w:rPr>
                <w:rFonts w:ascii="Times New Roman" w:cs="Times New Roman" w:eastAsia="Times New Roman" w:hAnsi="Times New Roman"/>
                <w:sz w:val="18"/>
                <w:szCs w:val="18"/>
                <w:b w:val="1"/>
                <w:bCs w:val="1"/>
                <w:color w:val="auto"/>
                <w:w w:val="97"/>
              </w:rPr>
              <w:t>001-42711</w:t>
            </w:r>
          </w:p>
        </w:tc>
        <w:tc>
          <w:tcPr>
            <w:tcW w:w="200" w:type="dxa"/>
            <w:vAlign w:val="bottom"/>
          </w:tcPr>
          <w:p>
            <w:pPr>
              <w:spacing w:after="0"/>
              <w:rPr>
                <w:sz w:val="22"/>
                <w:szCs w:val="22"/>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99-2578850</w:t>
            </w:r>
          </w:p>
        </w:tc>
      </w:tr>
      <w:tr>
        <w:trPr>
          <w:trHeight w:val="198"/>
        </w:trPr>
        <w:tc>
          <w:tcPr>
            <w:tcW w:w="362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(State or Other Jurisdiction</w:t>
            </w:r>
          </w:p>
        </w:tc>
        <w:tc>
          <w:tcPr>
            <w:tcW w:w="220" w:type="dxa"/>
            <w:vAlign w:val="bottom"/>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3000" w:type="dxa"/>
            <w:vAlign w:val="bottom"/>
            <w:tcBorders>
              <w:top w:val="single" w:sz="8" w:color="auto"/>
            </w:tcBorders>
            <w:gridSpan w:val="3"/>
          </w:tcPr>
          <w:p>
            <w:pPr>
              <w:jc w:val="center"/>
              <w:ind w:right="600"/>
              <w:spacing w:after="0" w:line="198" w:lineRule="exact"/>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7"/>
                <w:szCs w:val="17"/>
                <w:color w:val="auto"/>
              </w:rPr>
            </w:pPr>
          </w:p>
        </w:tc>
        <w:tc>
          <w:tcPr>
            <w:tcW w:w="36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rPr>
              <w:t>(IRS Employer</w:t>
            </w:r>
          </w:p>
        </w:tc>
      </w:tr>
      <w:tr>
        <w:trPr>
          <w:trHeight w:val="234"/>
        </w:trPr>
        <w:tc>
          <w:tcPr>
            <w:tcW w:w="4440" w:type="dxa"/>
            <w:vAlign w:val="bottom"/>
            <w:gridSpan w:val="3"/>
          </w:tcPr>
          <w:p>
            <w:pPr>
              <w:jc w:val="center"/>
              <w:ind w:right="820"/>
              <w:spacing w:after="0"/>
              <w:rPr>
                <w:sz w:val="20"/>
                <w:szCs w:val="20"/>
                <w:color w:val="auto"/>
              </w:rPr>
            </w:pPr>
            <w:r>
              <w:rPr>
                <w:rFonts w:ascii="Times New Roman" w:cs="Times New Roman" w:eastAsia="Times New Roman" w:hAnsi="Times New Roman"/>
                <w:sz w:val="18"/>
                <w:szCs w:val="18"/>
                <w:color w:val="auto"/>
                <w:w w:val="98"/>
              </w:rPr>
              <w:t>of Incorporation)</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0"/>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rPr>
              <w:t>5661 S Cameron St, Suite 100,</w:t>
            </w: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45"/>
        </w:trPr>
        <w:tc>
          <w:tcPr>
            <w:tcW w:w="4440" w:type="dxa"/>
            <w:vAlign w:val="bottom"/>
            <w:tcBorders>
              <w:bottom w:val="single" w:sz="8" w:color="auto"/>
            </w:tcBorders>
            <w:gridSpan w:val="3"/>
          </w:tcPr>
          <w:p>
            <w:pPr>
              <w:jc w:val="center"/>
              <w:ind w:left="990"/>
              <w:spacing w:after="0"/>
              <w:rPr>
                <w:sz w:val="20"/>
                <w:szCs w:val="20"/>
                <w:color w:val="auto"/>
              </w:rPr>
            </w:pPr>
            <w:r>
              <w:rPr>
                <w:rFonts w:ascii="Times New Roman" w:cs="Times New Roman" w:eastAsia="Times New Roman" w:hAnsi="Times New Roman"/>
                <w:sz w:val="18"/>
                <w:szCs w:val="18"/>
                <w:b w:val="1"/>
                <w:bCs w:val="1"/>
                <w:color w:val="auto"/>
                <w:w w:val="98"/>
              </w:rPr>
              <w:t>Las Vegas, Nevada</w:t>
            </w:r>
          </w:p>
        </w:tc>
        <w:tc>
          <w:tcPr>
            <w:tcW w:w="1080" w:type="dxa"/>
            <w:vAlign w:val="bottom"/>
            <w:tcBorders>
              <w:bottom w:val="single" w:sz="8" w:color="auto"/>
            </w:tcBorders>
          </w:tcPr>
          <w:p>
            <w:pPr>
              <w:spacing w:after="0"/>
              <w:rPr>
                <w:sz w:val="21"/>
                <w:szCs w:val="21"/>
                <w:color w:val="auto"/>
              </w:rPr>
            </w:pPr>
          </w:p>
        </w:tc>
        <w:tc>
          <w:tcPr>
            <w:tcW w:w="220" w:type="dxa"/>
            <w:vAlign w:val="bottom"/>
          </w:tcPr>
          <w:p>
            <w:pPr>
              <w:spacing w:after="0"/>
              <w:rPr>
                <w:sz w:val="21"/>
                <w:szCs w:val="21"/>
                <w:color w:val="auto"/>
              </w:rPr>
            </w:pPr>
          </w:p>
        </w:tc>
        <w:tc>
          <w:tcPr>
            <w:tcW w:w="1700" w:type="dxa"/>
            <w:vAlign w:val="bottom"/>
            <w:tcBorders>
              <w:bottom w:val="single" w:sz="8" w:color="auto"/>
            </w:tcBorders>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3600" w:type="dxa"/>
            <w:vAlign w:val="bottom"/>
            <w:tcBorders>
              <w:bottom w:val="single" w:sz="8" w:color="auto"/>
            </w:tcBorders>
          </w:tcPr>
          <w:p>
            <w:pPr>
              <w:jc w:val="right"/>
              <w:ind w:right="2430"/>
              <w:spacing w:after="0"/>
              <w:rPr>
                <w:sz w:val="20"/>
                <w:szCs w:val="20"/>
                <w:color w:val="auto"/>
              </w:rPr>
            </w:pPr>
            <w:r>
              <w:rPr>
                <w:rFonts w:ascii="Times New Roman" w:cs="Times New Roman" w:eastAsia="Times New Roman" w:hAnsi="Times New Roman"/>
                <w:sz w:val="18"/>
                <w:szCs w:val="18"/>
                <w:b w:val="1"/>
                <w:bCs w:val="1"/>
                <w:color w:val="auto"/>
              </w:rPr>
              <w:t>89118</w:t>
            </w:r>
          </w:p>
        </w:tc>
      </w:tr>
      <w:tr>
        <w:trPr>
          <w:trHeight w:val="234"/>
        </w:trPr>
        <w:tc>
          <w:tcPr>
            <w:tcW w:w="4440" w:type="dxa"/>
            <w:vAlign w:val="bottom"/>
            <w:gridSpan w:val="3"/>
          </w:tcPr>
          <w:p>
            <w:pPr>
              <w:jc w:val="center"/>
              <w:ind w:left="990"/>
              <w:spacing w:after="0"/>
              <w:rPr>
                <w:sz w:val="20"/>
                <w:szCs w:val="20"/>
                <w:color w:val="auto"/>
              </w:rPr>
            </w:pPr>
            <w:r>
              <w:rPr>
                <w:rFonts w:ascii="Times New Roman" w:cs="Times New Roman" w:eastAsia="Times New Roman" w:hAnsi="Times New Roman"/>
                <w:sz w:val="18"/>
                <w:szCs w:val="18"/>
                <w:color w:val="auto"/>
                <w:w w:val="99"/>
              </w:rPr>
              <w:t>(Address of Principal Executive Offices)</w:t>
            </w:r>
          </w:p>
        </w:tc>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0" w:type="dxa"/>
            <w:vAlign w:val="bottom"/>
          </w:tcPr>
          <w:p>
            <w:pPr>
              <w:jc w:val="center"/>
              <w:ind w:right="1790"/>
              <w:spacing w:after="0"/>
              <w:rPr>
                <w:sz w:val="20"/>
                <w:szCs w:val="20"/>
                <w:color w:val="auto"/>
              </w:rPr>
            </w:pPr>
            <w:r>
              <w:rPr>
                <w:rFonts w:ascii="Times New Roman" w:cs="Times New Roman" w:eastAsia="Times New Roman" w:hAnsi="Times New Roman"/>
                <w:sz w:val="18"/>
                <w:szCs w:val="18"/>
                <w:color w:val="auto"/>
              </w:rPr>
              <w:t>(Zip Code)</w:t>
            </w:r>
          </w:p>
        </w:tc>
      </w:tr>
      <w:tr>
        <w:trPr>
          <w:trHeight w:val="395"/>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000" w:type="dxa"/>
            <w:vAlign w:val="bottom"/>
            <w:gridSpan w:val="3"/>
          </w:tcPr>
          <w:p>
            <w:pPr>
              <w:jc w:val="center"/>
              <w:ind w:right="620"/>
              <w:spacing w:after="0"/>
              <w:rPr>
                <w:sz w:val="20"/>
                <w:szCs w:val="20"/>
                <w:color w:val="auto"/>
              </w:rPr>
            </w:pPr>
            <w:r>
              <w:rPr>
                <w:rFonts w:ascii="Times New Roman" w:cs="Times New Roman" w:eastAsia="Times New Roman" w:hAnsi="Times New Roman"/>
                <w:sz w:val="18"/>
                <w:szCs w:val="18"/>
                <w:b w:val="1"/>
                <w:bCs w:val="1"/>
                <w:color w:val="auto"/>
                <w:w w:val="99"/>
              </w:rPr>
              <w:t>(303)-332-4122</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6"/>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200" w:lineRule="exact"/>
        <w:rPr>
          <w:sz w:val="24"/>
          <w:szCs w:val="24"/>
          <w:color w:val="auto"/>
        </w:rPr>
      </w:pPr>
    </w:p>
    <w:p>
      <w:pPr>
        <w:spacing w:after="0" w:line="21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25" w:lineRule="exact"/>
        <w:rPr>
          <w:sz w:val="24"/>
          <w:szCs w:val="24"/>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12(b) of the Act: None.</w:t>
      </w:r>
    </w:p>
    <w:p>
      <w:pPr>
        <w:spacing w:after="0" w:line="229" w:lineRule="exact"/>
        <w:rPr>
          <w:sz w:val="24"/>
          <w:szCs w:val="24"/>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ind w:left="9060"/>
        <w:spacing w:after="0" w:line="196" w:lineRule="exact"/>
        <w:rPr>
          <w:sz w:val="20"/>
          <w:szCs w:val="20"/>
          <w:color w:val="auto"/>
        </w:rPr>
      </w:pPr>
      <w:r>
        <w:rPr>
          <w:rFonts w:ascii="Times New Roman" w:cs="Times New Roman" w:eastAsia="Times New Roman" w:hAnsi="Times New Roman"/>
          <w:sz w:val="17"/>
          <w:szCs w:val="17"/>
          <w:color w:val="auto"/>
        </w:rPr>
        <w:t xml:space="preserve">Emerging growth company </w:t>
      </w:r>
      <w:r>
        <w:rPr>
          <w:rFonts w:ascii="MS PGothic" w:cs="MS PGothic" w:eastAsia="MS PGothic" w:hAnsi="MS PGothic"/>
          <w:sz w:val="17"/>
          <w:szCs w:val="17"/>
          <w:color w:val="auto"/>
        </w:rPr>
        <w:t>☒</w:t>
      </w:r>
    </w:p>
    <w:p>
      <w:pPr>
        <w:spacing w:after="0" w:line="277" w:lineRule="exact"/>
        <w:rPr>
          <w:sz w:val="24"/>
          <w:szCs w:val="24"/>
          <w:color w:val="auto"/>
        </w:r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09" w:right="33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ITEM 8.01 OTHER EVENTS.</w:t>
      </w:r>
    </w:p>
    <w:p>
      <w:pPr>
        <w:spacing w:after="0" w:line="229" w:lineRule="exact"/>
        <w:rPr>
          <w:sz w:val="20"/>
          <w:szCs w:val="20"/>
          <w:color w:val="auto"/>
        </w:rPr>
      </w:pPr>
    </w:p>
    <w:p>
      <w:pPr>
        <w:jc w:val="both"/>
        <w:ind w:firstLine="648"/>
        <w:spacing w:after="0" w:line="261" w:lineRule="auto"/>
        <w:rPr>
          <w:sz w:val="20"/>
          <w:szCs w:val="20"/>
          <w:color w:val="auto"/>
        </w:rPr>
      </w:pPr>
      <w:r>
        <w:rPr>
          <w:rFonts w:ascii="Times New Roman" w:cs="Times New Roman" w:eastAsia="Times New Roman" w:hAnsi="Times New Roman"/>
          <w:sz w:val="18"/>
          <w:szCs w:val="18"/>
          <w:color w:val="auto"/>
        </w:rPr>
        <w:t>CID HoldCo, Inc., a Delaware corporation (the “Company”), today confirms that it has been made aware of a complaint (the “Complaint”) filed by William Reny (“Plaintiff”), a greater than ten percent (10%) holder of the Company’s outstanding common stock, par value $0.001 per share, against See ID, Inc., a wholly-owned subsidiary of the Company (“See ID”), Charles Maddox and Ed Nabrotzky, each a director of See ID, and Does 1-20 (collectively with See ID, Mr. Maddox and Mr. Nabrotzky, the “Defendants”), in the District Court of Clark County, Nevada.</w:t>
      </w:r>
    </w:p>
    <w:p>
      <w:pPr>
        <w:spacing w:after="0" w:line="180" w:lineRule="exact"/>
        <w:rPr>
          <w:sz w:val="20"/>
          <w:szCs w:val="20"/>
          <w:color w:val="auto"/>
        </w:rPr>
      </w:pPr>
    </w:p>
    <w:p>
      <w:pPr>
        <w:jc w:val="both"/>
        <w:ind w:firstLine="648"/>
        <w:spacing w:after="0" w:line="255" w:lineRule="auto"/>
        <w:rPr>
          <w:sz w:val="20"/>
          <w:szCs w:val="20"/>
          <w:color w:val="auto"/>
        </w:rPr>
      </w:pPr>
      <w:r>
        <w:rPr>
          <w:rFonts w:ascii="Times New Roman" w:cs="Times New Roman" w:eastAsia="Times New Roman" w:hAnsi="Times New Roman"/>
          <w:sz w:val="18"/>
          <w:szCs w:val="18"/>
          <w:color w:val="auto"/>
        </w:rPr>
        <w:t>The Complaint alleges, among other things, (a) breach of Plaintiff’s employment agreement, and an implied covenant of good faith and fair dealing in respect thereof, by See ID by (i) terminating Mr. Reny’s employment for “cause,” (ii) not paying Plaintiff certain compensation and benefits, (iii) not permitting Plaintiff to transfer shares to a third party, and (iv) otherwise harming Plaintiff; (b) tortious interference with a contract, tortious interference with prospective economic advantage and conspiracy/concert of action by Messrs. Maddox and Nabrotzky with respect to a contract Plaintiff had with a third party to purchase a home by not permitting Mr. Reny to transfer shares to a third party; (c) conversion, failure to produce business records under NRS chapter 78 or unjust enrichment by one or more of the Defendants. Plaintiff seeks direct damages, interest, statutory damages and penalties, records production, injunctive relief as appropriate, an accounting, reasonable attorney’s fees and costs and punitive damages in excess of $50,000.00.</w:t>
      </w:r>
    </w:p>
    <w:p>
      <w:pPr>
        <w:spacing w:after="0" w:line="189" w:lineRule="exact"/>
        <w:rPr>
          <w:sz w:val="20"/>
          <w:szCs w:val="20"/>
          <w:color w:val="auto"/>
        </w:rPr>
      </w:pPr>
    </w:p>
    <w:p>
      <w:pPr>
        <w:jc w:val="both"/>
        <w:ind w:firstLine="648"/>
        <w:spacing w:after="0" w:line="282" w:lineRule="auto"/>
        <w:rPr>
          <w:sz w:val="20"/>
          <w:szCs w:val="20"/>
          <w:color w:val="auto"/>
        </w:rPr>
      </w:pPr>
      <w:r>
        <w:rPr>
          <w:rFonts w:ascii="Times New Roman" w:cs="Times New Roman" w:eastAsia="Times New Roman" w:hAnsi="Times New Roman"/>
          <w:sz w:val="18"/>
          <w:szCs w:val="18"/>
          <w:color w:val="auto"/>
        </w:rPr>
        <w:t>The Company and the Defendants intend to vigorously defend themselves against this litigation and to pursue available legal remedies. Except as required by law, the Company does not intend to comment further on this matter.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 Looking Statements</w:t>
      </w:r>
    </w:p>
    <w:p>
      <w:pPr>
        <w:spacing w:after="0" w:line="229" w:lineRule="exact"/>
        <w:rPr>
          <w:sz w:val="20"/>
          <w:szCs w:val="20"/>
          <w:color w:val="auto"/>
        </w:rPr>
      </w:pPr>
    </w:p>
    <w:p>
      <w:pPr>
        <w:jc w:val="both"/>
        <w:ind w:firstLine="648"/>
        <w:spacing w:after="0" w:line="256" w:lineRule="auto"/>
        <w:rPr>
          <w:sz w:val="20"/>
          <w:szCs w:val="20"/>
          <w:color w:val="auto"/>
        </w:rPr>
      </w:pPr>
      <w:r>
        <w:rPr>
          <w:rFonts w:ascii="Times New Roman" w:cs="Times New Roman" w:eastAsia="Times New Roman" w:hAnsi="Times New Roman"/>
          <w:sz w:val="18"/>
          <w:szCs w:val="18"/>
          <w:color w:val="auto"/>
        </w:rPr>
        <w:t>Certain statements contained in this Current Report on Form 8-K contains forward-looking statements within the meaning of the U.S. federal securities laws. These statements include, but are not limited to, statements regarding the Company’s intentions regarding its defense against such claims. Forward-looking statements are based on current expectations and assumptions that are subject to risks and uncertainties, including those related to the Company’s business, market conditions, regulatory and other developments, including with respect to the claims. These factors could cause actual results to differ materially from those expressed or implied by the forward-looking statements. The Company undertakes no obligation to update or revise any forward-looking statements, except as required by law.</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9.01 FINANCIAL STATEMENTS AND EXHIBITS.</w:t>
      </w:r>
    </w:p>
    <w:p>
      <w:pPr>
        <w:spacing w:after="0" w:line="229" w:lineRule="exact"/>
        <w:rPr>
          <w:sz w:val="20"/>
          <w:szCs w:val="20"/>
          <w:color w:val="auto"/>
        </w:rPr>
      </w:pPr>
    </w:p>
    <w:p>
      <w:pPr>
        <w:ind w:left="660" w:hanging="652"/>
        <w:spacing w:after="0"/>
        <w:tabs>
          <w:tab w:leader="none" w:pos="6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p>
      <w:pPr>
        <w:spacing w:after="0"/>
        <w:tabs>
          <w:tab w:leader="none" w:pos="1120" w:val="left"/>
        </w:tabs>
        <w:rPr>
          <w:sz w:val="20"/>
          <w:szCs w:val="20"/>
          <w:color w:val="auto"/>
        </w:rPr>
      </w:pPr>
      <w:r>
        <w:rPr>
          <w:rFonts w:ascii="Times New Roman" w:cs="Times New Roman" w:eastAsia="Times New Roman" w:hAnsi="Times New Roman"/>
          <w:sz w:val="18"/>
          <w:szCs w:val="18"/>
          <w:b w:val="1"/>
          <w:bCs w:val="1"/>
          <w:color w:val="auto"/>
        </w:rPr>
        <w:t>Exhibit No.</w:t>
        <w:tab/>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28575</wp:posOffset>
            </wp:positionV>
            <wp:extent cx="7132320" cy="1543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54305"/>
                    </a:xfrm>
                    <a:prstGeom prst="rect">
                      <a:avLst/>
                    </a:prstGeom>
                    <a:noFill/>
                  </pic:spPr>
                </pic:pic>
              </a:graphicData>
            </a:graphic>
          </wp:anchor>
        </w:drawing>
      </w:r>
    </w:p>
    <w:p>
      <w:pPr>
        <w:spacing w:after="0" w:line="34" w:lineRule="exact"/>
        <w:rPr>
          <w:sz w:val="20"/>
          <w:szCs w:val="20"/>
          <w:color w:val="auto"/>
        </w:rPr>
      </w:pPr>
    </w:p>
    <w:p>
      <w:pPr>
        <w:ind w:left="5580" w:right="4280" w:hanging="5572"/>
        <w:spacing w:after="0" w:line="783" w:lineRule="auto"/>
        <w:tabs>
          <w:tab w:leader="none" w:pos="1143"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(embedded within the Inline XBRL document).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2"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CID HoldCo, Inc.</w:t>
      </w:r>
    </w:p>
    <w:p>
      <w:pPr>
        <w:spacing w:after="0" w:line="223" w:lineRule="exact"/>
        <w:rPr>
          <w:sz w:val="20"/>
          <w:szCs w:val="20"/>
          <w:color w:val="auto"/>
        </w:rPr>
      </w:pPr>
    </w:p>
    <w:p>
      <w:pPr>
        <w:spacing w:after="0"/>
        <w:tabs>
          <w:tab w:leader="none" w:pos="6740" w:val="left"/>
          <w:tab w:leader="none" w:pos="7300" w:val="left"/>
        </w:tabs>
        <w:rPr>
          <w:sz w:val="20"/>
          <w:szCs w:val="20"/>
          <w:color w:val="auto"/>
        </w:rPr>
      </w:pPr>
      <w:r>
        <w:rPr>
          <w:rFonts w:ascii="Times New Roman" w:cs="Times New Roman" w:eastAsia="Times New Roman" w:hAnsi="Times New Roman"/>
          <w:sz w:val="18"/>
          <w:szCs w:val="18"/>
          <w:color w:val="auto"/>
        </w:rPr>
        <w:t>Date: September 12, 2025</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i w:val="1"/>
          <w:iCs w:val="1"/>
          <w:color w:val="auto"/>
        </w:rPr>
        <w:t>/s/ Edmund Nabrotzky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18"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Edmund Nabrotzky</w:t>
      </w:r>
    </w:p>
    <w:p>
      <w:pPr>
        <w:spacing w:after="0" w:line="27"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
      <w:numFmt w:val="bullet"/>
      <w:start w:val="1"/>
    </w:lvl>
  </w:abstractNum>
  <w:abstractNum w:abstractNumId="1">
    <w:nsid w:val="74B0DC51"/>
    <w:multiLevelType w:val="hybridMultilevel"/>
    <w:lvl w:ilvl="0">
      <w:lvlJc w:val="left"/>
      <w:lvlText w:val="(%1)"/>
      <w:numFmt w:val="lowerLetter"/>
      <w:start w:val="4"/>
    </w:lvl>
  </w:abstractNum>
  <w:abstractNum w:abstractNumId="2">
    <w:nsid w:val="19495CFF"/>
    <w:multiLevelType w:val="hybridMultilevel"/>
    <w:lvl w:ilvl="0">
      <w:lvlJc w:val="left"/>
      <w:lvlText w:val="%1"/>
      <w:numFmt w:val="decimal"/>
      <w:start w:val="10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2025-09-12T15:37:52Z</dcterms:created>
  <dcterms:modified xsi:type="dcterms:W3CDTF">2025-09-12T15:37:52Z</dcterms:modified>
</cp:coreProperties>
</file>