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Newhouse Phyllis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5661 S. CAMERON ST.,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CID Holdco,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DAIC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8"/>
              </w:rPr>
              <w:t>1,023,314</w:t>
            </w:r>
            <w:r>
              <w:rPr>
                <w:rFonts w:ascii="Times New Roman" w:cs="Times New Roman" w:eastAsia="Times New Roman" w:hAnsi="Times New Roman"/>
                <w:sz w:val="22"/>
                <w:szCs w:val="22"/>
                <w:color w:val="008000"/>
                <w:w w:val="98"/>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w:t>
            </w:r>
            <w:r>
              <w:rPr>
                <w:rFonts w:ascii="Times New Roman" w:cs="Times New Roman" w:eastAsia="Times New Roman" w:hAnsi="Times New Roman"/>
                <w:sz w:val="22"/>
                <w:szCs w:val="22"/>
                <w:color w:val="008000"/>
                <w:w w:val="99"/>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1,023,314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06/18/2025</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2,354,416</w:t>
            </w:r>
            <w:r>
              <w:rPr>
                <w:rFonts w:ascii="Times New Roman" w:cs="Times New Roman" w:eastAsia="Times New Roman" w:hAnsi="Times New Roman"/>
                <w:sz w:val="22"/>
                <w:szCs w:val="22"/>
                <w:color w:val="008000"/>
                <w:w w:val="98"/>
                <w:vertAlign w:val="superscript"/>
              </w:rPr>
              <w:t>(1)</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w:t>
            </w:r>
            <w:r>
              <w:rPr>
                <w:rFonts w:ascii="Times New Roman" w:cs="Times New Roman" w:eastAsia="Times New Roman" w:hAnsi="Times New Roman"/>
                <w:sz w:val="22"/>
                <w:szCs w:val="22"/>
                <w:color w:val="008000"/>
                <w:w w:val="99"/>
                <w:vertAlign w:val="superscript"/>
              </w:rPr>
              <w:t>(1)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2,354,416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issued in connection with the consummation of the transactions contemplated by that certain Business Combination Agreement, dated March 18, 2024, by and among the Issuer, ShoulderUp Technology Acquisition Corp, a Delaware corporation, ShoulderUp Merger Sub, Inc., a Delaware corporation, SEI Merger Sub, Inc., a Delaware Corporation and SEE ID, Inc., a Nevada corporation.</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directly held by ShoulderUp 2021 Trust. Ms. Newhouse is the trustee of ShoulderUp 2021 Trust and may be deemed to share voting and investment power over the shares held by ShoulderUp 2021 Trust.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Phyllis Newhouse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07/09/2025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47751" TargetMode="External"/><Relationship Id="rId14" Type="http://schemas.openxmlformats.org/officeDocument/2006/relationships/hyperlink" Target="http://www.sec.gov/cgi-bin/browse-edgar?action=getcompany&amp;CIK=00020337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2025-07-09T20:01:16Z</dcterms:created>
  <dcterms:modified xsi:type="dcterms:W3CDTF">2025-07-09T20:01:16Z</dcterms:modified>
</cp:coreProperties>
</file>