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2025 (December 11, 2025)</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5, 2025, CID Holdco, Inc. (the “Company”) entered into a Loan Agreement with J.J. Astor &amp; Co., a Utah corporation (including its successors and assigns, the “Lender”), pursuant to which the Company may borrow up to $5,000,000 in four tranches comprised of an initial $2,000,000 tranche (the “Initial Loan”) borrowed on the initial funding date of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due on December 31, 2025 of $108,334 and the remaining eleven monthly payments of $226,615.18.</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request Additional Loans from time to time under the Loan Agreement upon at least 5 business days’ notice and subject to the Lender’s election to extend such Additional Loan, subject to the terms and conditions of the Loan Agreement. Each Additional Loan will be evidenced by a senior secured convertible note for an original principal amount of $1,300,000, of which $960,000 will be funded by the Lender after deducting the Lender’s origination fee (each, an “Additional Note” and together with the Initial Note, the “Convertible Notes”). Each Additional Loan is subject to the Company’s satisfaction of certain specified conditions, including that there be no restrictions on the Company drawing funds under the Company’s equity line of credit (the “ELOC”) with New Circle Principal Investments, LLC (“New Circle”), (ii) the Company being in full compliance with all of the provisions of the New Circle payment direction agreement entered into in connection with the Loan Agreement, (iii) the Company’s Common Stock remaining traded on a national securities exchange, (iv) the volume weighted average closing price of the Company’s Common Stock for the 20 consecutive trading days, as traded on any national securities exchange being at least $1.00 per share, and (v) the average trading volume of shares of the Common Stock of the Company for the 20 consecutive trading days, as traded on any national securities exchange, being at least 50,000 shares of Common Stock. Under the terms of the Loan Agreement, an additional warrant (each, an “Additional Lender Warrant”) will be issued by the Company in connection with each Additional Loan made as a condition to funding the Additional Loan.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 Agreement requires the Company to draw on its ELOC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 The Company is also required to use the proceeds of any extraordinary receipts from amounts from judgments, litigation or indemnity settlements to repay the then outstanding balance of the Loans in accordance with the terms of the Loan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the Company issued the Lender a warrant (the “Initial Lender Warrant and together with any Additional Lender Warrants, the “Lender Warrants”) to purchase up to 230,770 shares of common stock, par value $0.0001 per share, of the Company (the “Company”) at an exercise price of $1.69 per share, subject to certain adjustments. The exercise price and the number of shares of Common Stock issuable upon exercise of the Lender Warrant is subject to adjustment in the event of certain stock dividends and distributions, stock splits, stock combinations, reclassifications or similar events affecting the Common Stock. The Lender Warrant cannot be exercised if it would cause the aggregate number of shares of Common Stock beneficially owned by the Lender (together with its affiliates) to exceed 4.99% of the number of shares of Common Stock outstanding immediately after giving effect to the exercise. The Lender may from time to time request by written notice to the Company and with the agreement of the Company to increase or decrease the ownership limitation up to 9.99% of the number of shares of Common Stock outstanding immediately after giving effect to the exercise. Conversion of the Convertible Notes and exercise of the Lender Warrants is also subject to compliance with applicable Nasdaq rules.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also entered into a registration rights agreement with the Lender (the “Registration Rights”) that requires the Company to file a resale shelf registration statement registering the resale of up to 100% of the conversion shares issuable upon conversion of the Initial Note and any Additional Notes following an Event of Default (as defined under the Loan Agreement). Under the terms of the Registration Rights Agreements, the Convertible Notes are convertible, in whole or in part, following an event of default and the effectiveness of a resale registration statement registering the shares into which the Convertible Notes are convertible. The conversion price under the Registration Rights Agreement is 80% of the average of the four lowest volume weighted average prices of the shares of Common Stock as traded on the principal market for the Common Stock over the 20 trading days immediately prior to the Lender’s notice of conversion. None of the Convertible Notes can be converted if it would cause the aggregate number of shares of Common Stock beneficially owned by the Lender (together with its affiliates) to exceed 4.99% of the number of shares of Common Stock outstanding immediately after giving effect to the conversion.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SEE ID, Inc., ShoulderUp Technology Acquisition Corp. and DotWorks, Inc. and related rights and proceeds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to secure the obligations under the Loan Agreement and related loan documents. In connection with the Loan Agreement, the Company’s subsidiaries, SEE ID, Inc., ShoulderUp Technology Acquisition Corp. and DotWorks, Inc. executed a subsidiary guarantee, pursuant to which each applicable subsidiary guarantor guaranteed the Company’s obligations under the Loan Agreement and related loan document.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affirmative and negative covenants, financial covenants, events of default and other terms for borrowings of this type. Affirmative and negative covenants include, among others, limitations on additional indebtedness and liens (unless the proceeds of such are used to prepay 100% of the then outstanding principal amount of the Loans), limitations on the issuance of securities of the Company, including convertible and non-convertible notes and debentures (except for certain exempted issuances or 100% of the net proceeds from such sales of securities are used to repay the then outstanding principal amount of the Loans), restrictions on payments to affiliates subject to specified exceptions, and an obligation for the Company to comply with any affirmative or negative covenants contained in the other loan agreements.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Convertible Notes include customary events of default, including, among others, non-payments (with a 2 business day grace period for up to 2 payments), breaches of representations, warranties or covenants (with customary notice and cure periods, where applicable), cross-defaults to material indebtedness, certain bankruptcy or insolvency events, material judgments, invalidity of guarantees or security documents, change of control and a failure or inability for the Company to draw on the ELOC. Following an event of default, the Lender may exercise remedies, including acceleration of the obligations, entering a confession of judgment affidavit in a Utah court, default interest at a rate of 19% on 110% of the then outstanding principal amount and enforcement against the collateral.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Loan Agreement, the Initial Note, the Initial Lender Warrant and the Registration Rights Agreement does not purport to be complete and is qualified in its entirety by reference to the full text of such agreements filed herewith as Exhibits 10.1, 10.2, 4.1 and 10.3,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above in Item 1.01 of this Current Report on Form 8-K related to the Loan Agreement, the Lender Warrant and the Initial Note (collectively, the “Securities”) is hereby incorporated by reference into this Item 3.02. The Securities were sold without registration under the Securities Act of 1933, as amended (the “Securities Act”), in reliance on the exemptions provided by Section 4(a)(2) of the Securities Act as a transaction not involving a public offering and Rule 506(b) of Regulation D promulgated under the Securities Act as sales to accredited investors and in reliance on similar exemptions under applicable state laws.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Common Stock Purchase Warrant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Loan Agreement between J.J. Astor and CID Holdco, Inc.</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Senior Secured Convertible Promissory Note</w:t>
            </w:r>
          </w:p>
        </w:tc>
        <w:tc>
          <w:tcPr>
            <w:tcW w:w="684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524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Registration Rights Agreement between CID Holdco, Inc. and J.J. Astor.</w:t>
            </w:r>
          </w:p>
        </w:tc>
        <w:tc>
          <w:tcPr>
            <w:tcW w:w="4860" w:type="dxa"/>
            <w:vAlign w:val="bottom"/>
          </w:tcPr>
          <w:p>
            <w:pPr>
              <w:spacing w:after="0"/>
              <w:rPr>
                <w:sz w:val="15"/>
                <w:szCs w:val="15"/>
                <w:color w:val="auto"/>
              </w:rPr>
            </w:pPr>
          </w:p>
        </w:tc>
      </w:tr>
    </w:tbl>
    <w:p>
      <w:pPr>
        <w:spacing w:after="0" w:line="9" w:lineRule="exact"/>
        <w:rPr>
          <w:sz w:val="20"/>
          <w:szCs w:val="20"/>
          <w:color w:val="auto"/>
        </w:rPr>
      </w:pPr>
    </w:p>
    <w:p>
      <w:pPr>
        <w:ind w:left="5560" w:right="4280" w:hanging="5552"/>
        <w:spacing w:after="0" w:line="783"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230,770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December 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December 5, 2025</w:t>
      </w:r>
    </w:p>
    <w:p>
      <w:pPr>
        <w:spacing w:after="0" w:line="200" w:lineRule="exact"/>
        <w:rPr>
          <w:sz w:val="20"/>
          <w:szCs w:val="20"/>
          <w:color w:val="auto"/>
        </w:rPr>
      </w:pPr>
    </w:p>
    <w:p>
      <w:pPr>
        <w:sectPr>
          <w:pgSz w:w="11900" w:h="16838" w:orient="portrait"/>
          <w:cols w:equalWidth="0" w:num="2">
            <w:col w:w="6040" w:space="720"/>
            <w:col w:w="4480"/>
          </w:cols>
          <w:pgMar w:left="320" w:top="117" w:right="339" w:bottom="1440" w:gutter="0" w:footer="0" w:header="0"/>
          <w:type w:val="continuous"/>
        </w:sectPr>
      </w:pP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J.J. Astor &amp; Co., a Utah corporation (“Astor”) or its assigns (together with Astor,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Initial Exercise Date, and on or prior to 5:00 p.m. (New York City time) on December 4, 2030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CID Holdco,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230,770 shares of 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 This Warrant is issued pursuant to the terms of the loan agreement dated December _3, 2025 between the Company, as borrower, and Astor, as lender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that certain Loan Agreement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dated December 4, 2025 among the Company and J.J. Astor &amp; Co.</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 State Street, 30th Floor, New York, NY 10004, and any successor transfer agent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delivery of a promissory note duly executed by the Holder which shall be payable in full in cash on a date which shall the earlier to occur of three (3) Business Days following the Holder’s sale of the Warrant Shares or seven (7) Business Days following the date of issuance of the Warrant Shares (the “</w:t>
      </w:r>
      <w:r>
        <w:rPr>
          <w:rFonts w:ascii="Times New Roman" w:cs="Times New Roman" w:eastAsia="Times New Roman" w:hAnsi="Times New Roman"/>
          <w:sz w:val="18"/>
          <w:szCs w:val="18"/>
          <w:u w:val="single" w:color="auto"/>
          <w:color w:val="auto"/>
        </w:rPr>
        <w:t>Purchase Note</w:t>
      </w:r>
      <w:r>
        <w:rPr>
          <w:rFonts w:ascii="Times New Roman" w:cs="Times New Roman" w:eastAsia="Times New Roman" w:hAnsi="Times New Roman"/>
          <w:sz w:val="18"/>
          <w:szCs w:val="18"/>
          <w:color w:val="auto"/>
        </w:rPr>
        <w:t>”), unless the cashless exercise procedure specified in Section 2(c) below is then available to the Holder at the time of issuance of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no later than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9" w:lineRule="exact"/>
        <w:rPr>
          <w:rFonts w:ascii="Times New Roman" w:cs="Times New Roman" w:eastAsia="Times New Roman" w:hAnsi="Times New Roman"/>
          <w:sz w:val="18"/>
          <w:szCs w:val="18"/>
          <w:color w:val="auto"/>
        </w:rPr>
      </w:pPr>
    </w:p>
    <w:p>
      <w:pPr>
        <w:jc w:val="both"/>
        <w:ind w:firstLine="644"/>
        <w:spacing w:after="0" w:line="266" w:lineRule="auto"/>
        <w:tabs>
          <w:tab w:leader="none" w:pos="8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$1.69,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Unless the cashless exercise provisions of Section 2(c) below shall be applicable, the Exercise Price for the Warrant Shares being purchased shall be paid in full by the Holder’s issuance and delivery to the Company of the Purchase Note.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 w:name="page8"/>
    <w:bookmarkEnd w:id="7"/>
    <w:p>
      <w:pPr>
        <w:jc w:val="both"/>
        <w:ind w:firstLine="644"/>
        <w:spacing w:after="0" w:line="261" w:lineRule="auto"/>
        <w:tabs>
          <w:tab w:leader="none" w:pos="8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after ninety (90) days after the Issue Date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080" w:hanging="436"/>
        <w:spacing w:after="0" w:line="253" w:lineRule="auto"/>
        <w:tabs>
          <w:tab w:leader="none" w:pos="9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Closing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080" w:hanging="436"/>
        <w:spacing w:after="0" w:line="282" w:lineRule="auto"/>
        <w:tabs>
          <w:tab w:leader="none" w:pos="9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8" w:name="page9"/>
    <w:bookmarkEnd w:id="8"/>
    <w:p>
      <w:pPr>
        <w:ind w:left="380" w:hanging="196"/>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five (5) Trading Days after the delivery to the Company by the Holder of the Notice of Exercise, and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rFonts w:ascii="Times New Roman" w:cs="Times New Roman" w:eastAsia="Times New Roman" w:hAnsi="Times New Roman"/>
          <w:sz w:val="18"/>
          <w:szCs w:val="18"/>
          <w:color w:val="auto"/>
        </w:rPr>
      </w:pPr>
    </w:p>
    <w:p>
      <w:pPr>
        <w:jc w:val="both"/>
        <w:ind w:left="840" w:firstLine="559"/>
        <w:spacing w:after="0" w:line="261" w:lineRule="auto"/>
        <w:tabs>
          <w:tab w:leader="none" w:pos="15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 w:name="page10"/>
    <w:bookmarkEnd w:id="9"/>
    <w:p>
      <w:pPr>
        <w:ind w:left="840" w:firstLine="640"/>
        <w:spacing w:after="0" w:line="282" w:lineRule="auto"/>
        <w:tabs>
          <w:tab w:leader="none" w:pos="1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6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p>
      <w:pPr>
        <w:jc w:val="both"/>
        <w:ind w:left="180" w:firstLine="4"/>
        <w:spacing w:after="0" w:line="251" w:lineRule="auto"/>
        <w:tabs>
          <w:tab w:leader="none" w:pos="3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w:t>
      </w:r>
    </w:p>
    <w:p>
      <w:pPr>
        <w:spacing w:after="0" w:line="2"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Common Stock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the Reverse Split contemplated by the Loan Agreement)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If the Company shall at any time or from time to time, while this Warrant is outstanding, issue any shares of Common Stock or Common Stock Equivalents without consideration or for a consideration per share that is less than the Exercise Price then in effect (the “</w:t>
      </w:r>
      <w:r>
        <w:rPr>
          <w:rFonts w:ascii="Times New Roman" w:cs="Times New Roman" w:eastAsia="Times New Roman" w:hAnsi="Times New Roman"/>
          <w:sz w:val="18"/>
          <w:szCs w:val="18"/>
          <w:u w:val="single" w:color="auto"/>
          <w:color w:val="auto"/>
        </w:rPr>
        <w:t>Lower Priced Securities</w:t>
      </w:r>
      <w:r>
        <w:rPr>
          <w:rFonts w:ascii="Times New Roman" w:cs="Times New Roman" w:eastAsia="Times New Roman" w:hAnsi="Times New Roman"/>
          <w:sz w:val="18"/>
          <w:szCs w:val="18"/>
          <w:color w:val="auto"/>
        </w:rPr>
        <w:t>”) then in such event the Exercise Price of the Warrant shall be lowered to the same as the Lower Priced Securities.</w:t>
      </w:r>
    </w:p>
    <w:p>
      <w:pPr>
        <w:spacing w:after="0" w:line="17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2" w:name="page13"/>
    <w:bookmarkEnd w:id="12"/>
    <w:p>
      <w:pPr>
        <w:jc w:val="both"/>
        <w:ind w:left="-460" w:firstLine="644"/>
        <w:spacing w:after="0" w:line="250" w:lineRule="auto"/>
        <w:tabs>
          <w:tab w:leader="none" w:pos="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825" w:gutter="0" w:footer="0" w:header="0"/>
        </w:sectPr>
      </w:pPr>
    </w:p>
    <w:bookmarkStart w:id="13" w:name="page14"/>
    <w:bookmarkEnd w:id="13"/>
    <w:p>
      <w:pPr>
        <w:jc w:val="both"/>
        <w:ind w:left="-460" w:firstLine="644"/>
        <w:spacing w:after="0" w:line="266" w:lineRule="auto"/>
        <w:tabs>
          <w:tab w:leader="none" w:pos="3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the Loan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the Loan Agreement and Registration Rights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6" w:name="page17"/>
    <w:bookmarkEnd w:id="16"/>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Loan Agreement.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Loan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Loan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 w:name="page18"/>
    <w:bookmarkEnd w:id="17"/>
    <w:p>
      <w:pPr>
        <w:jc w:val="both"/>
        <w:ind w:firstLine="644"/>
        <w:spacing w:after="0" w:line="261"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Registration Rights Agreement shall apply for the registration of Warrant Shares issuable upon exercise of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the Registration Rights Agreement, the Company shall cause a Resale Registration Statement covering all “Registrable Securities” (as defined in the Registration Rights Agreement to be declared effective by the SEC by a date which shall be not later than June 30, 2025.</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Exchange Rules</w:t>
      </w:r>
      <w:r>
        <w:rPr>
          <w:rFonts w:ascii="Times New Roman" w:cs="Times New Roman" w:eastAsia="Times New Roman" w:hAnsi="Times New Roman"/>
          <w:sz w:val="18"/>
          <w:szCs w:val="18"/>
          <w:color w:val="auto"/>
        </w:rPr>
        <w:t>. The Holder shall not be entitled to exercise any portion of the Warrants if such exercise would require prior shareholder approval for the issuance of such shares pursuant to applicable Nasdaq rules and regulations.</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 w:name="page19"/>
    <w:bookmarkEnd w:id="1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firstLine="1304"/>
        <w:spacing w:after="0" w:line="282" w:lineRule="auto"/>
        <w:tabs>
          <w:tab w:leader="none" w:pos="15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17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December 4, 2025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xml:space="preserve">”) and is made and entered into between </w:t>
      </w:r>
      <w:r>
        <w:rPr>
          <w:rFonts w:ascii="Times New Roman" w:cs="Times New Roman" w:eastAsia="Times New Roman" w:hAnsi="Times New Roman"/>
          <w:sz w:val="18"/>
          <w:szCs w:val="18"/>
          <w:b w:val="1"/>
          <w:bCs w:val="1"/>
          <w:color w:val="auto"/>
        </w:rPr>
        <w:t>CID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Holdco,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J.J. Astor &amp; Co.</w:t>
      </w:r>
      <w:r>
        <w:rPr>
          <w:rFonts w:ascii="Times New Roman" w:cs="Times New Roman" w:eastAsia="Times New Roman" w:hAnsi="Times New Roman"/>
          <w:sz w:val="18"/>
          <w:szCs w:val="18"/>
          <w:color w:val="auto"/>
        </w:rPr>
        <w:t>, a Utah corporation (including its successors and assigns,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borrow the sum of up to $5,000,000 in up to four three tranches of $2,000,000 at closing (the “</w:t>
      </w:r>
      <w:r>
        <w:rPr>
          <w:rFonts w:ascii="Times New Roman" w:cs="Times New Roman" w:eastAsia="Times New Roman" w:hAnsi="Times New Roman"/>
          <w:sz w:val="18"/>
          <w:szCs w:val="18"/>
          <w:u w:val="single" w:color="auto"/>
          <w:color w:val="auto"/>
        </w:rPr>
        <w:t>Initial Loan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 to three additional tranches $1,000,000 each (the “</w:t>
      </w:r>
      <w:r>
        <w:rPr>
          <w:rFonts w:ascii="Times New Roman" w:cs="Times New Roman" w:eastAsia="Times New Roman" w:hAnsi="Times New Roman"/>
          <w:sz w:val="18"/>
          <w:szCs w:val="18"/>
          <w:u w:val="single" w:color="auto"/>
          <w:color w:val="auto"/>
        </w:rPr>
        <w:t>Additional Loans</w:t>
      </w:r>
      <w:r>
        <w:rPr>
          <w:rFonts w:ascii="Times New Roman" w:cs="Times New Roman" w:eastAsia="Times New Roman" w:hAnsi="Times New Roman"/>
          <w:sz w:val="18"/>
          <w:szCs w:val="18"/>
          <w:color w:val="auto"/>
        </w:rPr>
        <w:t>” and together with the Initial Loan, the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and the Company wishes to enter into this Agreement and the Exhibits hereto and issue to the Lender, the Two Million Six Hundred Thousand ($2,600,000) Dollar Original Issue Amount promissory note in the form of </w:t>
      </w:r>
      <w:r>
        <w:rPr>
          <w:rFonts w:ascii="Times New Roman" w:cs="Times New Roman" w:eastAsia="Times New Roman" w:hAnsi="Times New Roman"/>
          <w:sz w:val="18"/>
          <w:szCs w:val="18"/>
          <w:b w:val="1"/>
          <w:bCs w:val="1"/>
          <w:u w:val="single" w:color="auto"/>
          <w:color w:val="auto"/>
        </w:rPr>
        <w:t>Exhibit A-1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Initial Note</w:t>
      </w:r>
      <w:r>
        <w:rPr>
          <w:rFonts w:ascii="Times New Roman" w:cs="Times New Roman" w:eastAsia="Times New Roman" w:hAnsi="Times New Roman"/>
          <w:sz w:val="18"/>
          <w:szCs w:val="18"/>
          <w:color w:val="auto"/>
        </w:rPr>
        <w:t xml:space="preserve">”) and if the second, third or fourth tranche of $1,000,000 is requested by the Company and funded by the Lender in the exercise of its sole discretion and subject to the conditions hereinafter set forth, each of the additional $1,300,000 Original Issue Amount promissory notes in the form of </w:t>
      </w:r>
      <w:r>
        <w:rPr>
          <w:rFonts w:ascii="Times New Roman" w:cs="Times New Roman" w:eastAsia="Times New Roman" w:hAnsi="Times New Roman"/>
          <w:sz w:val="18"/>
          <w:szCs w:val="18"/>
          <w:b w:val="1"/>
          <w:bCs w:val="1"/>
          <w:u w:val="single" w:color="auto"/>
          <w:color w:val="auto"/>
        </w:rPr>
        <w:t>Exhibit A-2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Initial Note,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each of its Subsidiary Guarantors have agreed to further perfect and secure the Lender’s senior first priority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and security interest in all of the assets and properties of the Company and its Subsidiary Guarantors pursuant to the Security Agreement and Subsidiary Guarantees to be entered into on the Initial Funding Date;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Lender are executing and delivering this Agreement in reliance upon an exemption from securities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afforded by the provisions of Section 4(a)(2) and/or Rule 506(b) of Regulation D promulgated thereunder by the U.S. Securities and Exchange Commission.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in this Agreement,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are hereby acknowledged, the Company and the Lender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w:t>
      </w:r>
    </w:p>
    <w:p>
      <w:pPr>
        <w:spacing w:after="0" w:line="225" w:lineRule="exact"/>
        <w:rPr>
          <w:sz w:val="20"/>
          <w:szCs w:val="20"/>
          <w:color w:val="auto"/>
        </w:rPr>
      </w:pPr>
    </w:p>
    <w:p>
      <w:pPr>
        <w:ind w:firstLine="1304"/>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otherwise defined herein have the meanings given to such terms in the Notes (as defined herein), and (b) the following terms have the meanings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Acceleration Event</w:t>
      </w:r>
      <w:r>
        <w:rPr>
          <w:rFonts w:ascii="Times New Roman" w:cs="Times New Roman" w:eastAsia="Times New Roman" w:hAnsi="Times New Roman"/>
          <w:sz w:val="18"/>
          <w:szCs w:val="18"/>
          <w:color w:val="auto"/>
        </w:rPr>
        <w:t>” means the occurrence and continuation of an Event of Default (as defined in the Notes) beyond the applicable grace period, if any, for cure.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Acceleration Notice</w:t>
      </w:r>
      <w:r>
        <w:rPr>
          <w:rFonts w:ascii="Times New Roman" w:cs="Times New Roman" w:eastAsia="Times New Roman" w:hAnsi="Times New Roman"/>
          <w:sz w:val="18"/>
          <w:szCs w:val="18"/>
          <w:color w:val="auto"/>
        </w:rPr>
        <w:t>” means a written notice from the Lender that it has elected to accelerate the Loans for payment after the occurrence of an Acceleration Event.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3.01(k).</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Funding Date</w:t>
      </w:r>
      <w:r>
        <w:rPr>
          <w:rFonts w:ascii="Times New Roman" w:cs="Times New Roman" w:eastAsia="Times New Roman" w:hAnsi="Times New Roman"/>
          <w:sz w:val="18"/>
          <w:szCs w:val="18"/>
          <w:color w:val="auto"/>
        </w:rPr>
        <w:t>” shall mean the date of funding of any one or more of the Additional Loans by the Lender and the Company’s issuance of any one or more of the Additional Notes, which additional funding shall been approved in advance by the Lender in the exercise of its sole discretion following receipt of a funding request by the Company and subject to the Company’s Common Stock meeting the Minimum Closing Prices and Minimum Volume Requirements hereinafter described.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shall have the meaning as defined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shall have the meaning as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Subsidiary Guarantor of the Company, as the context may require or permit.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which is a federal legal holiday in the United States or any day on which banking institutions in the State of Utah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transactions contemplated by this Agreement pursuant to Section 2.01.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 per share, of the Company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w:t>
      </w:r>
      <w:r>
        <w:rPr>
          <w:rFonts w:ascii="Times New Roman" w:cs="Times New Roman" w:eastAsia="Times New Roman" w:hAnsi="Times New Roman"/>
          <w:sz w:val="18"/>
          <w:szCs w:val="18"/>
          <w:color w:val="auto"/>
        </w:rPr>
        <w:t>” means any convertible note, convertible preferred stock, warrant, option or other right to receive or subscribe for or purchase any additional shares of Common Stock or any Common Stock Equivalent.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attached to this Agreement submitted by the Company to the Lender as exceptions to or disclosures in respect of the representations and warranties of the Company set forth in this Agreement.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Confession of Judgment Affidavit</w:t>
      </w:r>
      <w:r>
        <w:rPr>
          <w:rFonts w:ascii="Times New Roman" w:cs="Times New Roman" w:eastAsia="Times New Roman" w:hAnsi="Times New Roman"/>
          <w:sz w:val="18"/>
          <w:szCs w:val="18"/>
          <w:color w:val="auto"/>
        </w:rPr>
        <w:t xml:space="preserve">” means the affidavit to be executed on the Initial Funding Date by [* * *] and in the form of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 xml:space="preserve"> attached hereto, pursuant to which, inter alia, the Lender is authorized to enter judgment against the Company and the Subsidiary Guarantors in the Utah Court following the occurrence and during the continuation of an Event of Default.</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Compliance Agreement</w:t>
      </w:r>
      <w:r>
        <w:rPr>
          <w:rFonts w:ascii="Times New Roman" w:cs="Times New Roman" w:eastAsia="Times New Roman" w:hAnsi="Times New Roman"/>
          <w:sz w:val="18"/>
          <w:szCs w:val="18"/>
          <w:color w:val="auto"/>
        </w:rPr>
        <w:t xml:space="preserve">” means the agreement dated the Agreement Date and in the form of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attached hereto duly executed by [* * *].</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Amount</w:t>
      </w:r>
      <w:r>
        <w:rPr>
          <w:rFonts w:ascii="Times New Roman" w:cs="Times New Roman" w:eastAsia="Times New Roman" w:hAnsi="Times New Roman"/>
          <w:sz w:val="18"/>
          <w:szCs w:val="18"/>
          <w:color w:val="auto"/>
        </w:rPr>
        <w:t>” has the meaning as that term is defined in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ELOC</w:t>
      </w:r>
      <w:r>
        <w:rPr>
          <w:rFonts w:ascii="Times New Roman" w:cs="Times New Roman" w:eastAsia="Times New Roman" w:hAnsi="Times New Roman"/>
          <w:sz w:val="18"/>
          <w:szCs w:val="18"/>
          <w:color w:val="auto"/>
        </w:rPr>
        <w:t>” shall have the meaning as that term is defined in Section 4.05.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Common Stock, membership interests or Common Stock Equivalents,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Equity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joint venture, partnership or other direct or indirect investments of the Loan Parties in Equity Interests.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Equity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aggregate amount of cash received by the Company or any of its Subsidiaries in consideration for any issuance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by the Company or such Subsidiary on or after the Effective Date of (a) any of its Equity Interests or (b) any other security or instrument representing Equity Interests (or the right to obtain any Equity Interests) in such Person, excluding any cash received pursuant to an Exempt Issuance and reduced by any commissions or other transaction expenses paid by the Company in connection with any such issuance or sale.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and is limited to: (i) the issuance by the Company of the Notes, and (ii) the issuance by the Company of any Common Stock or standard options to purchase Common Stock to directors, officers, employees or consultants of the Company or its Subsidiary in their capacity as such pursuant to an employee benefit plan which has been approved by the Board of Directors of the Company prior to the date hereof pursuant to which Common Stock and standard options to purchase Common Stock may be issued to any employee, officer, director or consultant for services provided to the Company or its subsidiaries in their capacity as such, For the avoidance of doubt, the term “Exempt Issuance” does not mean or include the issuance of any other Indebtedness or debt securities or any other Common Stock or Common Stock Equivalents by the Company or the Subsidiary Guarantors, unless otherwise approved and consented to in writing in advance by the Lender.</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aggregate amount of cash received by Company from any tax refunds, judgments, litigation 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payments, or other extraordinary receipts received on or after the Initial Funding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 of Funds Agreement</w:t>
      </w:r>
      <w:r>
        <w:rPr>
          <w:rFonts w:ascii="Times New Roman" w:cs="Times New Roman" w:eastAsia="Times New Roman" w:hAnsi="Times New Roman"/>
          <w:sz w:val="18"/>
          <w:szCs w:val="18"/>
          <w:color w:val="auto"/>
        </w:rPr>
        <w:t xml:space="preserve">” means the agreement between the Company and the Lender in the form of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annexed hereto.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Amount</w:t>
      </w:r>
      <w:r>
        <w:rPr>
          <w:rFonts w:ascii="Times New Roman" w:cs="Times New Roman" w:eastAsia="Times New Roman" w:hAnsi="Times New Roman"/>
          <w:sz w:val="18"/>
          <w:szCs w:val="18"/>
          <w:color w:val="auto"/>
        </w:rPr>
        <w:t>” means ninety-six percent (96%) of the amount of the Loans, after deduction of (i) an $80,000 Origination Fee due from the Company to the Lender, representing four percent (4%) of the Initial Loan which shall be retained by the Lender at Closing of the Initial Note on the Initial Funding Date for its own account, and (ii) a $40,000 Origination Fee due from the Company to the Lender, representing four percent (4%) of each Additional Loan which shall be retained by the Lender at Closing of the Funding Date of any one or more of the Additional Notes on the applicable Additional Funding Dates for its own account, all as set forth in the Flow of Funds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shall mean collectively the Initial Funding Date and each of the Additional Funding Dates,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Request</w:t>
      </w:r>
      <w:r>
        <w:rPr>
          <w:rFonts w:ascii="Times New Roman" w:cs="Times New Roman" w:eastAsia="Times New Roman" w:hAnsi="Times New Roman"/>
          <w:sz w:val="18"/>
          <w:szCs w:val="18"/>
          <w:color w:val="auto"/>
        </w:rPr>
        <w:t>” shall mean the written request of the Company to the Lender to make the Initial Loan or the Additional Loan which shall be provided to the Lender not less than ten (10) calendar days prior to the Initial Funding Date and not less than five (5) Business Days prior to each Additional Funding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and similar statements refer to the actual knowledge of any executive officer of the Company after due inquiry of those persons employed by the Company or any Subsidiary charged with administrative or operational responsibility for such matter.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Grace Period</w:t>
      </w:r>
      <w:r>
        <w:rPr>
          <w:rFonts w:ascii="Times New Roman" w:cs="Times New Roman" w:eastAsia="Times New Roman" w:hAnsi="Times New Roman"/>
          <w:sz w:val="18"/>
          <w:szCs w:val="18"/>
          <w:color w:val="auto"/>
        </w:rPr>
        <w:t>” has the meaning as that term is defined in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has the meaning as that term is defined in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Date</w:t>
      </w:r>
      <w:r>
        <w:rPr>
          <w:rFonts w:ascii="Times New Roman" w:cs="Times New Roman" w:eastAsia="Times New Roman" w:hAnsi="Times New Roman"/>
          <w:sz w:val="18"/>
          <w:szCs w:val="18"/>
          <w:color w:val="auto"/>
        </w:rPr>
        <w:t>” means the Business Day when all of the Transaction Documents have been executed and delivered by the applicable parties thereto, and conditions precedent to: (i) the Lender’s obligations to fund the Initial Loan and provide working capital to the Company all as provided in the Flow of Funds Agreement, and (ii) the Company’s obligations to deliver the Initial Note and the other Transaction Documents have been satisfied or waived.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w:t>
      </w:r>
      <w:r>
        <w:rPr>
          <w:rFonts w:ascii="Times New Roman" w:cs="Times New Roman" w:eastAsia="Times New Roman" w:hAnsi="Times New Roman"/>
          <w:sz w:val="18"/>
          <w:szCs w:val="18"/>
          <w:color w:val="auto"/>
        </w:rPr>
        <w:t>” shall have the meaning as defined in the 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3.01(o).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mean a lien, charge, security interest, mortgage, encumbrance, right of first refusal, preemptive right or other restriction or adverse claim of a third party against property.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shall have the meaning ascribed to such term in Section 2.01(a) with respect to the Initial Loan and in Section 2.01(b) with respect to the Additional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shall have the meaning ascribed to such term in Section 3.01.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3.01(a) and Section 3.01(b).</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means any one of the following securities exchanges: the New York Stock Exchange, the NYSE: Amex Exchange, the NASDAQ Global Market or the Nasdaq Capital Market.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the aggregate cash proceeds received by the Company or any Subsidiary in connection with the applicable transaction, net of the direct costs relating to transaction, including, without limitation, legal, accounting, consulting, printing and investment banking fees, sales commissions and underwriters’ discounts, and taxes paid or payable as a result of the transaction.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Circle</w:t>
      </w:r>
      <w:r>
        <w:rPr>
          <w:rFonts w:ascii="Times New Roman" w:cs="Times New Roman" w:eastAsia="Times New Roman" w:hAnsi="Times New Roman"/>
          <w:sz w:val="18"/>
          <w:szCs w:val="18"/>
          <w:color w:val="auto"/>
        </w:rPr>
        <w:t>” means New Circle Principal Investments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Circle Payment Direction Agreement</w:t>
      </w:r>
      <w:r>
        <w:rPr>
          <w:rFonts w:ascii="Times New Roman" w:cs="Times New Roman" w:eastAsia="Times New Roman" w:hAnsi="Times New Roman"/>
          <w:sz w:val="18"/>
          <w:szCs w:val="18"/>
          <w:color w:val="auto"/>
        </w:rPr>
        <w:t xml:space="preserve">” means the agreement between and among the Company, New Circle Principal Investments, LLC and the Lender in the form of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annexed hereto, pursuant to which inter alia, that parties agree to the provisions set forth in Section 4.05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 defined in the Recitals.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 the unpaid principal of and interest on (including interest accruing after the maturity of the Notes and interest accruing after the filing of any petition in bankruptcy, or the commencement of any Insolvency Proceeding relating to any Loan Party, whether or not a claim for post-filing or post-petition interest is allowed or allowable in such proceeding) the Notes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to the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Lender that are required to be paid by any Loan party pursuant any Loan Document or otherwise. For the avoidance of doubt, the Obligations shall not include (x) any obligations arising under any warrants or other equity instruments issued by any Loan Party to the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Principal Amount</w:t>
      </w:r>
      <w:r>
        <w:rPr>
          <w:rFonts w:ascii="Times New Roman" w:cs="Times New Roman" w:eastAsia="Times New Roman" w:hAnsi="Times New Roman"/>
          <w:sz w:val="18"/>
          <w:szCs w:val="18"/>
          <w:color w:val="auto"/>
        </w:rPr>
        <w:t>” shall have the meaning as that term is defined in each of the Notes.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Origination Fee</w:t>
      </w:r>
      <w:r>
        <w:rPr>
          <w:rFonts w:ascii="Times New Roman" w:cs="Times New Roman" w:eastAsia="Times New Roman" w:hAnsi="Times New Roman"/>
          <w:sz w:val="18"/>
          <w:szCs w:val="18"/>
          <w:color w:val="auto"/>
        </w:rPr>
        <w:t>” shall mean the sum of $80,000 which shall be deducted from the Funding Amount on the Initial Funding Date of the Initial Note and $40,000 which shall be deducted from the Funding Amount on the Additional Funding Date of any one or more of the Additional Loans and retained by the Lender pursuant to the applicable Funds Flow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Principal Amount</w:t>
      </w:r>
      <w:r>
        <w:rPr>
          <w:rFonts w:ascii="Times New Roman" w:cs="Times New Roman" w:eastAsia="Times New Roman" w:hAnsi="Times New Roman"/>
          <w:sz w:val="18"/>
          <w:szCs w:val="18"/>
          <w:color w:val="auto"/>
        </w:rPr>
        <w:t>” shall have the meaning as that term is defined in each of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shall have the meaning as that term is defined in the Notes.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 (a) the Company’s Indebtedness to the Lender; (b) unsecured Indebtedness to vendors, suppliers, service providers or other trade creditors incurred in the ordinary course of business; (d) in the event and only in the event that (i) the Lender does not elect to fund the Additional Loan following receipt of an Advance Request, and (ii) no Event of Default under the Transaction Documents then exists and is continuing, Indebtedness junior in priority to the Company’s Indebtedness to the Lender under this Agreement and the other Transaction Documents (a “</w:t>
      </w:r>
      <w:r>
        <w:rPr>
          <w:rFonts w:ascii="Times New Roman" w:cs="Times New Roman" w:eastAsia="Times New Roman" w:hAnsi="Times New Roman"/>
          <w:sz w:val="18"/>
          <w:szCs w:val="18"/>
          <w:u w:val="single" w:color="auto"/>
          <w:color w:val="auto"/>
        </w:rPr>
        <w:t>Junior Loan</w:t>
      </w:r>
      <w:r>
        <w:rPr>
          <w:rFonts w:ascii="Times New Roman" w:cs="Times New Roman" w:eastAsia="Times New Roman" w:hAnsi="Times New Roman"/>
          <w:sz w:val="18"/>
          <w:szCs w:val="18"/>
          <w:color w:val="auto"/>
        </w:rPr>
        <w:t>”); provided that the repayment terms of such Junior Loan are not more favorable to the Junior Lender than the repayment terms of the Notes issued to the Lender; and (c) extensions, refinancings, modifications, amendments and restatements of any items of Permitted Indebtedness (a) through (c) above, provided that the principal amount thereof is not increased or the payment terms thereof are not modified to impose more burdensome terms upon the Company or any Subsidiary, as the case may be;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pledges or deposits made in the ordinary course of business to secure payment of workmen’s compensation, or to participate in any fund in connection with workmen’s compensation, unemployment insurance, old-age pensions or other social security programs, (ii) Liens of mechanics, materialmen, warehousemen, carriers, landlords or other nonconsensual restrictions imposed by operation of law; (iii) Liens for taxes, assessments or governmental or similar charges which have not been recorded/filed with the applicable secretary of state and which are not delinquent or which are being diligently contested in good faith and by appropriate proceedings and adequate reserves with respect thereto are maintain on the books of the Loan Parties, (iv) Liens arising solely by virtue of any contractual or statutory or common law provisions relating to banker’s liens, rights to set off or similar rights and remedies as to deposit accounts or other funds maintained with a creditor depository institution, (v) judgement liens that, to the extent not released, would reasonably be expected to result in a Material Adverse Effect, (vi) Liens consisting of zoning restrictions, easements or other restrictions on the use of real property, none of which materially impairs the use of such property or the value thereof, and none of which is violated in any material respect by existing or proposed structures or land use, (vii) customary anti-assignment provisions in leases and other contracts entered into in the ordinary course of business, (viii) Liens arising from the filing of precautionary UCC financing statements relating solely to personal property leased pursuant to “true” operating leases entered into in the ordinary course of business of the Company and their Subsidiaries, (ix) Liens in favor of the Lender, and (x) other Liens existing as of the Initial Funding Date that are disclosed on Section 3.01(r) to the Company Disclosure Schedule.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joint-venture, limited liability company, joint-stock company, government (or an agency or subdivision thereof) or other entity of any kind.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Discount</w:t>
      </w:r>
      <w:r>
        <w:rPr>
          <w:rFonts w:ascii="Times New Roman" w:cs="Times New Roman" w:eastAsia="Times New Roman" w:hAnsi="Times New Roman"/>
          <w:sz w:val="18"/>
          <w:szCs w:val="18"/>
          <w:color w:val="auto"/>
        </w:rPr>
        <w:t>” means a reduction in the Outstanding Principal Amount of the Initial Note I the Initial Note is paid back in full within (i) Sixty (60) days, to Two Million Three Hundred Eighty Thousand Dollars ($2,380,000); (ii) Ninety (90) days, to Two Million Four Hundred Forty Thousand Dollars ($2,440,000); and (iii) One Hundred Twenty (120) days, to Two Million Five Hundred Thousand Dollars ($2,500,000);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agreement executed by the Company and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 pursuant to which, inter alia, the Company shall register with the SEC pursuant to a resale registration statement on Form S-1 or Form S-3, all of the Registrable Securities (defined therein) if an Event of Default under any one or more of the Notes shall occur and shall be continuing.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3.01(d).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the Security Agreement, dated as of the date hereof,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means each of the direct or indirect subsidiaries of the Company as set forth in Section 3.01(a) and listed in the Company Disclosure Schedule and shall, where applicable, include any other direct or indirect subsidiary of the Company formed or acquired after the date 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Guarantee</w:t>
      </w:r>
      <w:r>
        <w:rPr>
          <w:rFonts w:ascii="Times New Roman" w:cs="Times New Roman" w:eastAsia="Times New Roman" w:hAnsi="Times New Roman"/>
          <w:sz w:val="18"/>
          <w:szCs w:val="18"/>
          <w:color w:val="auto"/>
        </w:rPr>
        <w:t xml:space="preserve">” the Subsidiary Guarantee executed by the Subsidiary Guarantors of the Company in the form of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attached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collective reference to (a) this Agreement, (b) the Notes, (c) the Subsidiary Guarantee, (d) the Security Agreement, (e) the New Circle Payment Direction Agreement (f) the Confession of Judgment Affidavit, (g) the Covenant Compliance Agreement, (h) the Registration Rights Agreement, (i) the Warrant, nd (j) the Funds Flow Agreement. All other appendices, exhibits and schedules hereto and thereto and any other documents or agreements executed in connection with the transactions contemplated hereunder.</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shall mean the five year warrants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attached hereto entitling the Lender or other holder to purchase that number of shares of Common Stock of the Company (the “Warrant Shares”) as shall be equal to (a) 15% of the Original Principal Amount of the Initial Note and, if and when issued, each Additional Note, divided by (b) the closing price of the Common Stock as traded on the applicable National Securities Exchange on the date of issuance of each Warrant.</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LOANS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Initial Funding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Initial Funding Date, upon the terms and subject to the conditions set forth herein and in the other Transaction Documents to be executed and delivered by the parties hereto and thereto, the Lender hereby agrees to make the Initial Loan of $2,000,000, less the $80,000 Origination Fee and the Company hereby agrees to issue to the Lender the Initial Note in $2,600,000 Original Principal Amount, and the Lender hereby agrees to accept from the Company the Initial Note.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1304"/>
        <w:spacing w:after="0" w:line="282" w:lineRule="auto"/>
        <w:tabs>
          <w:tab w:leader="none" w:pos="1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Initial Funding Date, the Lender shall deliver to the Company, via wire transfer, of immediately available funds, an amount equal to $1,920,000, representing the Initial Funding Amount, all set forth in the Flow of Funds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Guarantors shall deliver to the Lender such Initial Note and other Transaction Documents to be delivered as of the Funding Date and the Lender shall deliver the other items set forth in Section 2.02 deliverable at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the conditions set forth in Sections 2.02 and 2.03, the Initial Funding shall occur at the offices of the Lender’s counsel, or such other location as the parties shall mutually agree or may be closed remotely by electronic delivery of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Initial Funding Date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Lender</w:t>
      </w:r>
      <w:r>
        <w:rPr>
          <w:rFonts w:ascii="Times New Roman" w:cs="Times New Roman" w:eastAsia="Times New Roman" w:hAnsi="Times New Roman"/>
          <w:sz w:val="18"/>
          <w:szCs w:val="18"/>
          <w:color w:val="auto"/>
        </w:rPr>
        <w:t>. On or prior to the Initial Funding Date, the Lender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Lender;</w:t>
      </w:r>
    </w:p>
    <w:p>
      <w:pPr>
        <w:spacing w:after="0" w:line="22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Agreement, the form of which is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duly executed by the Lender;</w:t>
      </w:r>
    </w:p>
    <w:p>
      <w:pPr>
        <w:spacing w:after="0" w:line="229" w:lineRule="exact"/>
        <w:rPr>
          <w:rFonts w:ascii="Times New Roman" w:cs="Times New Roman" w:eastAsia="Times New Roman" w:hAnsi="Times New Roman"/>
          <w:sz w:val="18"/>
          <w:szCs w:val="18"/>
          <w:color w:val="auto"/>
        </w:rPr>
      </w:pPr>
    </w:p>
    <w:p>
      <w:pPr>
        <w:ind w:left="2400" w:hanging="448"/>
        <w:spacing w:after="0" w:line="282" w:lineRule="auto"/>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$1,910,000 Initial Funding Amount set forth in the Flow of Funds Agreement, by wire transfer to the Company pursuant to the wiring instructions to be provided by the Company;</w:t>
      </w:r>
    </w:p>
    <w:p>
      <w:pPr>
        <w:spacing w:after="0" w:line="157"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Circle Payment Direction Agreement duly executed by the Lender and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Flow of Funds Agreement duly executed by the Lender and in the form of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attached hereto; and</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Rights Agreement duly executed by the Lender and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On or prior to the Initial Funding Date, the Company shall deliver or cause to be delivered to the Lender:</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an authorized officer of behalf of the Company;</w:t>
      </w:r>
    </w:p>
    <w:p>
      <w:pPr>
        <w:spacing w:after="0" w:line="221" w:lineRule="exact"/>
        <w:rPr>
          <w:rFonts w:ascii="Times New Roman" w:cs="Times New Roman" w:eastAsia="Times New Roman" w:hAnsi="Times New Roman"/>
          <w:sz w:val="18"/>
          <w:szCs w:val="18"/>
          <w:color w:val="auto"/>
        </w:rPr>
      </w:pPr>
    </w:p>
    <w:p>
      <w:pPr>
        <w:jc w:val="both"/>
        <w:ind w:left="2400" w:hanging="448"/>
        <w:spacing w:after="0" w:line="268" w:lineRule="auto"/>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Initial Note, the form of which is attached hereto as </w:t>
      </w:r>
      <w:r>
        <w:rPr>
          <w:rFonts w:ascii="Times New Roman" w:cs="Times New Roman" w:eastAsia="Times New Roman" w:hAnsi="Times New Roman"/>
          <w:sz w:val="18"/>
          <w:szCs w:val="18"/>
          <w:b w:val="1"/>
          <w:bCs w:val="1"/>
          <w:u w:val="single" w:color="auto"/>
          <w:color w:val="auto"/>
        </w:rPr>
        <w:t>Exhibit A-1</w:t>
      </w:r>
      <w:r>
        <w:rPr>
          <w:rFonts w:ascii="Times New Roman" w:cs="Times New Roman" w:eastAsia="Times New Roman" w:hAnsi="Times New Roman"/>
          <w:sz w:val="18"/>
          <w:szCs w:val="18"/>
          <w:color w:val="auto"/>
        </w:rPr>
        <w:t>, registered in the name of the Lender, in the $2,600,000 Original Principal Amount calculated in accordance herewith, duly executed by an authorized officer on behalf of the Company;</w:t>
      </w:r>
    </w:p>
    <w:p>
      <w:pPr>
        <w:spacing w:after="0" w:line="170" w:lineRule="exact"/>
        <w:rPr>
          <w:rFonts w:ascii="Times New Roman" w:cs="Times New Roman" w:eastAsia="Times New Roman" w:hAnsi="Times New Roman"/>
          <w:sz w:val="18"/>
          <w:szCs w:val="18"/>
          <w:color w:val="auto"/>
        </w:rPr>
      </w:pPr>
    </w:p>
    <w:p>
      <w:pPr>
        <w:ind w:left="2400" w:right="20" w:hanging="448"/>
        <w:spacing w:after="0" w:line="286" w:lineRule="auto"/>
        <w:tabs>
          <w:tab w:leader="none" w:pos="2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Subsidiary Guarantee, the form of which is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executed by an authorized officer on behalf of the Subsidiary Guarantors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2380" w:right="20" w:hanging="448"/>
        <w:spacing w:after="0" w:line="286"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Agreement, the form of which is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executed by an authorized officer on behalf of the Company and the Subsidiary;</w:t>
      </w:r>
    </w:p>
    <w:p>
      <w:pPr>
        <w:spacing w:after="0" w:line="154" w:lineRule="exact"/>
        <w:rPr>
          <w:rFonts w:ascii="Times New Roman" w:cs="Times New Roman" w:eastAsia="Times New Roman" w:hAnsi="Times New Roman"/>
          <w:sz w:val="18"/>
          <w:szCs w:val="18"/>
          <w:color w:val="auto"/>
        </w:rPr>
      </w:pPr>
    </w:p>
    <w:p>
      <w:pPr>
        <w:ind w:left="2380" w:hanging="448"/>
        <w:spacing w:after="0"/>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 Compliance in the form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executed by [* * *];</w:t>
      </w:r>
    </w:p>
    <w:p>
      <w:pPr>
        <w:spacing w:after="0" w:line="225" w:lineRule="exact"/>
        <w:rPr>
          <w:rFonts w:ascii="Times New Roman" w:cs="Times New Roman" w:eastAsia="Times New Roman" w:hAnsi="Times New Roman"/>
          <w:sz w:val="18"/>
          <w:szCs w:val="18"/>
          <w:color w:val="auto"/>
        </w:rPr>
      </w:pPr>
    </w:p>
    <w:p>
      <w:pPr>
        <w:ind w:left="2380" w:right="20" w:hanging="448"/>
        <w:spacing w:after="0" w:line="286"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Circle Payment Direction Agreement duly executed by the Company and New Circle and in the form of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and</w:t>
      </w:r>
    </w:p>
    <w:p>
      <w:pPr>
        <w:spacing w:after="0" w:line="154" w:lineRule="exact"/>
        <w:rPr>
          <w:rFonts w:ascii="Times New Roman" w:cs="Times New Roman" w:eastAsia="Times New Roman" w:hAnsi="Times New Roman"/>
          <w:sz w:val="18"/>
          <w:szCs w:val="18"/>
          <w:color w:val="auto"/>
        </w:rPr>
      </w:pPr>
    </w:p>
    <w:p>
      <w:pPr>
        <w:ind w:left="2380" w:hanging="448"/>
        <w:spacing w:after="0"/>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Flow of Funds Agreement duly executed by the Company and in the form of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attached hereto;</w:t>
      </w:r>
    </w:p>
    <w:p>
      <w:pPr>
        <w:spacing w:after="0" w:line="229" w:lineRule="exact"/>
        <w:rPr>
          <w:rFonts w:ascii="Times New Roman" w:cs="Times New Roman" w:eastAsia="Times New Roman" w:hAnsi="Times New Roman"/>
          <w:sz w:val="18"/>
          <w:szCs w:val="18"/>
          <w:color w:val="auto"/>
        </w:rPr>
      </w:pPr>
    </w:p>
    <w:p>
      <w:pPr>
        <w:ind w:left="2380" w:hanging="448"/>
        <w:spacing w:after="0" w:line="282"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Confession of Judgment Affidavit duly executed by [* * *] on behalf of the Company and the Subsidiary and in the form of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attached hereto;</w:t>
      </w:r>
    </w:p>
    <w:p>
      <w:pPr>
        <w:spacing w:after="0" w:line="161" w:lineRule="exact"/>
        <w:rPr>
          <w:rFonts w:ascii="Times New Roman" w:cs="Times New Roman" w:eastAsia="Times New Roman" w:hAnsi="Times New Roman"/>
          <w:sz w:val="18"/>
          <w:szCs w:val="18"/>
          <w:color w:val="auto"/>
        </w:rPr>
      </w:pPr>
    </w:p>
    <w:p>
      <w:pPr>
        <w:ind w:left="2380" w:hanging="448"/>
        <w:spacing w:after="0" w:line="282"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Rights Agreement duly executed by Charles Maddox on behalf of the Company and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161" w:lineRule="exact"/>
        <w:rPr>
          <w:rFonts w:ascii="Times New Roman" w:cs="Times New Roman" w:eastAsia="Times New Roman" w:hAnsi="Times New Roman"/>
          <w:sz w:val="18"/>
          <w:szCs w:val="18"/>
          <w:color w:val="auto"/>
        </w:rPr>
      </w:pPr>
    </w:p>
    <w:p>
      <w:pPr>
        <w:ind w:left="2380" w:hanging="448"/>
        <w:spacing w:after="0" w:line="282"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for the applicable number of Warrant Shares duly executed by [* * *] on behalf of the Company and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attached hereto; and</w:t>
      </w:r>
    </w:p>
    <w:p>
      <w:pPr>
        <w:spacing w:after="0" w:line="161" w:lineRule="exact"/>
        <w:rPr>
          <w:rFonts w:ascii="Times New Roman" w:cs="Times New Roman" w:eastAsia="Times New Roman" w:hAnsi="Times New Roman"/>
          <w:sz w:val="18"/>
          <w:szCs w:val="18"/>
          <w:color w:val="auto"/>
        </w:rPr>
      </w:pPr>
    </w:p>
    <w:p>
      <w:pPr>
        <w:jc w:val="both"/>
        <w:ind w:left="2380" w:hanging="448"/>
        <w:spacing w:after="0" w:line="261" w:lineRule="auto"/>
        <w:tabs>
          <w:tab w:leader="none" w:pos="2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Company and the Subsidiary certifying its: (A) charter (or similar formation document); (B) good standing certificate in its state of incorporation (or formation); (C) bylaws (or similar governing document); and (D) resolutions of its Board of Directors (or similar governing body) approving and authorizing the execution, delivery and performance of the Transaction Documents to which it is (or is to be) a party.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Initial Funding Date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82" w:lineRule="auto"/>
        <w:tabs>
          <w:tab w:leader="none" w:pos="15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Initial Closing are subject to the following conditions being met (it being understood that the Company may waive any of the conditions for the Initial Funding hereafter):</w:t>
      </w:r>
    </w:p>
    <w:p>
      <w:pPr>
        <w:spacing w:after="0" w:line="161" w:lineRule="exact"/>
        <w:rPr>
          <w:rFonts w:ascii="Times New Roman" w:cs="Times New Roman" w:eastAsia="Times New Roman" w:hAnsi="Times New Roman"/>
          <w:sz w:val="18"/>
          <w:szCs w:val="18"/>
          <w:color w:val="auto"/>
        </w:rPr>
      </w:pPr>
    </w:p>
    <w:p>
      <w:pPr>
        <w:ind w:left="2380" w:hanging="448"/>
        <w:spacing w:after="0" w:line="282" w:lineRule="auto"/>
        <w:tabs>
          <w:tab w:leader="none" w:pos="2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on the Initial Funding Date of the Lender’s representations and warranties contained herein;</w:t>
      </w:r>
    </w:p>
    <w:p>
      <w:pPr>
        <w:spacing w:after="0" w:line="161" w:lineRule="exact"/>
        <w:rPr>
          <w:rFonts w:ascii="Times New Roman" w:cs="Times New Roman" w:eastAsia="Times New Roman" w:hAnsi="Times New Roman"/>
          <w:sz w:val="18"/>
          <w:szCs w:val="18"/>
          <w:color w:val="auto"/>
        </w:rPr>
      </w:pPr>
    </w:p>
    <w:p>
      <w:pPr>
        <w:ind w:left="2380" w:right="20" w:hanging="448"/>
        <w:spacing w:after="0" w:line="282" w:lineRule="auto"/>
        <w:tabs>
          <w:tab w:leader="none" w:pos="2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Lender required to be performed at or prior to the Initial Funding Date shall have been performed; and</w:t>
      </w:r>
    </w:p>
    <w:p>
      <w:pPr>
        <w:spacing w:after="0" w:line="161" w:lineRule="exact"/>
        <w:rPr>
          <w:rFonts w:ascii="Times New Roman" w:cs="Times New Roman" w:eastAsia="Times New Roman" w:hAnsi="Times New Roman"/>
          <w:sz w:val="18"/>
          <w:szCs w:val="18"/>
          <w:color w:val="auto"/>
        </w:rPr>
      </w:pPr>
    </w:p>
    <w:p>
      <w:pPr>
        <w:ind w:left="2380" w:hanging="448"/>
        <w:spacing w:after="0"/>
        <w:tabs>
          <w:tab w:leader="none" w:pos="2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Lender of the items set forth in Section 2.02(a) of this Agreement.</w:t>
      </w:r>
    </w:p>
    <w:p>
      <w:pPr>
        <w:spacing w:after="0" w:line="22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 hereunder in connection with the Initial Funding are subject to the following conditions being met (it being understood that the Lender may waive any of the conditions for the Initial Funding hereafter):</w:t>
      </w:r>
    </w:p>
    <w:p>
      <w:pPr>
        <w:spacing w:after="0" w:line="161" w:lineRule="exact"/>
        <w:rPr>
          <w:rFonts w:ascii="Times New Roman" w:cs="Times New Roman" w:eastAsia="Times New Roman" w:hAnsi="Times New Roman"/>
          <w:sz w:val="18"/>
          <w:szCs w:val="18"/>
          <w:color w:val="auto"/>
        </w:rPr>
      </w:pPr>
    </w:p>
    <w:p>
      <w:pPr>
        <w:jc w:val="both"/>
        <w:ind w:left="2380" w:hanging="448"/>
        <w:spacing w:after="0" w:line="266" w:lineRule="auto"/>
        <w:tabs>
          <w:tab w:leader="none" w:pos="2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Initial Funding Date of the representations and warranties of the Company contained herein (unless as of a specific date therein in which case they shall be accurate as of such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9" w:name="page30"/>
    <w:bookmarkEnd w:id="29"/>
    <w:p>
      <w:pPr>
        <w:ind w:left="2400" w:hanging="448"/>
        <w:spacing w:after="0" w:line="282" w:lineRule="auto"/>
        <w:tabs>
          <w:tab w:leader="none" w:pos="2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and its Subsidiary required to be performed at or prior to the Funding Date shall have been performed;</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and its Subsidiary Guarantors of the items set forth in Section 2.02(b) of this Agreement;</w:t>
      </w:r>
    </w:p>
    <w:p>
      <w:pPr>
        <w:spacing w:after="0" w:line="225" w:lineRule="exact"/>
        <w:rPr>
          <w:rFonts w:ascii="Times New Roman" w:cs="Times New Roman" w:eastAsia="Times New Roman" w:hAnsi="Times New Roman"/>
          <w:sz w:val="18"/>
          <w:szCs w:val="18"/>
          <w:color w:val="auto"/>
        </w:rPr>
      </w:pPr>
    </w:p>
    <w:p>
      <w:pPr>
        <w:ind w:left="2400" w:right="20" w:hanging="448"/>
        <w:spacing w:after="0" w:line="282" w:lineRule="auto"/>
        <w:tabs>
          <w:tab w:leader="none" w:pos="2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or the Subsidiary of the Company since the date hereof;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the Lender with the wiring instruction for the Initial Funding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Additional Funding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Additional Funding Date, upon the terms and subject to the conditions set forth herein and in the other Transaction Documents to be executed and delivered by the parties hereto and thereto, the Lender may elect in the exercise of its sole discretion to make any one or more of the Additional Loans of $1,000,000 and the Company hereby agrees to issue to the Lender the applicable Additional Notes in $1,300,000 Original Principal Amount and, subject to funding the Additional Loan, the Lender hereby agrees to accept from the Company the Additional Notes. Notwithstanding the foregoing, the Borrower hereby acknowledges and agrees that the Lender shall have no obligation to fund any Additional Loan if (i) there is any restriction imposed upon the Borrower drawing funds under the ELOC, (ii) the Borrower is not in full compliance with all of the provisions of the New Circle Payment Direction Agreement, (iii) the Company Common Stock is not being traded on a National Securities Exchange, (iv) the volume weighted average closing prices of the Company Common Stock for the 20 consecutive trading days, as traded on any National Securities Exchange shall be less than $____</w:t>
      </w: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u w:val="single" w:color="auto"/>
          <w:color w:val="auto"/>
        </w:rPr>
        <w:t>Minimum Trading Price</w:t>
      </w:r>
      <w:r>
        <w:rPr>
          <w:rFonts w:ascii="Times New Roman" w:cs="Times New Roman" w:eastAsia="Times New Roman" w:hAnsi="Times New Roman"/>
          <w:sz w:val="18"/>
          <w:szCs w:val="18"/>
          <w:color w:val="auto"/>
        </w:rPr>
        <w:t>”), or (v) the average trading volume of shares of the Common Stock of the Company for the 20 consecutive trading days, as traded on any National Securities Exchange, shall be less than _______ shares of Common Stock (the “</w:t>
      </w:r>
      <w:r>
        <w:rPr>
          <w:rFonts w:ascii="Times New Roman" w:cs="Times New Roman" w:eastAsia="Times New Roman" w:hAnsi="Times New Roman"/>
          <w:sz w:val="18"/>
          <w:szCs w:val="18"/>
          <w:u w:val="single" w:color="auto"/>
          <w:color w:val="auto"/>
        </w:rPr>
        <w:t>Minimum Trading Volume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Additional Funding Date, the Lender shall deliver to the Company, via wire transfer, of immediately available funds, an amount equal to $960,000, representing the Additional Funding Amount, less the additional 4% Origination Fee.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Guarantors shall deliver to the Lender such Additional Notes and other Transaction Documents to be delivered as of the applicable Additional Funding Date and the Lender shall deliver the other items set forth in Section 2.05 deliverable at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the conditions set forth in Sections 2.04 and 2.05, the Additional Funding shall occur at the offices of the Lender’s counsel, or such other location as the parties shall mutually agree or may be closed remotely by electronic delivery of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Additional Funding Date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Lender</w:t>
      </w:r>
      <w:r>
        <w:rPr>
          <w:rFonts w:ascii="Times New Roman" w:cs="Times New Roman" w:eastAsia="Times New Roman" w:hAnsi="Times New Roman"/>
          <w:sz w:val="18"/>
          <w:szCs w:val="18"/>
          <w:color w:val="auto"/>
        </w:rPr>
        <w:t>. On or prior to the applicable Additional Funding Date, the Lender shall deliver or cause to be delivered to the Company the $960,000 Additional Funding Amount, by wire transfer to the Company pursuant to the wiring instructions to be provided by the Company;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On or prior to the applicable Additional Funding Date, the Company shall deliver or cause to be delivered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2" w:lineRule="exact"/>
        <w:rPr>
          <w:rFonts w:ascii="Times New Roman" w:cs="Times New Roman" w:eastAsia="Times New Roman" w:hAnsi="Times New Roman"/>
          <w:sz w:val="18"/>
          <w:szCs w:val="18"/>
          <w:color w:val="auto"/>
        </w:rPr>
      </w:pPr>
    </w:p>
    <w:p>
      <w:pPr>
        <w:jc w:val="both"/>
        <w:ind w:left="2400" w:hanging="448"/>
        <w:spacing w:after="0" w:line="268" w:lineRule="auto"/>
        <w:tabs>
          <w:tab w:leader="none" w:pos="24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Additional Note, the form of which is attached hereto as </w:t>
      </w:r>
      <w:r>
        <w:rPr>
          <w:rFonts w:ascii="Times New Roman" w:cs="Times New Roman" w:eastAsia="Times New Roman" w:hAnsi="Times New Roman"/>
          <w:sz w:val="18"/>
          <w:szCs w:val="18"/>
          <w:b w:val="1"/>
          <w:bCs w:val="1"/>
          <w:u w:val="single" w:color="auto"/>
          <w:color w:val="auto"/>
        </w:rPr>
        <w:t>Exhibit A-2</w:t>
      </w:r>
      <w:r>
        <w:rPr>
          <w:rFonts w:ascii="Times New Roman" w:cs="Times New Roman" w:eastAsia="Times New Roman" w:hAnsi="Times New Roman"/>
          <w:sz w:val="18"/>
          <w:szCs w:val="18"/>
          <w:color w:val="auto"/>
        </w:rPr>
        <w:t>, registered in the name of the Lender, in the $1,300,000 Original Principal Amount calculated in accordance herewith, duly executed by an authorized officer on behalf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left="2400" w:hanging="448"/>
        <w:spacing w:after="0" w:line="261" w:lineRule="auto"/>
        <w:tabs>
          <w:tab w:leader="none" w:pos="2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to the Lender that the Subsidiary Guarantee, the Security Agreement, , the Covenant Compliance Agreement, the Confession of Judgment Affidavit and the New Circle Payment Direction Agreement remain in full force and effect in accordance with their respective terms; and if and to the extent requested by Lender, amended and restated Transaction Documents;</w:t>
      </w:r>
    </w:p>
    <w:p>
      <w:pPr>
        <w:spacing w:after="0" w:line="179" w:lineRule="exact"/>
        <w:rPr>
          <w:rFonts w:ascii="Times New Roman" w:cs="Times New Roman" w:eastAsia="Times New Roman" w:hAnsi="Times New Roman"/>
          <w:sz w:val="18"/>
          <w:szCs w:val="18"/>
          <w:color w:val="auto"/>
        </w:rPr>
      </w:pPr>
    </w:p>
    <w:p>
      <w:pPr>
        <w:ind w:left="2400" w:hanging="448"/>
        <w:spacing w:after="0" w:line="282" w:lineRule="auto"/>
        <w:tabs>
          <w:tab w:leader="none" w:pos="2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for the applicable number of Warrant Shares duly executed by [* * *] on behalf of the Company and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attached hereto; and</w:t>
      </w:r>
    </w:p>
    <w:p>
      <w:pPr>
        <w:spacing w:after="0" w:line="161" w:lineRule="exact"/>
        <w:rPr>
          <w:rFonts w:ascii="Times New Roman" w:cs="Times New Roman" w:eastAsia="Times New Roman" w:hAnsi="Times New Roman"/>
          <w:sz w:val="18"/>
          <w:szCs w:val="18"/>
          <w:color w:val="auto"/>
        </w:rPr>
      </w:pPr>
    </w:p>
    <w:p>
      <w:pPr>
        <w:jc w:val="both"/>
        <w:ind w:left="2400" w:hanging="448"/>
        <w:spacing w:after="0" w:line="261" w:lineRule="auto"/>
        <w:tabs>
          <w:tab w:leader="none" w:pos="2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Company and the Subsidiary certifying its: (A) charter (or similar formation document); (B) good standing certificate in its state of incorporation (or formation); (C) bylaws (or similar governing document); and (D) resolutions of its Board of Directors (or similar governing body) approving and authorizing the execution, delivery and performance of the Transaction Documents to which it is (or is to be) a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Additional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accuracy in all material respects on the applicable Additional Funding Date of the Lender’s representations and warranties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all obligations, covenants and agreements of the Lender required to be performed at or prior to the applicable Additional Funding Date shall have been performed;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delivery by the Lender of the items set forth in Section 2.02(a) of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accuracy in all material respects (or, to the extent representations or warranties are qualified by materiality or Material Adverse Effect, in all respects) when made and on the applicable Additional Funding Date of the representations and warranties of the Company contained herein (unless as of a specific date therein in which case they shall be accurate as of such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all obligations, covenants and agreements of the Company and its Subsidiary Guarantors required to be performed at or prior to the applicable Funding Date shall have been performed;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delivery by the Company and its Subsidiary Guarantors of the items set forth in Section 2.02(b)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there shall not exist and Event of Default under any of the outstanding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there shall have been no Material Adverse Effect with respect to the Company or the Subsidiary Guarantors of the Company since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Company shall furnish the Lender with the wiring instruction for the applicable Additional Funding 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Lender on behalf of the Company and each of the Subsidiary Guarantors (together with the Company,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that, except as set forth in the applicable Section of the Company Disclosure Schedule the Company Disclosure Schedule, the following representations are true and complete as of the date of the date hereof.</w:t>
      </w:r>
    </w:p>
    <w:p>
      <w:pPr>
        <w:spacing w:after="0" w:line="176" w:lineRule="exact"/>
        <w:rPr>
          <w:sz w:val="20"/>
          <w:szCs w:val="20"/>
          <w:color w:val="auto"/>
        </w:rPr>
      </w:pPr>
    </w:p>
    <w:p>
      <w:pPr>
        <w:jc w:val="both"/>
        <w:ind w:firstLine="1304"/>
        <w:spacing w:after="0" w:line="251" w:lineRule="auto"/>
        <w:tabs>
          <w:tab w:leader="none" w:pos="15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the Subsidiary Guarantors are each duly incorporated or otherwise organized, validly existing and in good standing under the laws of their respective states of incorporation or formation, with the requisite power and authority to own and use its properties and assets and to carry on its business as currently conducted. The Company owns 100% of the outstanding Equity Interests in the Subsidiary Guarantors. Neither the Company nor the Subsidiary Guarantors is in violation or default of any of the provisions of its certificates of incorporation or bylaws, each, as amended and in effect. A complete and correct copy of the Company’s certificate of incorporation and bylaws, with respect to the Company, or certificate of formation and LLC agreement, with respect to the Subsidiary Guarantors, each as amended and in effect on the date of this Agreement and as they will be in effect on the Funding Date, is attached to the officer’s certificate referenced in Section 2.02(b) and Section 2.04(b). There are no other organizational or charter documents of the Company or the Subsidiary Guarantors. The Company and the Subsidiary Guarantors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or financial condition of the Company and the Subsidiary Guarantors taken as a whole; or (iii) a material adverse effect on the Company’s or the Subsidiary Guarantors’ ability to perform in any material respect on a timely basis its obligations under any Transaction Document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and no Proceeding has been instituted in any such jurisdiction revoking, limiting or curtailing or seeking to revoke, limit or curtail such power and authority or qualification;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“Material Adverse Effect” shall not include any event, occurrence, fact, condition or change, directly or indirectly, arising out of or attributable to: (i) general economic or political conditions, (ii) conditions generally affecting the industry in which the Company or the Subsidiary Guarantors operates, (iii) any changes in financial or securities markets in general, (iv) acts of war (whether or not declared), armed hostilities or terrorism, or the escalation or worsening thereof, (v) any pandemic, epidemics or human health crises (including COVID-19), (vi) any changes in applicable laws or accounting rules,</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3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pendency or completion of the transactions contemplated by the Transaction Documents, or (viii) any action required or permitted by the Transaction Documents or any action taken (or omitted to be taken) with the written consent of or at the written request of the Lender.</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Each of the Company and the Subsidiary Guarantors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the Subsidiary Guarantors and no further action is required by the Company, the Subsidiary Guarantors or the Board of Directors or stockholders thereof in connection therewith (other than the Required Approvals). Each Transaction Document to which the Company or the Subsidiary Guarantors is a party has been (or upon delivery will have been) duly executed by the Company and the Subsidiary Guarantors and, when delivered in accordance with the terms hereof and thereof, will constitute the valid and binding obligation of the Company and the Subsidiary Guarantors enforceable against the Company and the Subsidiary Guarantors in accordance with their respective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firstLine="1304"/>
        <w:spacing w:after="0" w:line="253"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and the Subsidiary Guarantors of the Transaction Documents to which it is (or is to be) a party and the consummation by the Company and of its Subsidiary of the other transactions contemplated hereby and thereby do not and will not: (i) conflict with or violate any provision of the Company’s or the Subsidiary Guarantors’ certificate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agreement or other instrument (evidencing Indebtedness of the Company or the Subsidiary Guarantors, or otherwise) or other understanding to which the Company or the Subsidiary Guarantors is a party or by which any property or asset of the Company or the Subsidiary Guarantors is bound or affected; or (iii) subject to the Required Approvals, conflict with or result in a violation of any law, rule, regulation, order, judgment, injunction, decree or other restriction of any court or governmental authority to which the Company or the Subsidiary Guarantors is subject (including federal and State Securities Laws and regulations), or by which any property or asset of the Company or the Subsidiary Guarantors is bound or affected; except in the case of each of clauses (ii) and (iii), such as would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and its Subsidiary are not required to obtain any consent, waiver, authorization or order of, give any notice to, or make any filing or registration with, any court or other federal, state, local or other governmental authority or other Person in connection with their execution, delivery and performance of the Transaction Documents, other than: (i) such consents, waivers, or authorizations as have been obtained before the Closing; and (ii) the filing of Form D with the Commission and such filings as are required to be made under applicable State Securities Laws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Section 3.01(f) of the Company Disclosure Schedule. The Company has no Indebtedness, except as otherwise disclosed in Section 3.01(f) of the Company Disclosure Schedule. Since May 27, 2025, the Company has not issued any Common Stock, Common Stock Equivalents or other equity interests (other than Exempt Issuances) or (without duplication) pursuant to the conversion and/or exercise of Common Stock Equivalents outstanding as of the date hereof. Except in instances where valid waivers have been obtained, no Person has any right of first refusal, preemptive right, right of participation, or any similar right to participate in the transactions contemplated by the Transaction Documents. Except as set forth in Section 3.01(f) of the Company Disclosure Schedule,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the capital stock of the Subsidiary Guarantors, or contracts, commitments, understandings or arrangements by which the Company or the Subsidiary Guarantors is or may become bound to issue additional Common Stock or Common Stock Equivalents or capital stock of the Subsidiary Guarantors. The issuance and sale of the Notes will not obligate the Company or the Subsidiary Guarantors to issue any securities to any Person (other than the Lender)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and waivers that have heretofore been obtained, no further approval or authorization of any stockholder, Board of Directors or other Person(s) is required for the issuance and sale of the Notes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1304"/>
        <w:spacing w:after="0" w:line="254"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The Company has no liability, indebtedness, obligation, expense, claim, deficiency or guaranty of any type, whether accrued, absolute, contingent, matured, unmatured or otherwise, required to be reflected in financial statements in accordance with GAAP, which individually or in the aggregate: (A) has not been reflected in the latest balance sheet included in the financial statements referenced hereinabove; or (B) has not arisen: (i) in the ordinary course of business, consistent with past practices, since the date of the latest balance sheet included in such financial statements in an amount that does not exceed $25,000 in any one case or $50,000 in the aggregate, (ii) pursuant to or in connection with this Agreement or other Transaction Document, or (c) are executory performance obligations to be performed after the date hereof in the ordinary course of business pursuant to agreement(s) entered into in the ordinary course of business, consistent with past practices. The Company is not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Since the date of the latest financial statements made available to Lender prior to the date hereof: (A) there has been no event, occurrence or development that has had or that could reasonably be expected to result in a Material Adverse Effect; (B) the Company has not incurred any liabilities (contingent or otherwise) other than (i) trade payables and accrued expenses incurred in the ordinary course of business consistent with past practice, and (ii) liabilities not required to be reflected in the Company’s financial statements pursuant to GAAP; (C) the Company has not altered their method of accounting; (D) the Company has not declared or made any dividend or distribution of cash or other property to its stockholders or purchased, redeemed or made any agreements to purchase or redeem any shares of its capital stock; and (E) the Company has not issued any equity securities except in favor of an officer, director or consultant pursuant to an existing Company equity incentive plans.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the Subsidiary Guarantors or any of their respective properties or assets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which: (A) adversely affects or challenges the legality, validity or enforceability of any of the Transaction Documents; or (ii) if there were an unfavorable decision, would reasonably be expected to result in a Material Adverse Effect. None of the Loan Parties or any director or officer thereof is or has been the subject of any Action involving: (x) a claim of breach of fiduciary duty; or (y) fraud (statutory or common law), embezzlement, misappropriation or conversion of property or rights, or any other crime involving deceit.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or the Subsidiary Guarantors which would reasonably be expected to result in a Material Adverse Effect. None of the Company’s or the Subsidiary Guarantors’ employees is a member of a union that relates to such employee’s relationship with the Company or its Subsidiary, and the Company and the Subsidiary Guarantors is not a party to any collective bargaining agreement. The Company believes that its relationships with its employees are good. No executive officer, to the knowledge of the Company,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to any liability with respect to any of the foregoing matters. To the best of the Company’s knowledge, it is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Except as disclosed set forth in Section 3.01(m) of the Company Disclosure Schedule, the Company and the Subsidiary</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(i) is neither in default under nor in violation of (and no event has occurred that has not been waived that, with notice or lapse of time or both, would result in a default by the Company or its Subsidiary under), nor has the Company or the Subsidiary Guarantors received notice of a claim that it is in default under or that it is in violation of, any indenture, loan or credit agreement (whether or not such default or violation has been waived); (ii) is not in violation of any order of any court, arbitrator or governmental body; and (iii) is not and has not been in material violation of any statute, law, rule or regulation of any governmental authority, including without limitation all foreign, federal, state and local laws applicable to its business and all such laws that affect the environment, except as would not, individually or in the aggregate,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left="-8" w:firstLine="1304"/>
        <w:spacing w:after="0" w:line="261" w:lineRule="auto"/>
        <w:tabs>
          <w:tab w:leader="none" w:pos="15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Subsidiary Guarantors possesses all certificates, authorizations and permits issued by the appropriate federal, state, local or foreign regulatory authorities necessary to conduct its business, except where the failure to possess such permits would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the Company has not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6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Subsidiary have good and marketable title in fee simple to all real property and good and marketable title in all personal property owned by it that, in each case, is material to the business of the Company and its Subsidiary, in each case free and clear of all Liens, except for Liens disclosed in Section 3.01(n) of the Company Disclosure Schedule that do not materially and adversely (x) affect the value of such property or (y) interfere with the use made and proposed to be made of such property by the Company and its Subsidiary. Any real property and facilities held under lease by the Company or a Subsidiary is held by it under valid, subsisting and enforceable leases with which the Company or such Subsidiary (as applicable) are in compliance except as disclosed in Schedule 3.1(n) of the Company Disclosure Schedule.</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154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Trademarks</w:t>
      </w:r>
      <w:r>
        <w:rPr>
          <w:rFonts w:ascii="Times New Roman" w:cs="Times New Roman" w:eastAsia="Times New Roman" w:hAnsi="Times New Roman"/>
          <w:sz w:val="18"/>
          <w:szCs w:val="18"/>
          <w:color w:val="auto"/>
        </w:rPr>
        <w:t xml:space="preserve">. (i) The Company or a Subsidiary thereof has, or has rights to use, all patents, patent applications, trademarks, trademark applications, service marks, trade names, trade secrets, inventions, copyrights, software, websites, licenses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other intellectual property rights and similar rights as necessary or material for use in connection with its business as presently conducted (collectively, the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written notice that any of the Intellectual Property Rights violates or infringes upon the intellectual property rights of any other Person; (iii) all Intellectual Property Rights are enforceable by the Company or its Subsidiary, and to the knowledge of the Company there is no existing infringement by any other Person of any of the Intellectual Property Rights, except where the failure to be so enforceable or for such infringements as would not, individually or in the aggregate, reasonably be expected to have a Material Adverse Effect; and (iv) the Company has taken reasonable security measures to protect the secrecy, confidentiality and value of all of its Intellectual Property Rights, except where failure to do so would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Officers, Directors and Employees</w:t>
      </w:r>
      <w:r>
        <w:rPr>
          <w:rFonts w:ascii="Times New Roman" w:cs="Times New Roman" w:eastAsia="Times New Roman" w:hAnsi="Times New Roman"/>
          <w:sz w:val="18"/>
          <w:szCs w:val="18"/>
          <w:color w:val="auto"/>
        </w:rPr>
        <w:t>. None of the officers or directors of the Company or the Subsidiary Guarantors and, to the knowledge of the Company, none of the employees of the Company or the Subsidiary Guarantors, is presently a party to any transaction with the Company (other than for services as employees, officers and directors and related party notes),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entity in which any such officer, director or employee has a substantial interest or is an officer, director, trustee, member or partner, in each case other than for: (x) payment of salary or fees for services rendered; (y) reimbursement for expenses incurred on behalf of the Company; and (z)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154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All Indebtedness owed by the Loan Parties to all other Persons disclosed in Section 3.01(g) and Section 3.01(r) of the Company Disclosure Schedule is unsecured.</w:t>
      </w:r>
    </w:p>
    <w:p>
      <w:pPr>
        <w:spacing w:after="0" w:line="161" w:lineRule="exact"/>
        <w:rPr>
          <w:rFonts w:ascii="Times New Roman" w:cs="Times New Roman" w:eastAsia="Times New Roman" w:hAnsi="Times New Roman"/>
          <w:sz w:val="18"/>
          <w:szCs w:val="18"/>
          <w:color w:val="auto"/>
        </w:rPr>
      </w:pPr>
    </w:p>
    <w:p>
      <w:pPr>
        <w:ind w:left="-8" w:firstLine="1304"/>
        <w:spacing w:after="0" w:line="282" w:lineRule="auto"/>
        <w:tabs>
          <w:tab w:leader="none" w:pos="15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Lender’s representations and warranties set forth in Section 3.02, no registration under the Securities Act is required for the offer and sale of the Notes by the Company to the Lender as contemplated hereby.</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5" w:name="page36"/>
    <w:bookmarkEnd w:id="35"/>
    <w:p>
      <w:pPr>
        <w:jc w:val="both"/>
        <w:ind w:firstLine="1304"/>
        <w:spacing w:after="0" w:line="266" w:lineRule="auto"/>
        <w:tabs>
          <w:tab w:leader="none" w:pos="15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Notes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(i) the material terms and conditions of the transactions contemplated by the Transaction Documents; and (ii) information given to the Lender, if any, which the Company hereby confirms will not constitute material non-public information, the Company confirms that neither it nor any other Person acting on its behalf has provided any of the Lender or </w:t>
      </w:r>
      <w:r>
        <w:rPr>
          <w:rFonts w:ascii="Times New Roman" w:cs="Times New Roman" w:eastAsia="Times New Roman" w:hAnsi="Times New Roman"/>
          <w:sz w:val="18"/>
          <w:szCs w:val="18"/>
          <w:u w:val="single" w:color="auto"/>
          <w:color w:val="auto"/>
        </w:rPr>
        <w:t>their</w:t>
      </w:r>
      <w:r>
        <w:rPr>
          <w:rFonts w:ascii="Times New Roman" w:cs="Times New Roman" w:eastAsia="Times New Roman" w:hAnsi="Times New Roman"/>
          <w:sz w:val="18"/>
          <w:szCs w:val="18"/>
          <w:color w:val="auto"/>
        </w:rPr>
        <w:t xml:space="preserve"> agents or counsel with any information that it believes constitutes or might constitute material, nonpublic information. The Company understands and confirms that the Lender will rely on the foregoing representation in effecting transactions in securities of the Company. All disclosure furnished by or on behalf of the Company to the Lender regarding the Company, its business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Lender’s representations and warranties set forth in Section 3.02, neither the Company, nor any of its Affiliates, nor any Person acting on its or their behalf has, directly or indirectly, made any offers or sales of any security or solicited any offers to buy any security, under circumstances that would cause this offering of the Notes to be integrated with prior offerings by the Company for purposes of the Securities Act which would require the registration of any such securities under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Company will not, after the Initial Funding Date, incur debts beyond its ability to pay such debts (including Permitted Indebtedness)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Initial Funding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as set forth in Section 3.01(w) of the Company Disclosure Schedule, the Company has filed all material federal, state and foreign income and franchise tax returns and has paid or accrued all material taxes shown as due thereon, and the Company has no knowledge of a material tax deficiency which has been asserted or threatened against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the Notes by any form of general solicitation or general advertising. The Company has offered the Notes for sale only to the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As set forth in Section 3.01(y) of the Company Disclosure Schedule, the Company and the Subsidiary Guarantors is insured by insurers of recognized financial responsibility against such losses and risks and in such amounts as management of the Company reasonably believes to be prudent and customary in the businesses in which the Company is engaged. The Company has never been refused any insurance coverage sought or applied for, and the Company has no reason to believe that it will not be able to renew all existing insurance coverage as and when such coverage expires or to obtain similar coverage from similar insurers.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Lender’s Purchase of the Notes</w:t>
      </w:r>
      <w:r>
        <w:rPr>
          <w:rFonts w:ascii="Times New Roman" w:cs="Times New Roman" w:eastAsia="Times New Roman" w:hAnsi="Times New Roman"/>
          <w:sz w:val="18"/>
          <w:szCs w:val="18"/>
          <w:color w:val="auto"/>
        </w:rPr>
        <w:t>. The Company acknowledges and agrees that the Lender is acting solely in the capacity of an arm’s length purchaser with respect to the Transaction Documents and the transactions contemplated thereby. The Company further acknowledges that Lender is not acting as a financial advisor or fiduciary of the Company (or in any similar capacity) with respect to the Transaction Documents and the transactions contemplated thereby and any advice given by Lender or any of its representatives or agents in connection with the Transaction Documents and the transactions contemplated thereby is merely incidental to the Lender’s purchase of the Notes. The Company further represents to the Lender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1304"/>
        <w:spacing w:after="0" w:line="254"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Notes to be offered and sold hereunder in reliance on Rule 506(b) under the Securities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hereunder, any beneficial owner of twenty percent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Lender a copy of any disclosures provided thereunder.</w:t>
      </w:r>
    </w:p>
    <w:p>
      <w:pPr>
        <w:spacing w:after="0" w:line="188" w:lineRule="exact"/>
        <w:rPr>
          <w:sz w:val="20"/>
          <w:szCs w:val="20"/>
          <w:color w:val="auto"/>
        </w:rPr>
      </w:pPr>
    </w:p>
    <w:p>
      <w:pPr>
        <w:ind w:firstLine="1304"/>
        <w:spacing w:after="0" w:line="282" w:lineRule="auto"/>
        <w:tabs>
          <w:tab w:leader="none" w:pos="1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Regulation D Securities.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Lender in writing, prior to the Funding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To the knowledge of the Company, neither the Company nor any agent or other person acting on behalf of</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to the Company’s knowledge, any director or executive officer of the Company is currently subject to any U.S. sanctions administered by the Office of Foreign Assets Control of the U.S. Treasury Department (“OFAC”).</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Lender’s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Affiliates is subject to the Bank Holding Company Act of 1956, as amended (“BHCA”) and to regulation by the Board of Governors of the Federal Reserve System (“Federal Reserve”). Neither the Company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with respect to the Money Laundering Laws is pending or, to the knowledge of the Company, threatened.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1304"/>
        <w:spacing w:after="0" w:line="255" w:lineRule="auto"/>
        <w:tabs>
          <w:tab w:leader="none" w:pos="16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representations and warranties of the Company contained in this Agreement, and the certificate(s) furnished or to be furnished to the Lender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Lender’s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the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Lender, for itself and for no other Person, hereby represents and warrants as of the date hereof and as of the Funding Date to the Company as follows (unless as of a specific date therein, in which case they shall be accurate as of such date):</w:t>
      </w:r>
    </w:p>
    <w:p>
      <w:pPr>
        <w:spacing w:after="0" w:line="162" w:lineRule="exact"/>
        <w:rPr>
          <w:sz w:val="20"/>
          <w:szCs w:val="20"/>
          <w:color w:val="auto"/>
        </w:rPr>
      </w:pPr>
    </w:p>
    <w:p>
      <w:pPr>
        <w:jc w:val="both"/>
        <w:ind w:firstLine="1304"/>
        <w:spacing w:after="0" w:line="253"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Organization</w:t>
      </w:r>
      <w:r>
        <w:rPr>
          <w:rFonts w:ascii="Times New Roman" w:cs="Times New Roman" w:eastAsia="Times New Roman" w:hAnsi="Times New Roman"/>
          <w:sz w:val="18"/>
          <w:szCs w:val="18"/>
          <w:color w:val="auto"/>
        </w:rPr>
        <w:t>. The Lender has full power and authority to enter into this Agreement and to perform all obligations required to be performed by it hereunder. The Lender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the Lender of the transactions contemplated by the Transaction Documents have been duly authorized by all necessary corporate or similar action on the part of the Lender. Each Transaction Document to which it is a party has been duly executed by the Lender, and when delivered by the Lender in accordance with the terms hereof, will constitute the valid and legally binding obligation of the Lender,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The Lender understands that the Notes, are “restricted securities” and have not been registered under the Securities Act or any applicable State Securities Law and is acquiring the Notes, as principal for its own account and not with a view to or for distributing or reselling such Notes, or any part thereof in violation of the Securities Act or any applicable State Securities Law, has no present intention of distributing any of such Notes, in violation of the Securities Act or any applicable State Securities Law and has no direct or indirect arrangement or understandings with any other persons to distribute or regarding the distribution of such the Notes (this representation and warranty not limiting the Lender’s right to sell the Notes, in compliance with applicable federal and State Securities Laws) in violation of the Securities Act or any applicable State Securities Law. The Lender is acquiring the Notes hereunder in the ordinary course of its business.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Non-Transferrable</w:t>
      </w:r>
      <w:r>
        <w:rPr>
          <w:rFonts w:ascii="Times New Roman" w:cs="Times New Roman" w:eastAsia="Times New Roman" w:hAnsi="Times New Roman"/>
          <w:sz w:val="18"/>
          <w:szCs w:val="18"/>
          <w:color w:val="auto"/>
        </w:rPr>
        <w:t>. The Lender agrees: (i) that the Lender will not sell, assign, pledge, give, transfer or otherwise dispose of the Notes or any interest therein, or make any offer or attempt to do any of the foregoing, except in a private transaction which is exempt from the registration provisions of the Securities Act and all applicable State Securities Laws, (ii) that the certificates representing the Notes will bear a legend making reference to the foregoing restrictions, and (iii) that the Company and its Affiliates shall not be required to give effect to any purported transfer of such the Notes, except upon compliance with the foregoing restrictions.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Status</w:t>
      </w:r>
      <w:r>
        <w:rPr>
          <w:rFonts w:ascii="Times New Roman" w:cs="Times New Roman" w:eastAsia="Times New Roman" w:hAnsi="Times New Roman"/>
          <w:sz w:val="18"/>
          <w:szCs w:val="18"/>
          <w:color w:val="auto"/>
        </w:rPr>
        <w:t>. The Lender is an “accredited investor” as defined in Rule 501(a) under Regulation D of the Securities Act. The undersigned agrees to furnish any additional information requested by the Company or any of its Affiliates to assure compliance with applicable U.S. federal and state securities laws in connection with the purchase and sale of the Notes. Any information that has been furnished or that will be furnished by the undersigned to evidence its status as an accredited investor is accurate and complete, and does not contain any misrepresentation or material omission.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1304"/>
        <w:spacing w:after="0" w:line="261"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The Lender</w:t>
      </w:r>
      <w:r>
        <w:rPr>
          <w:rFonts w:ascii="Times New Roman" w:cs="Times New Roman" w:eastAsia="Times New Roman" w:hAnsi="Times New Roman"/>
          <w:sz w:val="18"/>
          <w:szCs w:val="18"/>
          <w:color w:val="auto"/>
        </w:rPr>
        <w:t>. The Lender, either alone or together with its representatives, has such knowledge, sophistication, and experience in business and financial matters so as to be capable of evaluating the merits and risks of the prospective investment in the Notes, and has so evaluated the merits and risks of such investment. The Lender is able to bear the economic risk of an investment in the Notes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Trading Market</w:t>
      </w:r>
      <w:r>
        <w:rPr>
          <w:rFonts w:ascii="Times New Roman" w:cs="Times New Roman" w:eastAsia="Times New Roman" w:hAnsi="Times New Roman"/>
          <w:sz w:val="18"/>
          <w:szCs w:val="18"/>
          <w:color w:val="auto"/>
        </w:rPr>
        <w:t>. The Lender acknowledges that there is currently no trading market for the Notes and that none is expected to develop for the Notes.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Lender acknowledges that neither the Company nor any other person offered to sell the Notes to it by means of any form of general solicitation or advertising, including, but not limited to: (i) any advertisement, article, notice, or other communication published in any newspaper, magazine or similar media or broadcast over television or radio, or (ii) any seminar or meeting whose attendees were invited by any general solicitation or general advertising.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Other than to other Persons party to this Agreement and its advisors who have agreed to keep information confidential or have a fiduciary obligation to keep such information confidential, the Lender has maintained the confidentiality of all disclosures made to it in connection with the transaction (including the existence and terms of this transaction).</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The Lender is a United States person and not a foreign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from Company</w:t>
      </w:r>
      <w:r>
        <w:rPr>
          <w:rFonts w:ascii="Times New Roman" w:cs="Times New Roman" w:eastAsia="Times New Roman" w:hAnsi="Times New Roman"/>
          <w:sz w:val="18"/>
          <w:szCs w:val="18"/>
          <w:color w:val="auto"/>
        </w:rPr>
        <w:t>. The Lender and its investment managers, if any, have been afforded the opportunity to obtain any information necessary to verify the accuracy of any representations or information presented by the Company in this Agreement and have had all inquiries to the Company answered, and have been furnished all requested materials, relating to the Company and the Offering and sale of the Notes and anything set forth in the Transaction Documents. Neither the Lender nor the Lender’s investment managers, if any, have been furnished any offering literature by the Company or any of its Affiliates, associates, or agents other than the Transaction Documents, and the agreements referenced therein.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Speculative Nature of Investment;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LENDER UNDERSTANDS THAT AN INVESTMENT IN THE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INVOLVES A HIGH DEGREE OF RISK. </w:t>
      </w:r>
      <w:r>
        <w:rPr>
          <w:rFonts w:ascii="Times New Roman" w:cs="Times New Roman" w:eastAsia="Times New Roman" w:hAnsi="Times New Roman"/>
          <w:sz w:val="18"/>
          <w:szCs w:val="18"/>
          <w:color w:val="auto"/>
        </w:rPr>
        <w:t>The Lender acknowledges that: (i) any projections, forecasts or estimates as may have been provided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are purely speculative and cannot be relied upon to indicate actual results that may be obtained through this investment; any such projections, forecasts and estimates are based upon assumptions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and (iii) the Lender has been advised to consult with his own advisor regarding legal matters and tax consequences involving this investment. The Lender represents that the Lender’s investment objective is speculative in that the Lender seeks the maximum total return through an investment in a broad spectrum of securities, which involves a higher degree of risk than other investment styles and therefore the Lender’s risk exposure is also speculative. The Notes offered hereby is highly speculative and involves a high degree of risk and Lender should only purchase these securities if Lender can afford to lose its entire investment.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1304"/>
        <w:spacing w:after="0" w:line="266" w:lineRule="auto"/>
        <w:tabs>
          <w:tab w:leader="none" w:pos="15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Lender are and have been conducted at all times in compliance with the Money Laundering Laws, and no Action or Proceeding by or before any court or governmental agency, authority or body or any arbitrator involving the Lender with respect to the Money Laundering Laws is pending or, to the knowledge of the Lender, threatened.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Section 3.02 shall not modify, amend or affect the Lender’s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Affirmative and Negative Covenants</w:t>
      </w:r>
      <w:r>
        <w:rPr>
          <w:rFonts w:ascii="Times New Roman" w:cs="Times New Roman" w:eastAsia="Times New Roman" w:hAnsi="Times New Roman"/>
          <w:sz w:val="18"/>
          <w:szCs w:val="18"/>
          <w:color w:val="auto"/>
        </w:rPr>
        <w:t>. Each of the Loan Parties hereby covenants and agrees that until all obligations owed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have been paid in full, without the prior written approval of the Lender:</w:t>
      </w:r>
    </w:p>
    <w:p>
      <w:pPr>
        <w:spacing w:after="0" w:line="207" w:lineRule="exact"/>
        <w:rPr>
          <w:sz w:val="20"/>
          <w:szCs w:val="20"/>
          <w:color w:val="auto"/>
        </w:rPr>
      </w:pPr>
    </w:p>
    <w:p>
      <w:pPr>
        <w:jc w:val="both"/>
        <w:ind w:firstLine="1304"/>
        <w:spacing w:after="0" w:line="261" w:lineRule="auto"/>
        <w:tabs>
          <w:tab w:leader="none" w:pos="15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not incur any Indebtedness, other than Permitted Indebtedness or as otherwise expressly permitted by this Agreement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unless the net proceeds to the Company of such Additional Indebtedness shall be used to prepay 100% of the then Outstanding Principal Amount of the Notes (including any Default Amount and accrued interest thereon), or such Additional Indebtedness shall be approved in advance by the Lender;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not engage in the public or private sale of any securities, including convertible and non-convertible notes or debentures, Common Stock or Common Stock Equivalents, except as otherwise expressly permitted in this Agreement, the Notes or other Transaction Documents, unless 100% of the net proceeds to the Loan Parties from such sale are used to repay the then Outstanding Principal Amount of the Notes (including any Default Amount and accrued interest thereon)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of Indebtedness shall be paid to any Affiliate, other than payments of deferred compensation to members of the board of directors and employees of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not permit any Person to have a Lien of any of the assets of any of the Loan Parties, except for Permitted Liens (as defined in the Security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comply with all of the additional affirmative and negative covenants set forth in the Notes, the Security Agreement and the New Circle Payment Direction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Lender agrees to the imprinting of a legend on any of the Notes, in the following form:</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THIS 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Use of Proceeds; Restrictions on Certain Payments</w:t>
      </w:r>
      <w:r>
        <w:rPr>
          <w:rFonts w:ascii="Times New Roman" w:cs="Times New Roman" w:eastAsia="Times New Roman" w:hAnsi="Times New Roman"/>
          <w:sz w:val="18"/>
          <w:szCs w:val="18"/>
          <w:color w:val="auto"/>
        </w:rPr>
        <w:t>. The Company shall use the net proceeds hereunder for general working capital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Future Subsidiary</w:t>
      </w:r>
      <w:r>
        <w:rPr>
          <w:rFonts w:ascii="Times New Roman" w:cs="Times New Roman" w:eastAsia="Times New Roman" w:hAnsi="Times New Roman"/>
          <w:sz w:val="18"/>
          <w:szCs w:val="18"/>
          <w:color w:val="auto"/>
        </w:rPr>
        <w:t>. Any direct or indirect Subsidiary of the Company (or the existing Company Subsidiary) formed or acquired after the Funding Date and before the Notes shall have been repaid in full shall promptly thereafter execute and deliver (or otherwise join and agreed to be bound as a Subsidiary of the Company under) the Subsidiary Guarantors Guaranty and the Security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Equity Line of Credit</w:t>
      </w:r>
      <w:r>
        <w:rPr>
          <w:rFonts w:ascii="Times New Roman" w:cs="Times New Roman" w:eastAsia="Times New Roman" w:hAnsi="Times New Roman"/>
          <w:sz w:val="18"/>
          <w:szCs w:val="18"/>
          <w:color w:val="auto"/>
        </w:rPr>
        <w:t>. The Borrower shall draw down funds from its equity line of credit (the “</w:t>
      </w:r>
      <w:r>
        <w:rPr>
          <w:rFonts w:ascii="Times New Roman" w:cs="Times New Roman" w:eastAsia="Times New Roman" w:hAnsi="Times New Roman"/>
          <w:sz w:val="18"/>
          <w:szCs w:val="18"/>
          <w:u w:val="single" w:color="auto"/>
          <w:color w:val="auto"/>
        </w:rPr>
        <w:t>ELOC</w:t>
      </w:r>
      <w:r>
        <w:rPr>
          <w:rFonts w:ascii="Times New Roman" w:cs="Times New Roman" w:eastAsia="Times New Roman" w:hAnsi="Times New Roman"/>
          <w:sz w:val="18"/>
          <w:szCs w:val="18"/>
          <w:color w:val="auto"/>
        </w:rPr>
        <w:t>”) with New Circle Principal Investments, LLC (“</w:t>
      </w:r>
      <w:r>
        <w:rPr>
          <w:rFonts w:ascii="Times New Roman" w:cs="Times New Roman" w:eastAsia="Times New Roman" w:hAnsi="Times New Roman"/>
          <w:sz w:val="18"/>
          <w:szCs w:val="18"/>
          <w:u w:val="single" w:color="auto"/>
          <w:color w:val="auto"/>
        </w:rPr>
        <w:t>New Circle</w:t>
      </w:r>
      <w:r>
        <w:rPr>
          <w:rFonts w:ascii="Times New Roman" w:cs="Times New Roman" w:eastAsia="Times New Roman" w:hAnsi="Times New Roman"/>
          <w:sz w:val="18"/>
          <w:szCs w:val="18"/>
          <w:color w:val="auto"/>
        </w:rPr>
        <w:t>”) pursuant to a Share Purchase Agreement between New Circle and the Company dated June 18, 2025 (the “</w:t>
      </w:r>
      <w:r>
        <w:rPr>
          <w:rFonts w:ascii="Times New Roman" w:cs="Times New Roman" w:eastAsia="Times New Roman" w:hAnsi="Times New Roman"/>
          <w:sz w:val="18"/>
          <w:szCs w:val="18"/>
          <w:u w:val="single" w:color="auto"/>
          <w:color w:val="auto"/>
        </w:rPr>
        <w:t>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pay the Monthly Minimum Installment Payments under the Notes. New Circle shall remit Eighty Percent (80%) of all ELOC proceeds to the Lender to satisfy the Monthly Minimum Installment Payments under the Notes, with Twenty Percent (20%) of the ELOC proceeds to be retained by the Borrower. Payment will be remitted to the Lender within three (3) business days following each occasion that the Borrower shall draw down funds under on the ELOC. On the last business day of the month, the Borrower shall pay to the Lender in cash the difference between the ELOC draw down remittances paid to the Lender and the Monthly Minimum Installment Payments then due.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Notes to the Lender in a manner that would require the registration under the Securities Act of the issuance and sale of the Notes to the Lender.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and the Lender shall consult with each other in issuing any other press releases with respect to the transactions contemplated hereby, and neither the Company nor the Lender shall issue any such press release or otherwise make any such public statement without the prior consent of the Company with respect to any press release of the Lender, or without the prior consent of the Lender with respect to any press release of the Company mentioning the Lender, which consent shall not unreasonably be withheld or delayed, except if such disclosure is required by law, in which case the disclosing party shall promptly provide the other party with prior notice of such public statement, or communication. The Company will publish a press release announcing this transaction approved by the Lender within 4 Business Days following the Funding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Indemnification of Lender</w:t>
      </w:r>
      <w:r>
        <w:rPr>
          <w:rFonts w:ascii="Times New Roman" w:cs="Times New Roman" w:eastAsia="Times New Roman" w:hAnsi="Times New Roman"/>
          <w:sz w:val="18"/>
          <w:szCs w:val="18"/>
          <w:color w:val="auto"/>
        </w:rPr>
        <w:t>. The Company shall indemnify, reimburse and hold harmless the Lender and its partners, members, shareholders, officers, directors, employees and agents (and any other persons with other titles that have similar functions) (collectively,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Indemnification of Lender</w:t>
      </w:r>
      <w:r>
        <w:rPr>
          <w:rFonts w:ascii="Times New Roman" w:cs="Times New Roman" w:eastAsia="Times New Roman" w:hAnsi="Times New Roman"/>
          <w:sz w:val="18"/>
          <w:szCs w:val="18"/>
          <w:color w:val="auto"/>
        </w:rPr>
        <w:t>. The Company shall indemnify, reimburse and hold harmless the Lender and its partners, members, shareholders, officers, directors, employees and agents (and any other persons with other titles that have similar functions) (collectively,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the Lender by written notice to the Company if the Closing has not been consummated on or before the 3rd Business Day after the date of the execution and delivery of this Agreement by both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 will not affect the right of any party to sue for any breach by the other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Company shall bear the expenses of the Company and the Lender incurred in connection with the negotiation, preparation, execution, delivery and performance of the Transaction Documents, including, without limitation, reasonable attorneys’ and consultants’ fees and expenses (including fees to Lender’s counsel), fees relating to any amendments or modifications of the Transaction Documents or any consents or waivers of provisions in the Transaction Documents, fees for the preparation of opinions of counsel, escrow fees, and costs of restructuring the transactions contemplated by the Transaction Documents. When possible, the Company must pay these fees directly, including, but not limited to, any and all wire fees, otherwise the Company must make immediate payment for reimbursement to the Lender for all fees and expenses immediately upon written notice by the Lender or the submission of an invoice by the Lender. In addition, the Company shall pay the origination fee to the Lender as specified hereinabove.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to the others shall be in writing and delivered personally or sent by registered or certified mail, postage prepaid, or by or email:</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if to Lender: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Astor &amp; Co.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S Rio Grande Street, #2072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Salt Lake City, Utah 84101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Michael Pope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 *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with a copy to:</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Barton, LLP</w:t>
      </w:r>
    </w:p>
    <w:p>
      <w:pPr>
        <w:ind w:left="660"/>
        <w:spacing w:after="0" w:line="192" w:lineRule="auto"/>
        <w:rPr>
          <w:sz w:val="20"/>
          <w:szCs w:val="20"/>
          <w:color w:val="auto"/>
        </w:rPr>
      </w:pPr>
      <w:r>
        <w:rPr>
          <w:rFonts w:ascii="Times New Roman" w:cs="Times New Roman" w:eastAsia="Times New Roman" w:hAnsi="Times New Roman"/>
          <w:sz w:val="18"/>
          <w:szCs w:val="18"/>
          <w:color w:val="auto"/>
        </w:rPr>
        <w:t>711 Third Avenue,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Stephen A. Weiss, Esq.</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if to the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5661 S Cameron St, STE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NV 89118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Charles Maddox</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1201 W. Peachtree Street, Suite 2800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Gerry L. Williams,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persons or addresses as may be designated in writing by the party to receive such notice as provided above.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Lender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Lender (other than by merger). The Lender may assign any or all of its rights under this Agreement to any Person to whom the Lender assigns or transfers the Notes, and/or participate any of such rights in connection with granting of any participation of the Notes, provided that such transfer or participation complies with all applicable federal and State Securities Laws and that any such transferee or participant agrees in writing by the provisions of the Transaction Documents that apply to the Lender.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Arbitration and 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6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In the event and to the extent that a claim or dispute arises out of, or in relation to this Agreement or any other Transaction Document, including without limitation, the terms, construction, interpretation, performance, termination, breach, or enforceability of this Agreement or such Transaction Document(s), the Parties hereby each agree that the claim or dispute shall be, at the election of any Party within thirty (30) days after the claim or dispute arises, resolved by mandatory binding arbitration in Utah, except that Lender may, at its election, maintain any action for equitable relief in the Third Judicial District, Salt Lake County, Utah, including seeking the appointment of a receiver, judicial foreclosure, an accounting of Collateral, restraining orders or injunctions or other equitable relief without a right to compel arbitration by the Company or the Subsidiary Guarantors Guarantor. To the extent that an arbitration occurs, the Parties agree that the arbitration shall be administered by JAMS and the arbitration shall be conducted in accordance with the Expedited Procedures of the JAMS Comprehensive Arbitration Rules and Procedures except as otherwise agreed in this Agreement. The arbitrator shall be chosen in accordance with the procedures of JAMS, and shall base the award on applicable Utah law, and in connection therewith each of the Loan Parties hereby expressly waive any right to seek an exemption from Utah law based on any public policies or principles of any other State. The Parties agree that the arbitration shall be conducted before a single arbitrator. Judgment on the award may be entered in any federal or state court in the State of Utah and in the federal courts of any other State. The Parties further agree that the costs of the arbitration shall be divided equally between the Company and the Lender until a prevailing Party is determined, at which time the non-prevailing Party shall be charged the prevailing Party’s share of the arbitration fees. Each Party may pursue arbitration solely in an individual capacity, and not as a representative or class member in any purported class or representative proceeding. The arbitrator may not consolidate more than one Person’s claims, and may not otherwise preside over any form of a representative or class proceeding. This arbitration section is governed by the Federal Arbitration Act, 9 U.S.C. §§ 1-16.</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including, without limitation, the enforcement of any award by the arbitrator, shall be governed by and construed and enforced in accordance with the internal laws of the State of Utah,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that is not initially submitted to arbitration in accordance with Section 5.08(a) above, shall be commenced exclusively in the federal and state courts sitting in Salt Lake County, Salt Lake City, Utah (the “</w:t>
      </w:r>
      <w:r>
        <w:rPr>
          <w:rFonts w:ascii="Times New Roman" w:cs="Times New Roman" w:eastAsia="Times New Roman" w:hAnsi="Times New Roman"/>
          <w:sz w:val="18"/>
          <w:szCs w:val="18"/>
          <w:b w:val="1"/>
          <w:bCs w:val="1"/>
          <w:color w:val="auto"/>
        </w:rPr>
        <w:t>Utah Courts</w:t>
      </w:r>
      <w:r>
        <w:rPr>
          <w:rFonts w:ascii="Times New Roman" w:cs="Times New Roman" w:eastAsia="Times New Roman" w:hAnsi="Times New Roman"/>
          <w:sz w:val="18"/>
          <w:szCs w:val="18"/>
          <w:color w:val="auto"/>
        </w:rPr>
        <w:t>”). Each Party hereto hereby irrevocably submits to the exclusive jurisdiction of the Utah Courts for the enforcement of any arbitration award or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Utah Courts, or that such Utah Courts are improper or inconvenient venue for such proceeding or that such Party may obtain an exemption from Utah law based on any public policies or principles of any other State or jurisdiction.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the Transaction Documents or the transactions contemplated hereby. If any Party shall commence an Action or Proceeding to enforce any provisions of the Transaction Documents, then the prevailing Party in such Action or Proceeding shall be reimbursed by the other Party for its attorney’s fees and other costs and expenses incurred in the investigation, preparation and prosecution of such Action or Proceeding.</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Lender exercises a right, election, demand or option under a Transaction Document and the Company does not timely perform its related obligations within the periods therein provided, then the Lender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Replacement of the Notes</w:t>
      </w:r>
      <w:r>
        <w:rPr>
          <w:rFonts w:ascii="Times New Roman" w:cs="Times New Roman" w:eastAsia="Times New Roman" w:hAnsi="Times New Roman"/>
          <w:sz w:val="18"/>
          <w:szCs w:val="18"/>
          <w:color w:val="auto"/>
        </w:rPr>
        <w:t>. If any certificate or instrument evidencing the Notes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the Notes.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Lender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the Lender pursuant to any Transaction Document or the Lender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Loan Agreement to be duly executed by their respective authorized signatories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below.</w:t>
      </w:r>
    </w:p>
    <w:p>
      <w:pPr>
        <w:spacing w:after="0" w:line="1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u w:val="single" w:color="auto"/>
          <w:color w:val="auto"/>
        </w:rPr>
        <w:t>Lender</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J.J. ASTOR &amp;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Michael Pope</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Senior Secured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THIS SECURITY.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Date: December 4, 2025</w:t>
            </w:r>
          </w:p>
        </w:tc>
        <w:tc>
          <w:tcPr>
            <w:tcW w:w="4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Funding Amount</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1,840,000</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Final Maturity Date: November 30, 2026</w:t>
            </w:r>
          </w:p>
        </w:tc>
        <w:tc>
          <w:tcPr>
            <w:tcW w:w="45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Original Principal Amount: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2,600,000</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SECURED CONVERTIBLE NOTE</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SENIOR SECURED CONVERTIBLE NOTE is a duly authorized and validly issued promissory note of </w:t>
      </w:r>
      <w:r>
        <w:rPr>
          <w:rFonts w:ascii="Times New Roman" w:cs="Times New Roman" w:eastAsia="Times New Roman" w:hAnsi="Times New Roman"/>
          <w:sz w:val="18"/>
          <w:szCs w:val="18"/>
          <w:b w:val="1"/>
          <w:bCs w:val="1"/>
          <w:color w:val="auto"/>
        </w:rPr>
        <w:t>CID Holdco,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VALUE RECEIVED, the Company promises to pay to the order of </w:t>
      </w:r>
      <w:r>
        <w:rPr>
          <w:rFonts w:ascii="Times New Roman" w:cs="Times New Roman" w:eastAsia="Times New Roman" w:hAnsi="Times New Roman"/>
          <w:sz w:val="18"/>
          <w:szCs w:val="18"/>
          <w:b w:val="1"/>
          <w:bCs w:val="1"/>
          <w:color w:val="auto"/>
        </w:rPr>
        <w:t>J.J. Astor &amp; Co.</w:t>
      </w:r>
      <w:r>
        <w:rPr>
          <w:rFonts w:ascii="Times New Roman" w:cs="Times New Roman" w:eastAsia="Times New Roman" w:hAnsi="Times New Roman"/>
          <w:sz w:val="18"/>
          <w:szCs w:val="18"/>
          <w:color w:val="auto"/>
        </w:rPr>
        <w:t>, a Utah corporation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any other subsequent holder of this Note (together with the Lender,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Original Principal Amount of this Note as set forth above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in twelve (12) month installments of which (a) the monthly installment payable on December 31, 2025 shall be in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$108,334 and (b) the remaining monthly installments shall be in the amount of $226,515.18 each (the “</w:t>
      </w:r>
      <w:r>
        <w:rPr>
          <w:rFonts w:ascii="Times New Roman" w:cs="Times New Roman" w:eastAsia="Times New Roman" w:hAnsi="Times New Roman"/>
          <w:sz w:val="18"/>
          <w:szCs w:val="18"/>
          <w:b w:val="1"/>
          <w:bCs w:val="1"/>
          <w:color w:val="auto"/>
        </w:rPr>
        <w:t>Monthly Installment Payments</w:t>
      </w:r>
      <w:r>
        <w:rPr>
          <w:rFonts w:ascii="Times New Roman" w:cs="Times New Roman" w:eastAsia="Times New Roman" w:hAnsi="Times New Roman"/>
          <w:sz w:val="18"/>
          <w:szCs w:val="18"/>
          <w:color w:val="auto"/>
        </w:rPr>
        <w:t>”) commencing on January 31, 2026 and thereafter on the same day of each of the next succeeding eleven (11) months until the Final Maturity Date as set forth above, or such earlier date as this Note is required or permitted to be repaid as provided hereunder (as the case may be,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This Note is subject to the following additional provisions: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This is the Initial Note, as defined in the Loan Agreement. For the purposes hereof, in addition to the terms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elsewhere in this Note: (a) capitalized terms not otherwise defined herein shall have the meanings set forth in the Loan Agreement, and (b) the following terms shall have the following meanings:</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any of the following events: (a) the Company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Company or any Significant Subsidiary thereof, (b) there is commenced against the Company or any Significant Subsidiary thereof any such case or proceeding that is not dismissed within 60 days after commencement, (c) the Company or any Significant Subsidiary thereof is adjudicated insolvent or bankrupt or any order of relief or other order approving any such case or proceeding is entered, (d) the Company or any Significant Subsidiary thereof suffers any appointment of any custodian or the like for it or any substantial part of its property that is not discharged or stayed within 60 calendar days after such appointment, (e) the Company or any Significant Subsidiary thereof makes a general assignment for the benefit of creditors, (f) the Company or any Significant Subsidiary thereof calls a meeting of its creditors with a view to arranging a composition, adjustment or restructuring of its debts, (g) the Company or any Significant Subsidiary thereof admits in any legal proceeding that it is generally unable to pay its debts as they become due, (h) the Company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50% of the voting securities of the Company (other than by means of conversion of Note), (b) the Company or its Subsidiaries merges into or consolidates with any other Person, or any Person merges into or consolidates with the Company or its significant Subsidiaries and, after giving effect to such transaction, the stockholders of the Company immediately prior to such transaction own less than 50% of the aggregate voting power of the Company or the successor entity of such transaction or less than 50% of the equity of its significant Subsidiaries, (c) the Company sells or transfers all or substantially all of its assets or the assets of its Subsidiaries to another Person and the stockholders of the Company immediately prior to such transaction own less than 50% of the aggregate voting power of the acquiring entity immediately after the transaction, or (d) the execution by the Company of an agreement to which the Company is a party or by which it is bound, providing for any of the events set forth in clauses (a) through (d) above.</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shall have the meanings as those terms are defined in the Loan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Confession of Judgment Affidavit</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with respect to any Loan Party any obligation of such Loan Party guaranteeing or intended to guarantee any Indebtedness (“primary obligations”) of any other Person (the “primary obligor”) in any manner, whether directly or indirectly, including, without limitation, (a) the direct or indirect guaranty, endorsement (other than for collection or deposit in the ordinary course of business), co-making, discounting with recourse or sale with recourse by such Loan Party of the obligation of a primary obligor, (b) the obligation to make take-or-pay or similar payments, if required, regardless of nonperformance by any other party or parties to an agreement, and (c) any obligation of such Loan Party, whether or not contingent, (i) to purchase any such primary obligation or any property constituting direct or indirect security therefor,</w:t>
      </w:r>
    </w:p>
    <w:p>
      <w:pPr>
        <w:spacing w:after="0" w:line="5" w:lineRule="exact"/>
        <w:rPr>
          <w:sz w:val="20"/>
          <w:szCs w:val="20"/>
          <w:color w:val="auto"/>
        </w:rPr>
      </w:pPr>
    </w:p>
    <w:p>
      <w:pPr>
        <w:jc w:val="both"/>
        <w:ind w:left="4" w:hanging="4"/>
        <w:spacing w:after="0" w:line="251" w:lineRule="auto"/>
        <w:tabs>
          <w:tab w:leader="none" w:pos="2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“Contingent Obligation” shall not include any product warranties extended in the ordinary course of business.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with respect thereto (assuming such Loan Party is required to perform thereunder), as determined by such Loan Party in good faith.</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9" w:name="page50"/>
    <w:bookmarkEnd w:id="4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Amount</w:t>
      </w:r>
      <w:r>
        <w:rPr>
          <w:rFonts w:ascii="Times New Roman" w:cs="Times New Roman" w:eastAsia="Times New Roman" w:hAnsi="Times New Roman"/>
          <w:sz w:val="18"/>
          <w:szCs w:val="18"/>
          <w:color w:val="auto"/>
        </w:rPr>
        <w:t xml:space="preserve">” means, with respect to the Note,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(1) the amount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(x) the Outstanding Principal Amount of this Note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120% (the “</w:t>
      </w:r>
      <w:r>
        <w:rPr>
          <w:rFonts w:ascii="Times New Roman" w:cs="Times New Roman" w:eastAsia="Times New Roman" w:hAnsi="Times New Roman"/>
          <w:sz w:val="18"/>
          <w:szCs w:val="18"/>
          <w:u w:val="single" w:color="auto"/>
          <w:color w:val="auto"/>
        </w:rPr>
        <w:t>Default Principal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default interest on such Default Principal Amount at the rate of 19% per annum, compounded monthly, and all other amounts, costs, expenses, and liquidated damages due under or in respect of this Note, if any.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ELOC</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Receipts</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 respect to any Person, without duplication, (a) all indebtedness of such Person for borrowed money; (b) all obligations of such Person for the deferred purchase price of property or services (other than trade payables and accrued expenses or other accounts payable incurred in the ordinary course of such Person’s business); (c) all obligations of such Person evidenced by bonds, debentures, notes or other similar instruments or upon which interest payments are customarily made;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 other than obligations and liabilities that are cash collateralized on terms reasonably satisfactory to the required lenders; (g) all net obligations and liabilities, calculated on a basis reasonably satisfactory to the Lender and in accordance with accepted practice, of such Person under Hedging Agreements; (h) all monetary obligations under any receivables factoring, receivable sales or similar transactions and all monetary obligations under any synthetic lease, tax ownership/operating lease, off-balance sheet financing or similar financing; (i) all Contingent Obligations; and (j) all obligations referred to in clauses (a) through (i) of this definition of another Person secured by (or for which the holder of such Indebtedness has an existing right, contingent or otherwise, to be secured by) a Lien upon property owned by such Person, even though such Person has not assumed or become liable for the payment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recourse in respect of any Indebtedness of the foregoing is limited to specific assets, then such Indebtedness shall be deemed to be equal to the lesser of (x) the aggregate unpaid amount of such Indebtedness and (y) the fair market value of the asset encumbered thereby as determined by such Person in good faith;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Indebtedness shall not include (i) purchase price holdbacks arising in the ordinary course of business in respect of a portion of the purchase price of an asset to satisfy warranties or other unperformed obligations of the seller of such asset, (ii) endorsements of checks or drafts arising in the ordinary course of business, (iii) preferred Equity Interests to the extent not constituting Disqualified Equity Interests and (iv) any earnout or similar purchase price obligation until such obligation is required to be reflected on the balance sheet of such Person in accordance with GAAP. The Indebtedness of any Person shall include the Indebtedness of any partnership of or joint venture in which such Person is a general partner or a joint venturer, so long as, in the case of a joint venture, such Indebtedness is recourse to any Loan Party. For the avoidance of doubt, “Indebtedness” shall exclude operating leases.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means the Loan Agreement, dated as of December 1, 2025 by and among the Company and the Lender, as the original Holder of the Note, as amended, modified, or supplemented from time to time in accordance with its terms.</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5"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the earlier to occur of (a) the occurrence of an Event of Default, or (b) November 30, 2026, being twelve (12) months after the Initial Funding Date.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Monthly Installment Payment</w:t>
      </w:r>
      <w:r>
        <w:rPr>
          <w:rFonts w:ascii="Times New Roman" w:cs="Times New Roman" w:eastAsia="Times New Roman" w:hAnsi="Times New Roman"/>
          <w:sz w:val="18"/>
          <w:szCs w:val="18"/>
          <w:color w:val="auto"/>
        </w:rPr>
        <w:t>” has the meaning set forth in Section 2(a).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Circle</w:t>
      </w:r>
      <w:r>
        <w:rPr>
          <w:rFonts w:ascii="Times New Roman" w:cs="Times New Roman" w:eastAsia="Times New Roman" w:hAnsi="Times New Roman"/>
          <w:sz w:val="18"/>
          <w:szCs w:val="18"/>
          <w:color w:val="auto"/>
        </w:rPr>
        <w:t>” means New Circle Principal Investments, LLC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Circle Payment Direction Agreement</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this Note, regardless of any transfers of any Note and regardless of the number of instruments which may be issued to evidence such Note.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Principal Amount</w:t>
      </w:r>
      <w:r>
        <w:rPr>
          <w:rFonts w:ascii="Times New Roman" w:cs="Times New Roman" w:eastAsia="Times New Roman" w:hAnsi="Times New Roman"/>
          <w:sz w:val="18"/>
          <w:szCs w:val="18"/>
          <w:color w:val="auto"/>
        </w:rPr>
        <w:t>” means $2,600,000 as set forth on the first page of this Note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Principal Amount</w:t>
      </w:r>
      <w:r>
        <w:rPr>
          <w:rFonts w:ascii="Times New Roman" w:cs="Times New Roman" w:eastAsia="Times New Roman" w:hAnsi="Times New Roman"/>
          <w:sz w:val="18"/>
          <w:szCs w:val="18"/>
          <w:color w:val="auto"/>
        </w:rPr>
        <w:t>” means at any point in time the Original Principal Amount less all Minimum Monthly Installment Payments made or any prepayment(s) of this Note, including any Prepayment Discount, if any.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Amount</w:t>
      </w:r>
      <w:r>
        <w:rPr>
          <w:rFonts w:ascii="Times New Roman" w:cs="Times New Roman" w:eastAsia="Times New Roman" w:hAnsi="Times New Roman"/>
          <w:sz w:val="18"/>
          <w:szCs w:val="18"/>
          <w:color w:val="auto"/>
        </w:rPr>
        <w:t xml:space="preserve">” means, at any point in time with respect to the Note at any time,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(a) the Original Principal Amount of this Note or the Default Amount (as applicable), at such time,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all Minimum Monthly Installment Payments and any prepayments previously made, including any Prepayment Discount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other amounts, costs, expenses, and liquidated damages due under or in respect of this Note.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Discount</w:t>
      </w:r>
      <w:r>
        <w:rPr>
          <w:rFonts w:ascii="Times New Roman" w:cs="Times New Roman" w:eastAsia="Times New Roman" w:hAnsi="Times New Roman"/>
          <w:sz w:val="18"/>
          <w:szCs w:val="18"/>
          <w:color w:val="auto"/>
        </w:rPr>
        <w:t>” shall have the meaning as that term is defined in the Loan Agreement.</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means, with respect to the Note at any time, the then Outstanding Principal Amount of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and after the occurrence of an Event of Default the Principal Amount shall be the Default Amount.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Payment Date</w:t>
      </w:r>
      <w:r>
        <w:rPr>
          <w:rFonts w:ascii="Times New Roman" w:cs="Times New Roman" w:eastAsia="Times New Roman" w:hAnsi="Times New Roman"/>
          <w:sz w:val="18"/>
          <w:szCs w:val="18"/>
          <w:color w:val="auto"/>
        </w:rPr>
        <w:t>” means, the last day of each month (or the previous business day if such day is a weekend) of each month from and after the Original Issue Date, commencing with December 31, 2025 and continuing on the last day of the month for the next succeeding eleven (11) consecutive months.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Utah Courts</w:t>
      </w:r>
      <w:r>
        <w:rPr>
          <w:rFonts w:ascii="Times New Roman" w:cs="Times New Roman" w:eastAsia="Times New Roman" w:hAnsi="Times New Roman"/>
          <w:sz w:val="18"/>
          <w:szCs w:val="18"/>
          <w:color w:val="auto"/>
        </w:rPr>
        <w:t>” shall have the meaning set forth in Section 6(d).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Payment, Prepayment;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6" w:lineRule="auto"/>
        <w:tabs>
          <w:tab w:leader="none" w:pos="9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Scheduled Payment Date, the Company shall make Monthly Installment payments of the Outstanding Principal Amount under this Note in the amount of (a) $108,334 on the Scheduled Payment Date for the month of December 2025 and (b) $226,515.18 in each of the eleven (11) remaining Monthly Installment Payments on the Scheduled Payment Dates (each a “</w:t>
      </w:r>
      <w:r>
        <w:rPr>
          <w:rFonts w:ascii="Times New Roman" w:cs="Times New Roman" w:eastAsia="Times New Roman" w:hAnsi="Times New Roman"/>
          <w:sz w:val="18"/>
          <w:szCs w:val="18"/>
          <w:u w:val="single" w:color="auto"/>
          <w:color w:val="auto"/>
        </w:rPr>
        <w:t>Minimum Monthly Installment Payment</w:t>
      </w:r>
      <w:r>
        <w:rPr>
          <w:rFonts w:ascii="Times New Roman" w:cs="Times New Roman" w:eastAsia="Times New Roman" w:hAnsi="Times New Roman"/>
          <w:sz w:val="18"/>
          <w:szCs w:val="18"/>
          <w:color w:val="auto"/>
        </w:rPr>
        <w:t>”) until the entire Payment Amount (or, if an Event of Default shall have previously occurred, the entire Default Amount) shall have been paid in full. On the Maturity Date, the entire then Payment Amount (or, if an Event of Default shall have previously occurred, the entire Default Amount) shall become immediately due and payable.</w:t>
      </w:r>
    </w:p>
    <w:p>
      <w:pPr>
        <w:spacing w:after="0" w:line="187"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be immediately payable in full upon a Change of Control Transaction.</w:t>
      </w:r>
    </w:p>
    <w:p>
      <w:pPr>
        <w:spacing w:after="0" w:line="225" w:lineRule="exact"/>
        <w:rPr>
          <w:rFonts w:ascii="Times New Roman" w:cs="Times New Roman" w:eastAsia="Times New Roman" w:hAnsi="Times New Roman"/>
          <w:sz w:val="18"/>
          <w:szCs w:val="18"/>
          <w:color w:val="auto"/>
        </w:rPr>
      </w:pPr>
    </w:p>
    <w:p>
      <w:pPr>
        <w:jc w:val="both"/>
        <w:ind w:firstLine="644"/>
        <w:spacing w:after="0" w:line="258" w:lineRule="auto"/>
        <w:tabs>
          <w:tab w:leader="none" w:pos="8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this Note, plus accrued interest hereon shall be subject to mandatory prepayment to the extent of (i) any Extraordinary Receipts or (ii) any Equity Receipts received by the Company from consummation of a the sale of Common Stock or Common Stock Equivalents, whether pursuant to Sale of Control or in connection with any public of private financing (each a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Any such Mandatory Prepayment shall be applied to the Monthly Installments of the Minimum Monthly Installment Payments in the order of last maturing Indebtedness.</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9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shall prepay the entire Outstanding Principal Amount of this Note, the applicable Prepayment Discount set forth in the Loan Agreement shall apply to the then Outstanding Principal Amount of this Note including the Minimum Monthly Installment Payment previously made.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an Event of Default, the Outstanding Principal Amount of this Note shall increase to the Default Amount and this Note shall bear interest accruing at nineteen percent (19%) per annum, calculated on the basis of a 360-day year, consisting of twelve 30 calendar day periods, and shall accrue daily until payment in full of the Default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Registration of Transfers and Exchanges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4"/>
        <w:spacing w:after="0" w:line="282" w:lineRule="auto"/>
        <w:tabs>
          <w:tab w:leader="none" w:pos="9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Different Denominations</w:t>
      </w:r>
      <w:r>
        <w:rPr>
          <w:rFonts w:ascii="Times New Roman" w:cs="Times New Roman" w:eastAsia="Times New Roman" w:hAnsi="Times New Roman"/>
          <w:sz w:val="18"/>
          <w:szCs w:val="18"/>
          <w:color w:val="auto"/>
        </w:rPr>
        <w:t xml:space="preserve">. This Note is exchangeable for an equal aggregate Principal Amount of Note of </w:t>
      </w:r>
      <w:r>
        <w:rPr>
          <w:rFonts w:ascii="Times New Roman" w:cs="Times New Roman" w:eastAsia="Times New Roman" w:hAnsi="Times New Roman"/>
          <w:sz w:val="18"/>
          <w:szCs w:val="18"/>
          <w:u w:val="single" w:color="auto"/>
          <w:color w:val="auto"/>
        </w:rPr>
        <w:t>different</w:t>
      </w:r>
      <w:r>
        <w:rPr>
          <w:rFonts w:ascii="Times New Roman" w:cs="Times New Roman" w:eastAsia="Times New Roman" w:hAnsi="Times New Roman"/>
          <w:sz w:val="18"/>
          <w:szCs w:val="18"/>
          <w:color w:val="auto"/>
        </w:rPr>
        <w:t xml:space="preserve"> authorized denominations, as requested by the Holder surrendering the same. No service charge will be payable for such registration of transfer or exchange.</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This Note has been issued subject to certain investment representations of the original Holder set forth in the Loan Agreement and may be transferred or exchanged only in compliance with the Loan Agreement and applicable federal and state securities laws and regulations.</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Note Register</w:t>
      </w:r>
      <w:r>
        <w:rPr>
          <w:rFonts w:ascii="Times New Roman" w:cs="Times New Roman" w:eastAsia="Times New Roman" w:hAnsi="Times New Roman"/>
          <w:sz w:val="18"/>
          <w:szCs w:val="18"/>
          <w:color w:val="auto"/>
        </w:rPr>
        <w:t>. Prior to due presentment for transfer to the Company of this Note, the Company and any agent of the Company may treat the Person in whose name this Note is duly registered on the official Note register of the Company as the owner hereof for the purpose of receiving payment as herein provided and for all other purposes, whether or not this Note is overdue, and neither the Company nor any such agent shall be affected by notice to the contrary.</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52" w:name="page53"/>
    <w:bookmarkEnd w:id="5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As long as any portion of this Note remains outstanding, unless the Lender shall have otherwise given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and shall not permit any of its Subsidiaries (if any) to, directly or indirectly:</w:t>
      </w:r>
    </w:p>
    <w:p>
      <w:pPr>
        <w:spacing w:after="0" w:line="159" w:lineRule="exact"/>
        <w:rPr>
          <w:sz w:val="20"/>
          <w:szCs w:val="20"/>
          <w:color w:val="auto"/>
        </w:rPr>
      </w:pPr>
    </w:p>
    <w:p>
      <w:pPr>
        <w:ind w:left="660" w:right="20" w:firstLine="644"/>
        <w:spacing w:after="0" w:line="282" w:lineRule="auto"/>
        <w:tabs>
          <w:tab w:leader="none" w:pos="15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of the affirmative or negative covenants set forth in the Loan Agreement or other Transaction Documents, including, without limitation, the Insomniac Payment Direction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otherwise amend any of the provisions of the New Circle Payment Direction Agreement.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charter documents, including, without limitation, its certificate of incorporation and bylaws, in any manner that materially and adversely affects any rights of the Lender or any other holders of this Note;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or otherwise modify any of the existing terms of any outstanding Indebtedness, (other than Indebtedness to the Lender) whether or not set forth in the Company Disclosure Schedule;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repay, repurchase or offer to repay, repurchase or otherwise acquire shares of Common Stock or Common Stock Equivalents, except to the extent that they are expressly permitted under the Loan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repay, repurchase or offer to repay, repurchase or otherwise acquire any Indebtedness, other than as expressly permitted under the Loan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payments shall not be permitted if, at such time, or after giving effect to such payment, any Event of Default exist or occur;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suffer to exist any Liens on its property or assets, other than Permitted Liens;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or distributions on any equity securities of the Company;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any Affiliate of the Company, unless such transaction is made on an arm’s-length basis and expressly approved by a majority of the disinterested directors of the Company (even if less than a quorum otherwise required for board approval); 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commitment with respect to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66" w:lineRule="auto"/>
        <w:tabs>
          <w:tab w:leader="none" w:pos="15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means, wherever used herein, the occurrence of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in the payment of any Principal Amount, or Default Amount (as applicable) as and when the same shall become due and payable (whether on a Scheduled Payment Date, the Maturity Date, by Mandatory Prepayment, acceleration or otherwise) which default, solely in the case of required payment of the Minimum Monthly Installment on any Scheduled Payment Date, is not fully cured within five (5) Business Days (the “</w:t>
      </w:r>
      <w:r>
        <w:rPr>
          <w:rFonts w:ascii="Times New Roman" w:cs="Times New Roman" w:eastAsia="Times New Roman" w:hAnsi="Times New Roman"/>
          <w:sz w:val="18"/>
          <w:szCs w:val="18"/>
          <w:u w:val="single" w:color="auto"/>
          <w:color w:val="auto"/>
        </w:rPr>
        <w:t>Grace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that there shall only be five (5) Grace Periods permitted under this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both"/>
        <w:ind w:left="180" w:firstLine="652"/>
        <w:spacing w:after="0" w:line="258" w:lineRule="auto"/>
        <w:tabs>
          <w:tab w:leader="none" w:pos="11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other covenant or agreement contained in the Loan Agreement or this Note, which failure is not cured, if possible to cure, within the earlier to occur of (A) five (5) Business Days after notice of such failure sent by the Holder or by any other holder of Note to the Company and (B) five (5) Business Days after the Company has become aware of such failure; and, for the avoidance of doubt, shall include the Company’s failure or refusal to promptly call a shareholders meeting within the time specified in the Loan Agreement;</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or the Company to draw funds under the ELOC in any month within the time specified in the New Circle Payment Direction Agreement or the failure or refusal of New Circle to timely pay the applicable percentage of such funds to the Lender or other Holder of this Note, as required by the New Circle Payment Direction Agreement;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event of default (subject to any grace or cure period provided in the applicable agreement, document or instrument) shall occur under the Loan Agreement, this Note or any of the other Transaction Documents or under other Permitted Indebtedness;</w:t>
      </w:r>
    </w:p>
    <w:p>
      <w:pPr>
        <w:spacing w:after="0" w:line="17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of Company Common Stock are no longer listed on a National Securities Exchange;</w:t>
      </w:r>
    </w:p>
    <w:p>
      <w:pPr>
        <w:spacing w:after="0" w:line="225"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holder of Indebtedness of the Loan Parties shall declare a default and accelerate payment of any such</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w:t>
      </w:r>
    </w:p>
    <w:p>
      <w:pPr>
        <w:spacing w:after="0" w:line="175"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shall be subject to a Bankruptcy Event;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default (following the expiration of all cure or waiting periods and the provision of all notices required under the applicable agreement(s)) on any of its obligations under any mortgage, credit agreement or other facility, indenture agreement, capital lease, factoring agreement or other instrument under which there may be issued, or by which there may be secured or evidenced, any Indebtedness for borrowed money or money due under any long term leasing or factoring arrangement that (a) involves an obligation greater than $50,000, whether such Indebtedness now exists or shall hereafter be created, and (b) results in such Indebtedness becoming or being declared due and payable prior to the date on which it would otherwise become due and payable; or</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4" w:name="page55"/>
    <w:bookmarkEnd w:id="54"/>
    <w:p>
      <w:pPr>
        <w:jc w:val="both"/>
        <w:ind w:left="640" w:firstLine="652"/>
        <w:spacing w:after="0" w:line="266" w:lineRule="auto"/>
        <w:tabs>
          <w:tab w:leader="none" w:pos="15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non-appealable judgment by any competent court for the payment of money in an amount of at least $50,000 is rendered against the Company, and the same remains undischarged and unpaid for a period of 45 days during which execution of such judgment is not effectively stayed.</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this Note shall become, at the Holder’s election, immediately due and payable in the Default Amount, and the Holder shall have the right, to exercise its rights and remedies in connection with this Note and under the other Transaction Documents, including enforcing its rights under the Subsidiary Guarantee, Security Agreement and Insomniac Payment Direction Agreement and is expressly authorized to enter the Confession of Judgment Affidavit with the Utah Courts. Upon the payment in full of the Default Amount in accordance with the terms of this Note, the Holder shall promptly surrender this Note to or as directed by the Company. In connection with such acceleration or exercise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including entering the Confession of Judgment Affidavit with the Utah Courts. Such acceleration may be rescinded and annulled by Holder at any time prior to payment hereunder and the Holder shall have all rights as a holder of the Note until such time, if any, as the Holder receives full payment pursuant to this section 5(b). No such rescission or annulment shall affect any subsequent Event of Default or impair any right consequent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2" w:lineRule="auto"/>
        <w:tabs>
          <w:tab w:leader="none" w:pos="9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 hereunder shall be in writing and delivered personally, by email attachment, or sent by a nationally recognized overnight courier service, addressed to the Company, at the address set forth on in the Loan Agreement, or such other, email address, or address as the Company may specify for such purposes by notice to the Holder delivered in accordance with this Section 6(a). Any and all notices or other communications or deliveries to be provided by the Company hereunder shall be in writing and delivered personally, by facsimile, by email attachment, or sent by a nationally recognized overnight courier service addressed to each Holder at the facsimile number, email address or address of the Holder appearing on the books of the Company, or if no such facsimile number or email attachment or address appears on the books of the Company, at the principal place of business of such Holder, as set forth in the Loan Agreement. Any notice or other communication or deliveries hereunder shall be deemed given and effective on the earliest of: (i) the date of transmission, if such notice or communication is delivered via facsimile at the facsimile number or email attachment to the email address set forth on the signature pages attached hereto prior to 5:30 p.m. (Eastern time) on any date, (ii) the next Business Day after the date of transmission, if such notice or communication is delivered via facsimile at the facsimile number or email attachment to the email address set forth on the signature pages attached hereto on a day that is not a Business Day or later than 5:30 p.m. (Eastern time) on any Business Day, (iii) the second Business Day following the date of mailing, if sent by U.S. nationally recognized overnight courier service, or (iv) upon actual receipt by the party to whom such notice is required to be given.</w:t>
      </w:r>
    </w:p>
    <w:p>
      <w:pPr>
        <w:spacing w:after="0" w:line="197" w:lineRule="exact"/>
        <w:rPr>
          <w:rFonts w:ascii="Times New Roman" w:cs="Times New Roman" w:eastAsia="Times New Roman" w:hAnsi="Times New Roman"/>
          <w:sz w:val="18"/>
          <w:szCs w:val="18"/>
          <w:color w:val="auto"/>
        </w:rPr>
      </w:pPr>
    </w:p>
    <w:p>
      <w:pPr>
        <w:jc w:val="both"/>
        <w:ind w:firstLine="644"/>
        <w:spacing w:after="0" w:line="258"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Absolute Obligation, Security and Ranking</w:t>
      </w:r>
      <w:r>
        <w:rPr>
          <w:rFonts w:ascii="Times New Roman" w:cs="Times New Roman" w:eastAsia="Times New Roman" w:hAnsi="Times New Roman"/>
          <w:sz w:val="18"/>
          <w:szCs w:val="18"/>
          <w:color w:val="auto"/>
        </w:rPr>
        <w:t xml:space="preserve">. Except as expressly provided herein, no provision of this Note shall alter or impair the obligation of the Company, which is absolute and unconditional, to pay the principal of, liquidated damages and accrued interest, as applicable, on this Note at the time, place, and rate, and in the coin or currency, herein prescribed. This Note is a direct debt obligation of the Company and is secured by and under the Subsidiary Guarantee and Security Agreement. This Note is a direct debt obligation of the Company, and ranks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to all other to all other evidence of Indebtedness of the Company or any of its Subsidiaries.</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5" w:name="page56"/>
    <w:bookmarkEnd w:id="55"/>
    <w:p>
      <w:pPr>
        <w:jc w:val="both"/>
        <w:ind w:left="-460" w:firstLine="644"/>
        <w:spacing w:after="0" w:line="261" w:lineRule="auto"/>
        <w:tabs>
          <w:tab w:leader="none" w:pos="4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Note</w:t>
      </w:r>
      <w:r>
        <w:rPr>
          <w:rFonts w:ascii="Times New Roman" w:cs="Times New Roman" w:eastAsia="Times New Roman" w:hAnsi="Times New Roman"/>
          <w:sz w:val="18"/>
          <w:szCs w:val="18"/>
          <w:color w:val="auto"/>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and customary indemnity reasonably satisfactory to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In the event and to the extent that a claim or dispute arises out of, or in relation to this Agreement or any other Transaction Document, including without limitation, the terms, construction, interpretation, performance, termination, breach, or enforceability of this Agreement or such Transaction Document(s), the Parties hereby each agree that the claim or dispute shall be, at the election of any Party within thirty (30) days after the claim or dispute arises, resolved by mandatory binding arbitration in Utah, except that Lender may, at its election, maintain any action for equitable relief in the Third Judicial District, Salt Lake County, Utah, including seeking the appointment of a receiver, judicial foreclosure, an accounting of Collateral, restraining orders or injunctions or other equitable relief without a right to compel arbitration by the Company or any Subsidiary Guarantor. To the extent that an arbitration occurs, the Parties agree that the arbitration shall be administered by JAMS and the arbitration shall be conducted in accordance with the Expedited Procedures of the JAMS Comprehensive Arbitration Rules and Procedures except as otherwise agreed in this Agreement. The arbitrator shall be chosen in accordance with the procedures of JAMS, and shall base the award on applicable Utah law, and in connection therewith each of the Loan Parties hereby expressly waive any right to seek an exemption from Utah law based on any public policies or principles of any other State. The Parties agree that the arbitration shall be conducted before a single arbitrator. Judgment on the award may be entered in any federal or state court in the State of Utah and in the federal courts of any other State. The Parties further agree that the costs of the arbitration shall be divided equally between the Company and the Lender until a prevailing Party is determined, at which time the non-prevailing Party shall be charged the prevailing Party’s share of the arbitration fees. Each Party may pursue arbitration solely in an individual capacity, and not as a representative or class member in any purported class or representative proceeding. The arbitrator may not consolidate more than one Person’s claims and may not otherwise preside over any form of a representative or class proceeding. This arbitration section is governed by the Federal Arbitration Act, 9 U.S.C. §§ 1-16.</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Note shall be governed by and construed and enforced in accordance with the internal laws of the State of Utah,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exclusively in the state and federal courts sitting in the County of Salt Lake, Utah (the “</w:t>
      </w:r>
      <w:r>
        <w:rPr>
          <w:rFonts w:ascii="Times New Roman" w:cs="Times New Roman" w:eastAsia="Times New Roman" w:hAnsi="Times New Roman"/>
          <w:sz w:val="18"/>
          <w:szCs w:val="18"/>
          <w:b w:val="1"/>
          <w:bCs w:val="1"/>
          <w:color w:val="auto"/>
        </w:rPr>
        <w:t>Utah Courts</w:t>
      </w:r>
      <w:r>
        <w:rPr>
          <w:rFonts w:ascii="Times New Roman" w:cs="Times New Roman" w:eastAsia="Times New Roman" w:hAnsi="Times New Roman"/>
          <w:sz w:val="18"/>
          <w:szCs w:val="18"/>
          <w:color w:val="auto"/>
        </w:rPr>
        <w:t>”). Each party hereto hereby irrevocably submits to the exclusive jurisdiction of the Utah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Utah Courts, or such Utah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6" w:name="page57"/>
    <w:bookmarkEnd w:id="56"/>
    <w:p>
      <w:pPr>
        <w:jc w:val="both"/>
        <w:ind w:left="660" w:firstLine="644"/>
        <w:spacing w:after="0" w:line="258" w:lineRule="auto"/>
        <w:tabs>
          <w:tab w:leader="none" w:pos="15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Company or the Holder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on any other occasion. Any waiver by the Company or the Holder must be in writing.</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reasonably requested by the Holder to enable the Holder to confirm the Company’s compliance with the terms and conditions of this Note.</w:t>
      </w:r>
    </w:p>
    <w:p>
      <w:pPr>
        <w:spacing w:after="0" w:line="189"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Note and shall not be deemed to limit or affect any of the provisions hereof.</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Any modifications, amendments or waivers of the provisions hereof shall be subject to Section 5.05 of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this page left blank – 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Senior Secured Note to be duly executed by a duly authorized officer as of the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indicated.</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December 4, 2025 (the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CID Holdco, Inc.</w:t>
      </w:r>
      <w:r>
        <w:rPr>
          <w:rFonts w:ascii="Times New Roman" w:cs="Times New Roman" w:eastAsia="Times New Roman" w:hAnsi="Times New Roman"/>
          <w:sz w:val="18"/>
          <w:szCs w:val="18"/>
          <w:color w:val="auto"/>
        </w:rPr>
        <w:t>, a corporation organized and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J.J. Astor &amp; Co.</w:t>
      </w:r>
      <w:r>
        <w:rPr>
          <w:rFonts w:ascii="Times New Roman" w:cs="Times New Roman" w:eastAsia="Times New Roman" w:hAnsi="Times New Roman"/>
          <w:sz w:val="18"/>
          <w:szCs w:val="18"/>
          <w:color w:val="auto"/>
        </w:rPr>
        <w:t>, a Utah corporation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Agreement is made pursuant to that certain Loan Agreement, dated as of the date hereof, between the Company and the Investor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Investor hereby agrees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Loan Agreement shall have the meanings given such terms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Agreement. As used in this Agreement, the following terms shall have the following meanings: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mean the common stock of the Company, par value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means, subject to (i) the effectiveness of the resale Registration Statement referred to in the Registration Rights Agreement or</w:t>
      </w:r>
    </w:p>
    <w:p>
      <w:pPr>
        <w:spacing w:after="0" w:line="43" w:lineRule="exact"/>
        <w:rPr>
          <w:sz w:val="20"/>
          <w:szCs w:val="20"/>
          <w:color w:val="auto"/>
        </w:rPr>
      </w:pPr>
    </w:p>
    <w:p>
      <w:pPr>
        <w:jc w:val="both"/>
        <w:ind w:firstLine="8"/>
        <w:spacing w:after="0" w:line="253" w:lineRule="auto"/>
        <w:tabs>
          <w:tab w:leader="none" w:pos="2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fulfillment of the resale conditions under Rule 144 under the Securities Act, following the occurrence and during the continuation of an Event of Default, if the Lender elects to convert all or a portion of any one or more of the Notes, the conversion price shall be equal to eighty percent (80%) of average of the four lowest volume weighted average prices of the shares of Common Stock as traded on the Principal Market over the twenty (20) trading days immediately prior to the date of the notice of conversion.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shall mean the number of shares of Common Stock of the Company issuable upon any full or partial permitted conversion of any or all of the Notes, which, if an Event of Default shall occur and be continuing, may equal the Maximum Conversion Shares,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the Notes shall not be convertible by the holder thereof to the extent (but only to the extent) that, after giving effect to the issuance of shares of Common Stock issuable upon such conversion, the holder or any of its Affiliates (either individually or collectively) would beneficially own in excess of 4.99% of the number of the outstanding shares of Common Stock; </w:t>
      </w:r>
      <w:r>
        <w:rPr>
          <w:rFonts w:ascii="Times New Roman" w:cs="Times New Roman" w:eastAsia="Times New Roman" w:hAnsi="Times New Roman"/>
          <w:sz w:val="18"/>
          <w:szCs w:val="18"/>
          <w:b w:val="1"/>
          <w:bCs w:val="1"/>
          <w:i w:val="1"/>
          <w:iCs w:val="1"/>
          <w:color w:val="auto"/>
        </w:rPr>
        <w:t>provided, further that</w:t>
      </w:r>
      <w:r>
        <w:rPr>
          <w:rFonts w:ascii="Times New Roman" w:cs="Times New Roman" w:eastAsia="Times New Roman" w:hAnsi="Times New Roman"/>
          <w:sz w:val="18"/>
          <w:szCs w:val="18"/>
          <w:color w:val="auto"/>
        </w:rPr>
        <w:t xml:space="preserve"> if an Event of Default under the Note shall occur and shall be continuing as a result of which the Holder(s) of the Notes would own more than 4.99% of the outstanding shares of Common Stock after giving effect to issuance of the Conversion Shares, the Company shall use commercially reasonable efforts to cause a special or extraordinary meeting of Company’s shareholders to be held within forty-five (45) days and use its reasonable best efforts to obtain approval by the requisite majority of the Company’s shareholders of this Agreement, the Notes and the other Transaction Documents.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 Registration Statement</w:t>
      </w:r>
      <w:r>
        <w:rPr>
          <w:rFonts w:ascii="Times New Roman" w:cs="Times New Roman" w:eastAsia="Times New Roman" w:hAnsi="Times New Roman"/>
          <w:sz w:val="18"/>
          <w:szCs w:val="18"/>
          <w:color w:val="auto"/>
        </w:rPr>
        <w:t>” means, upon the occurrence and during the continuation of any Event of Default under any or all of the Notes, following receipt of an Event of Default Notice, the Registration Statement, if not previously registered for resale, shall register for resale the Maximum Conversion Shares, as calculated based on the Default Amount, and shall mean and include any amendments to such Conversion Shares Registration Statement contemplated by Section 2 of this Agreement that is effective on the Conversion Shares Registration Statement Effective Date and on file with the Commission in order to include the Registrable Securities in such Conversion Shares Registration Statement.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Amount</w:t>
      </w:r>
      <w:r>
        <w:rPr>
          <w:rFonts w:ascii="Times New Roman" w:cs="Times New Roman" w:eastAsia="Times New Roman" w:hAnsi="Times New Roman"/>
          <w:sz w:val="18"/>
          <w:szCs w:val="18"/>
          <w:color w:val="auto"/>
        </w:rPr>
        <w:t xml:space="preserve">” means the then Outstanding Principal Amount of any or all the Notes which shall automatically increase to 110% of such Outstanding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thereon at the rate of 19% per annum, compounded monthly.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xml:space="preserve">” means (a) with respect to each Registration Statement referred to herein, a date which shall be not later than thirty (30) calendar days from the Filing Date and shall include an amendment to the Existing Resale Registration Statement to include therein and register for resale Conversion Shares up to (A) the Maximum Conversion Shares under the Initial Note and (B) the Maximum Conversion Shares under any Additional Note(s) if an Event of Default thereunder has occurred and is continuing, and in the event of a new or further “review” by the Commission of the Existing Resale Registration Statement or such other Registration Statement, the 60th calendar day following the date such Registration Statement is required to be filed hereunder (the </w:t>
      </w:r>
      <w:r>
        <w:rPr>
          <w:rFonts w:ascii="Times New Roman" w:cs="Times New Roman" w:eastAsia="Times New Roman" w:hAnsi="Times New Roman"/>
          <w:sz w:val="18"/>
          <w:szCs w:val="18"/>
          <w:b w:val="1"/>
          <w:bCs w:val="1"/>
          <w:color w:val="auto"/>
        </w:rPr>
        <w:t>“Registration Statement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the one or more of the above Registration Statements will not be reviewed or is no longer subject to further review and comments (the “</w:t>
      </w:r>
      <w:r>
        <w:rPr>
          <w:rFonts w:ascii="Times New Roman" w:cs="Times New Roman" w:eastAsia="Times New Roman" w:hAnsi="Times New Roman"/>
          <w:sz w:val="18"/>
          <w:szCs w:val="18"/>
          <w:b w:val="1"/>
          <w:bCs w:val="1"/>
          <w:color w:val="auto"/>
        </w:rPr>
        <w:t>Notice of No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Effectiveness Date as to the Registration Statement shall be the third (3rd) calendar day following the Notice of No Review Date,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if such Effectiveness Date falls on a day that is not a Trading Day, then the Effectiveness Date shall be the first Trading Day following such third calendar day.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set forth in the Notes.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shall mean a written notification by the Lender to the Company that an Event of Default under the Loan Agreement and the Note has occurred and is continuing.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Resale Registration Statemen</w:t>
      </w:r>
      <w:r>
        <w:rPr>
          <w:rFonts w:ascii="Times New Roman" w:cs="Times New Roman" w:eastAsia="Times New Roman" w:hAnsi="Times New Roman"/>
          <w:sz w:val="18"/>
          <w:szCs w:val="18"/>
          <w:color w:val="auto"/>
        </w:rPr>
        <w:t>t” shall have the meaning provided in the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61"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Conversion Shares Registration Statement, a date which shall be not later than fifteen (15) calendar days following receipt of an Event of Default Notice, pursuant to which the Company shall register for resale all Conversion Shares up to (A) the Maximum Conversion Shares under the Initial Note if an Event of Default thereunder has occurred and is continuing, and (B) such Maximum Conversion Shares under any one or more Additional Note for potential resale if an event of Default under the Additional Note shall occur and be continuing;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both"/>
        <w:ind w:firstLine="656"/>
        <w:spacing w:after="0" w:line="261" w:lineRule="auto"/>
        <w:tabs>
          <w:tab w:leader="none" w:pos="94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Registration Statement referred to herein, a date which shall be not later than thirty (30) calendar days from the date such Registration Statement is required to be filed and shall include therein all of Registrable Securitiesnot already registered and with respect to any additional</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Registration Statements which may be required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after the need for such additional Registration Statement arises or, if later, the earliest practical date on which the Company is permitted by Commission Guidance to file such additional Registration Statement related to the Registrable Securities.</w:t>
      </w:r>
    </w:p>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means the Lender or any other holder or holders, as the case may be, from time to time of any one or more of the Notes or the Registrable Securities.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set forth in the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means any one of the following stock exchanges: the Nasdaq Global Market, the Nasdaq Capital Market of the Nasdaq Stock Exchange, the NYSE:Amex Exchange or the New York Stock Exchange.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the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or deemed to be incorporated by reference in such Prospectus.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and includes, without duplication, as of any date of determination,</w:t>
      </w:r>
    </w:p>
    <w:p>
      <w:pPr>
        <w:spacing w:after="0" w:line="229" w:lineRule="exact"/>
        <w:rPr>
          <w:sz w:val="20"/>
          <w:szCs w:val="20"/>
          <w:color w:val="auto"/>
        </w:rPr>
      </w:pPr>
    </w:p>
    <w:p>
      <w:pPr>
        <w:jc w:val="both"/>
        <w:ind w:firstLine="656"/>
        <w:spacing w:after="0" w:line="258" w:lineRule="auto"/>
        <w:tabs>
          <w:tab w:leader="none" w:pos="9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 the Maximum Conversion Shares following the occurrence and during the continuation of an Event of Default issuable under the Initial Note based on and in accordance with the Default Amount definition set forth herein and in the Initial Note, as an Event of Default thereunder has occurred and is continuing, and (B) the Maximum Conversion Shares following the occurrence and during the continuation of an Event of Default under any one or more Additional Note, as calculated based on and in accordance with the Default Amount definition set forth herein, calculated based on the applicable Conversion Price as of the date of determination,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920" w:hanging="26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issued or then issuable upon any stock split, dividend or other distribution, recapitalization or similar event with respect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(i) the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means the Conversion Shares Registration Statement filed or required to be filed hereunder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and any additional registration statements contemplated by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including (in each case) the Prospectus, amendments and supplements to any the Registration Statement or Prospectus, including pre- and post-effective amendments, all exhibits thereto, and all material incorporated by reference or deemed to be incorporated by reference in any the Registration Statement.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Stockholder Questionnaire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any day on which the shares of Company Common Stock shall trade on the Principal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180" w:hanging="172"/>
        <w:spacing w:after="0"/>
        <w:tabs>
          <w:tab w:leader="none" w:pos="1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1" w:lineRule="auto"/>
        <w:tabs>
          <w:tab w:leader="none" w:pos="8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Shares Registration Statement</w:t>
      </w:r>
      <w:r>
        <w:rPr>
          <w:rFonts w:ascii="Times New Roman" w:cs="Times New Roman" w:eastAsia="Times New Roman" w:hAnsi="Times New Roman"/>
          <w:sz w:val="18"/>
          <w:szCs w:val="18"/>
          <w:color w:val="auto"/>
        </w:rPr>
        <w:t xml:space="preserve">. Following receipt of an Event of Default Notice by the Lender, on or prior to the applicable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and shall contain (unless otherwise directed by the Holders of the Note(s), and the Holder hereby agrees that the sections of the Conversion Shares Registration Statement entitled “Selling Securityholders” and “Plan of Distribution” are in acceptable form, provided that the Registrable Securities are included in the Selling Securityholders section) substantially the “</w:t>
      </w:r>
      <w:r>
        <w:rPr>
          <w:rFonts w:ascii="Times New Roman" w:cs="Times New Roman" w:eastAsia="Times New Roman" w:hAnsi="Times New Roman"/>
          <w:sz w:val="18"/>
          <w:szCs w:val="18"/>
          <w:b w:val="1"/>
          <w:bCs w:val="1"/>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Holder shall be required to be named as an “underwriter” without such Holder’s express prior written consent. Subject to the terms of this Agreement, the Company shall use its best efforts to cause any Registration Statement filed under this Agreement (including, without limitation, under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to be declared effective under the Securities Act as promptly as possible after the filing thereof, but in any event no later than the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 xml:space="preserve">”).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aforesaid shall be deemed an Event under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56"/>
        <w:spacing w:after="0" w:line="254" w:lineRule="auto"/>
        <w:tabs>
          <w:tab w:leader="none" w:pos="9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Commission informs the Company that all of the Registrable Securities cannot, as a result of the operation of Rule 415, be registered for resale as a secondary offering on a single registration statement, the Company agrees to promptly inform each of the Holders thereof and use its commercially reasonable efforts to file amendments to the Conversion Shares Registration Statement as required by the Commission, covering the maximum number of Registrable Securities permitted to be registered by the Commission, on Form S-1 or on such other form available to register for resale the Registrable Securities as a secondary offering; with respect to filing on Form S-1 or on such other appropriate form, and subject to the provisions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Commission Guidance, including without limitation, Compliance and Disclosure Interpretation 612.09.</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and subject to the payment of liquidated damages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if the Commission or any Commission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by reducing or eliminating any securities to be included other than Registrable Securities. In the event of a cutback hereunder, the Company shall give the Holder at least five (5) Trading Days prior written notice along with the calculations as to such Holder’s allotment. In the event the Company amends the Conversion Shares Registration Statement in accordance with the foregoing, the Company will use its reasonable best efforts to file with the Commission, as promptly as allowed by Commission or Commission Guidance provided to the Company or to registrants of securities in general, one or more registration statements on Form S-1 or on such other form available to register for resale those Registrable Securities that were not registered for resale on the Conversion Shares Registration Statement, as amended.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656"/>
        <w:spacing w:after="0" w:line="251" w:lineRule="auto"/>
        <w:tabs>
          <w:tab w:leader="none" w:pos="9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Registration Statement is not filed on or prior to the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the Registration Statement within fifteen (15) calendar days after the receipt of comments by or notice from the Commission that such amendment is required in order for the Registration Statement to be declared effective (unless such comments include a request for additional information concerning a Holder whose shares are registered for resale in the Registration Statement and the Holder fails to supply information in response to such comments(s) in sufficient time to enable the Company to respond within the prescribed time frame), or (iv) the Registration Statement registering for resale all of the Registrable Securities is not declared effective by the Commission by the Effectiveness Date of the Registration Statement,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subject to any Allowable Grace Period; or (vi) if the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as a result of which any of the Investors are unable to sell Registrable Securities without restriction under Rule 144 (including, without limitation, volume restrictions) (any such failure or breach being referred to as an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and for purposes of clauses (i),</w:t>
      </w:r>
    </w:p>
    <w:p>
      <w:pPr>
        <w:spacing w:after="0" w:line="10" w:lineRule="exact"/>
        <w:rPr>
          <w:rFonts w:ascii="Times New Roman" w:cs="Times New Roman" w:eastAsia="Times New Roman" w:hAnsi="Times New Roman"/>
          <w:sz w:val="18"/>
          <w:szCs w:val="18"/>
          <w:color w:val="auto"/>
        </w:rPr>
      </w:pPr>
    </w:p>
    <w:p>
      <w:pPr>
        <w:jc w:val="both"/>
        <w:ind w:firstLine="8"/>
        <w:spacing w:after="0" w:line="251" w:lineRule="auto"/>
        <w:tabs>
          <w:tab w:leader="none" w:pos="3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(vi), the date on which such Event occurs, and for purpose of clause (ii) the date on which such five (5) Trading Day period is exceeded that such Holder is entitled to convert at such time, and for purpose of clause (iii) the date which such fifteen (15) calendar day period is exceeded being referred to as “</w:t>
      </w:r>
      <w:r>
        <w:rPr>
          <w:rFonts w:ascii="Times New Roman" w:cs="Times New Roman" w:eastAsia="Times New Roman" w:hAnsi="Times New Roman"/>
          <w:sz w:val="18"/>
          <w:szCs w:val="18"/>
          <w:b w:val="1"/>
          <w:bCs w:val="1"/>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5% (five percent) multiplied by the aggregate principal amount of such Holder’s Note that such Holder is entitled to convert at such time, provided that the total amount of partial liquidated damages payable under this Agreement shall not exceed 10% (ten percent) of the aggregate principal amount of such Holder’s Note that such Holder is entitled to convert at such time. If the Company fails to pay any partial liquidated damages pursuant to this Section in full within seven days after the date payable, the Company will pay interest thereon at a rate of 19% per annum, compounded monthly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56"/>
        <w:spacing w:after="0" w:line="261" w:lineRule="auto"/>
        <w:tabs>
          <w:tab w:leader="none" w:pos="9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or Form S-1 is not available for the registration of the resale of Registrable Securities hereunder, the Company shall (i) register the resale of the Registrable Securities on another appropriate form and (ii) undertake to register the Registrable Securities on Form S-3 or Form S-1 as soon as such form is available, provided that the Company shall maintain the effectiveness of the Registration Statement then in effect until such time as the Registration Statement on Form S-3 or Form S-1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 Underwriter in any Registration Statement without the prior written consent of such Holder.</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56"/>
        <w:spacing w:after="0" w:line="253" w:lineRule="auto"/>
        <w:tabs>
          <w:tab w:leader="none" w:pos="8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second (2nd)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date on which such Holder receives draft materials in accordance with this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56"/>
        <w:spacing w:after="0" w:line="253" w:lineRule="auto"/>
        <w:tabs>
          <w:tab w:leader="none" w:pos="9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such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Filing Date, an additional Registration Statement covering the resale by the Holders of not less than the number of such Registrable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656"/>
        <w:spacing w:after="0" w:line="266" w:lineRule="auto"/>
        <w:tabs>
          <w:tab w:leader="none" w:pos="9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Loan Agreement, of all restrictive legends, and to enable such Registrable Securities to be in such denominations and registered in such names as any such Holder may request.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656"/>
        <w:spacing w:after="0" w:line="253" w:lineRule="auto"/>
        <w:tabs>
          <w:tab w:leader="none" w:pos="89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contemplated by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w:t>
      </w:r>
      <w:r>
        <w:rPr>
          <w:rFonts w:ascii="Times New Roman" w:cs="Times New Roman" w:eastAsia="Times New Roman" w:hAnsi="Times New Roman"/>
          <w:sz w:val="18"/>
          <w:szCs w:val="18"/>
          <w:u w:val="single" w:color="auto"/>
          <w:color w:val="auto"/>
        </w:rPr>
        <w:t>Section 3(j)</w:t>
      </w:r>
      <w:r>
        <w:rPr>
          <w:rFonts w:ascii="Times New Roman" w:cs="Times New Roman" w:eastAsia="Times New Roman" w:hAnsi="Times New Roman"/>
          <w:sz w:val="18"/>
          <w:szCs w:val="18"/>
          <w:color w:val="auto"/>
        </w:rPr>
        <w:t xml:space="preserve"> to suspend the availability of a Registration Statement and Prospectus, for a period not to exceed 60 calendar days (which need not be consecutive days) in any 12-month period, provided, however, that if the purpose of such suspension is to delay sales of Conversion Shares, then the Company shall be subject to the payment of partial liquidated damages required pursuant to </w:t>
      </w:r>
      <w:r>
        <w:rPr>
          <w:rFonts w:ascii="Times New Roman" w:cs="Times New Roman" w:eastAsia="Times New Roman" w:hAnsi="Times New Roman"/>
          <w:sz w:val="18"/>
          <w:szCs w:val="18"/>
          <w:u w:val="single" w:color="auto"/>
          <w:color w:val="auto"/>
        </w:rPr>
        <w:t>Section 2(d).</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eligibility for use of Form S-3 or Form S-1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of the Company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56"/>
        <w:spacing w:after="0" w:line="252" w:lineRule="auto"/>
        <w:tabs>
          <w:tab w:leader="none" w:pos="90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(but subject to the last sentence of this </w:t>
      </w:r>
      <w:r>
        <w:rPr>
          <w:rFonts w:ascii="Times New Roman" w:cs="Times New Roman" w:eastAsia="Times New Roman" w:hAnsi="Times New Roman"/>
          <w:sz w:val="18"/>
          <w:szCs w:val="18"/>
          <w:u w:val="single" w:color="auto"/>
          <w:color w:val="auto"/>
        </w:rPr>
        <w:t>Section 3(n)</w:t>
      </w:r>
      <w:r>
        <w:rPr>
          <w:rFonts w:ascii="Times New Roman" w:cs="Times New Roman" w:eastAsia="Times New Roman" w:hAnsi="Times New Roman"/>
          <w:sz w:val="18"/>
          <w:szCs w:val="18"/>
          <w:color w:val="auto"/>
        </w:rPr>
        <w:t>), at any time after the Effective Date of a particular Registration Statement, the Company may, upon written notice to the Holder’s, suspend the Holders’ use of any prospectus that is a part of any Registration Statement (in which event the Holders shall discontinue sales of the Registrable Securities pursuant to such Registration Statement contemplated by this Agreement, but shall settle any previously made sales of Registrable Securities) if the Company (x) is pursuing a probable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Holder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cs="Times New Roman" w:eastAsia="Times New Roman" w:hAnsi="Times New Roman"/>
          <w:sz w:val="18"/>
          <w:szCs w:val="18"/>
          <w:b w:val="1"/>
          <w:bCs w:val="1"/>
          <w:color w:val="auto"/>
        </w:rPr>
        <w:t>Allowable Grace Period</w:t>
      </w:r>
      <w:r>
        <w:rPr>
          <w:rFonts w:ascii="Times New Roman" w:cs="Times New Roman" w:eastAsia="Times New Roman" w:hAnsi="Times New Roman"/>
          <w:sz w:val="18"/>
          <w:szCs w:val="18"/>
          <w:color w:val="auto"/>
        </w:rPr>
        <w:t xml:space="preserve">”); provided, however, that in no event shall the Holders be suspended from selling Registrable Securities pursuant to any Registration Statement for a period that exceeds ten (10) consecutive Trading Days or an aggregate of thirty (30) Trading Days in any 365-day period; and provided, further, the Company shall not effect any such suspension during the first ten (10) consecutive Trading Days after the Effective Date of the particular Registration Statement. Upon disclosure of such information or the termination of the condition described above, the Company shall provide prompt notice, but in any event within one Business Day of such disclosure or termination, to the Holders and shall promptly terminate any suspension of sales it has put into effect and shall take such other reasonable actions to permit registered sales of Registrable Securities as contemplated in this Agreement. Notwithstanding anything to the contrary contained in this </w:t>
      </w:r>
      <w:r>
        <w:rPr>
          <w:rFonts w:ascii="Times New Roman" w:cs="Times New Roman" w:eastAsia="Times New Roman" w:hAnsi="Times New Roman"/>
          <w:sz w:val="18"/>
          <w:szCs w:val="18"/>
          <w:u w:val="single" w:color="auto"/>
          <w:color w:val="auto"/>
        </w:rPr>
        <w:t>Section 3(n)</w:t>
      </w:r>
      <w:r>
        <w:rPr>
          <w:rFonts w:ascii="Times New Roman" w:cs="Times New Roman" w:eastAsia="Times New Roman" w:hAnsi="Times New Roman"/>
          <w:sz w:val="18"/>
          <w:szCs w:val="18"/>
          <w:color w:val="auto"/>
        </w:rPr>
        <w:t>, the Company shall cause its transfer agent to deliver shares of Common Stock free of restrictive legends to a transferee of a Holder in connection with any sale of Registrable Securities with respect to which such Holder has entered into a contract for sale, and delivered a copy of the Prospectus included as part of the particular Registration Statement to the extent applicable, in each case prior to such Holder’s receipt of the notice of an Allowable Grace Period and for which the Holder has not yet settled.</w:t>
      </w:r>
    </w:p>
    <w:p>
      <w:pPr>
        <w:spacing w:after="0" w:line="18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Expenses.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Eligible Market on which shares of Common Stock of the Company are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180" w:hanging="172"/>
        <w:spacing w:after="0"/>
        <w:tabs>
          <w:tab w:leader="none" w:pos="1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1" w:lineRule="auto"/>
        <w:tabs>
          <w:tab w:leader="none" w:pos="8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shares of Common Stock of the Company),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and the applicable section in the Existing Resale Registration Statement for this purpose) or (ii) in the case of an occurrence of an event of the type specified in </w:t>
      </w:r>
      <w:r>
        <w:rPr>
          <w:rFonts w:ascii="Times New Roman" w:cs="Times New Roman" w:eastAsia="Times New Roman" w:hAnsi="Times New Roman"/>
          <w:sz w:val="18"/>
          <w:szCs w:val="18"/>
          <w:u w:val="single" w:color="auto"/>
          <w:color w:val="auto"/>
        </w:rPr>
        <w:t>Section 3(d)(iii)–(vi)</w:t>
      </w:r>
      <w:r>
        <w:rPr>
          <w:rFonts w:ascii="Times New Roman" w:cs="Times New Roman" w:eastAsia="Times New Roman" w:hAnsi="Times New Roman"/>
          <w:sz w:val="18"/>
          <w:szCs w:val="18"/>
          <w:color w:val="auto"/>
        </w:rPr>
        <w:t xml:space="preserve">, the use by such Holder of an outdated, defective or otherwise unavailable Prospectus after the Company has notified such Holder in writing that the Prospectus is outdated, defective or otherwise unavailable for use by such Holder and prior to the receipt by such Holder of notice of an Allowable Grace Period.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both"/>
        <w:ind w:firstLine="656"/>
        <w:spacing w:after="0" w:line="252" w:lineRule="auto"/>
        <w:tabs>
          <w:tab w:leader="none" w:pos="9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a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and the applicable section of the Existing Resale Registration Statement for this purpose), such Prospectus or in any amendment or supplement thereto. In no event shall the liability of a selling Holder be greater in amount than the dollar amount of the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amount of any damages such Holder has otherwise been required to pay by reason of such untrue statement or omission) received by such Holder upon the sale of the Registrable Securities included in a Registration Statement giving rise to such indemnification obligation.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56"/>
        <w:spacing w:after="0" w:line="253" w:lineRule="auto"/>
        <w:tabs>
          <w:tab w:leader="none" w:pos="9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under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5(b)</w:t>
      </w:r>
      <w:r>
        <w:rPr>
          <w:rFonts w:ascii="Times New Roman" w:cs="Times New Roman" w:eastAsia="Times New Roman" w:hAnsi="Times New Roman"/>
          <w:sz w:val="18"/>
          <w:szCs w:val="18"/>
          <w:color w:val="auto"/>
        </w:rPr>
        <w:t xml:space="preserve">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180" w:hanging="172"/>
        <w:spacing w:after="0"/>
        <w:tabs>
          <w:tab w:leader="none" w:pos="1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xml:space="preserve">. The Company shall not file any other registration statements until all Registrable Securities are registered pursuant to the Registration Statement that is declared effective by the Commission, provided that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prohibit the Company from filing amendments to registration statements filed prior to the date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at any time during the Effectiveness Period, there is not an effective Registration Statement covering all of the Registrable Securities and the Company shall determine to prepare and file with the Commission a registration tatement relating to an offering for its own account or the account of others under the Securities Act of any of its equity securities, except on Form F-4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register any Registrable Securities pursuant to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that are eligible for resale pursuant to Rule 144 (without volume restrictions or current public information requirements) promulgated by the Commission pursuant to the Securities Act or that are the subject of a then effective Registration Statement that is available for resales or other dispositions by such Holder.</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sentence may not be amended, modified, or supplemented except in accordance with the provisions of the first sentence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No consideration shall be offered or paid to any Person to amend or consent to a waiver or modification of any provision of this Agreement unless the same consideration also is offered to all of the parties to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firstLine="656"/>
        <w:spacing w:after="0" w:line="282" w:lineRule="auto"/>
        <w:tabs>
          <w:tab w:leader="none" w:pos="9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Loan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of the Loan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applicable provisions of the Loan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656"/>
        <w:spacing w:after="0" w:line="256"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8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6"/>
        </w:trPr>
        <w:tc>
          <w:tcPr>
            <w:tcW w:w="3060" w:type="dxa"/>
            <w:vAlign w:val="bottom"/>
          </w:tcPr>
          <w:p>
            <w:pPr>
              <w:spacing w:after="0"/>
              <w:rPr>
                <w:sz w:val="20"/>
                <w:szCs w:val="20"/>
                <w:color w:val="auto"/>
              </w:rPr>
            </w:pPr>
          </w:p>
        </w:tc>
        <w:tc>
          <w:tcPr>
            <w:tcW w:w="8180" w:type="dxa"/>
            <w:vAlign w:val="bottom"/>
            <w:gridSpan w:val="2"/>
          </w:tcPr>
          <w:p>
            <w:pPr>
              <w:jc w:val="center"/>
              <w:ind w:right="2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of Holders to CID Holdco, Inc..</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818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J.J. Astor &amp; Co.</w:t>
            </w:r>
          </w:p>
        </w:tc>
        <w:tc>
          <w:tcPr>
            <w:tcW w:w="0" w:type="dxa"/>
            <w:vAlign w:val="bottom"/>
          </w:tcPr>
          <w:p>
            <w:pPr>
              <w:spacing w:after="0"/>
              <w:rPr>
                <w:sz w:val="1"/>
                <w:szCs w:val="1"/>
                <w:color w:val="auto"/>
              </w:rPr>
            </w:pPr>
          </w:p>
        </w:tc>
      </w:tr>
      <w:tr>
        <w:trPr>
          <w:trHeight w:val="439"/>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of Authorized Signatory:</w:t>
            </w:r>
          </w:p>
        </w:tc>
        <w:tc>
          <w:tcPr>
            <w:tcW w:w="818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By:  /s/ Michael R. Pope</w:t>
            </w:r>
          </w:p>
        </w:tc>
        <w:tc>
          <w:tcPr>
            <w:tcW w:w="0" w:type="dxa"/>
            <w:vAlign w:val="bottom"/>
          </w:tcPr>
          <w:p>
            <w:pPr>
              <w:spacing w:after="0"/>
              <w:rPr>
                <w:sz w:val="1"/>
                <w:szCs w:val="1"/>
                <w:color w:val="auto"/>
              </w:rPr>
            </w:pPr>
          </w:p>
        </w:tc>
      </w:tr>
      <w:tr>
        <w:trPr>
          <w:trHeight w:val="198"/>
        </w:trPr>
        <w:tc>
          <w:tcPr>
            <w:tcW w:w="3060" w:type="dxa"/>
            <w:vAlign w:val="bottom"/>
            <w:vMerge w:val="continue"/>
          </w:tcPr>
          <w:p>
            <w:pPr>
              <w:spacing w:after="0"/>
              <w:rPr>
                <w:sz w:val="17"/>
                <w:szCs w:val="17"/>
                <w:color w:val="auto"/>
              </w:rPr>
            </w:pPr>
          </w:p>
        </w:tc>
        <w:tc>
          <w:tcPr>
            <w:tcW w:w="414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R. Pope</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4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55"/>
        </w:trPr>
        <w:tc>
          <w:tcPr>
            <w:tcW w:w="30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20</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ectPr>
          <w:pgSz w:w="11900" w:h="16838" w:orient="portrait"/>
          <w:cols w:equalWidth="0" w:num="1">
            <w:col w:w="9019"/>
          </w:cols>
          <w:pgMar w:left="1440" w:top="33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 *]</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B</w:t>
      </w:r>
    </w:p>
    <w:p>
      <w:pPr>
        <w:sectPr>
          <w:pgSz w:w="11900" w:h="16838" w:orient="portrait"/>
          <w:cols w:equalWidth="0" w:num="1">
            <w:col w:w="9019"/>
          </w:cols>
          <w:pgMar w:left="1440" w:top="333"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 *]</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ectPr>
          <w:pgSz w:w="11900" w:h="16838" w:orient="portrait"/>
          <w:cols w:equalWidth="0" w:num="1">
            <w:col w:w="9019"/>
          </w:cols>
          <w:pgMar w:left="1440" w:top="33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 *]</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04"/>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1)"/>
      <w:numFmt w:val="lowerLetter"/>
      <w:start w:val="3"/>
    </w:lvl>
  </w:abstractNum>
  <w:abstractNum w:abstractNumId="4">
    <w:nsid w:val="3855585C"/>
    <w:multiLevelType w:val="hybridMultilevel"/>
    <w:lvl w:ilvl="0">
      <w:lvlJc w:val="left"/>
      <w:lvlText w:val="(%1)"/>
      <w:numFmt w:val="upperLetter"/>
      <w:start w:val="1"/>
    </w:lvl>
  </w:abstractNum>
  <w:abstractNum w:abstractNumId="5">
    <w:nsid w:val="70A64E2A"/>
    <w:multiLevelType w:val="hybridMultilevel"/>
    <w:lvl w:ilvl="0">
      <w:lvlJc w:val="left"/>
      <w:lvlText w:val="(%1)"/>
      <w:numFmt w:val="upperLetter"/>
      <w:start w:val="24"/>
    </w:lvl>
  </w:abstractNum>
  <w:abstractNum w:abstractNumId="6">
    <w:nsid w:val="6A2342EC"/>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7">
    <w:nsid w:val="2A487CB0"/>
    <w:multiLevelType w:val="hybridMultilevel"/>
    <w:lvl w:ilvl="0">
      <w:lvlJc w:val="left"/>
      <w:lvlText w:val="%1."/>
      <w:numFmt w:val="lowerRoman"/>
      <w:start w:val="3"/>
    </w:lvl>
  </w:abstractNum>
  <w:abstractNum w:abstractNumId="8">
    <w:nsid w:val="1D4ED43B"/>
    <w:multiLevelType w:val="hybridMultilevel"/>
    <w:lvl w:ilvl="0">
      <w:lvlJc w:val="left"/>
      <w:lvlText w:val="%1)"/>
      <w:numFmt w:val="lowerLetter"/>
      <w:start w:val="5"/>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Letter"/>
      <w:start w:val="4"/>
    </w:lvl>
  </w:abstractNum>
  <w:abstractNum w:abstractNumId="11">
    <w:nsid w:val="57E4CCAF"/>
    <w:multiLevelType w:val="hybridMultilevel"/>
    <w:lvl w:ilvl="0">
      <w:lvlJc w:val="left"/>
      <w:lvlText w:val="%1)"/>
      <w:numFmt w:val="lowerLetter"/>
      <w:start w:val="5"/>
    </w:lvl>
    <w:lvl w:ilvl="1">
      <w:lvlJc w:val="left"/>
      <w:lvlText w:val="%2."/>
      <w:numFmt w:val="lowerRoman"/>
      <w:start w:val="1"/>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5"/>
    </w:lvl>
  </w:abstractNum>
  <w:abstractNum w:abstractNumId="15">
    <w:nsid w:val="6DE91B18"/>
    <w:multiLevelType w:val="hybridMultilevel"/>
    <w:lvl w:ilvl="0">
      <w:lvlJc w:val="left"/>
      <w:lvlText w:val="%1)"/>
      <w:numFmt w:val="lowerLetter"/>
      <w:start w:val="11"/>
    </w:lvl>
  </w:abstractNum>
  <w:abstractNum w:abstractNumId="16">
    <w:nsid w:val="38437FDB"/>
    <w:multiLevelType w:val="hybridMultilevel"/>
    <w:lvl w:ilvl="0">
      <w:lvlJc w:val="left"/>
      <w:lvlText w:val="(%1)"/>
      <w:numFmt w:val="decimal"/>
      <w:start w:val="1"/>
    </w:lvl>
    <w:lvl w:ilvl="1">
      <w:lvlJc w:val="left"/>
      <w:lvlText w:val="☐"/>
      <w:numFmt w:val="bullet"/>
      <w:start w:val="1"/>
    </w:lvl>
  </w:abstractNum>
  <w:abstractNum w:abstractNumId="17">
    <w:nsid w:val="7644A45C"/>
    <w:multiLevelType w:val="hybridMultilevel"/>
    <w:lvl w:ilvl="0">
      <w:lvlJc w:val="left"/>
      <w:lvlText w:val="(%1)"/>
      <w:numFmt w:val="decimal"/>
      <w:start w:val="4"/>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lowerLetter"/>
      <w:start w:val="2"/>
    </w:lvl>
  </w:abstractNum>
  <w:abstractNum w:abstractNumId="21">
    <w:nsid w:val="749ABB43"/>
    <w:multiLevelType w:val="hybridMultilevel"/>
    <w:lvl w:ilvl="0">
      <w:lvlJc w:val="left"/>
      <w:lvlText w:val="(%1)"/>
      <w:numFmt w:val="lowerLetter"/>
      <w:start w:val="1"/>
    </w:lvl>
    <w:lvl w:ilvl="1">
      <w:lvlJc w:val="left"/>
      <w:lvlText w:val="(%2)"/>
      <w:numFmt w:val="lowerRoman"/>
      <w:start w:val="1"/>
    </w:lvl>
  </w:abstractNum>
  <w:abstractNum w:abstractNumId="22">
    <w:nsid w:val="3DC240FB"/>
    <w:multiLevelType w:val="hybridMultilevel"/>
    <w:lvl w:ilvl="0">
      <w:lvlJc w:val="left"/>
      <w:lvlText w:val="(%1)"/>
      <w:numFmt w:val="lowerRoman"/>
      <w:start w:val="4"/>
    </w:lvl>
  </w:abstractNum>
  <w:abstractNum w:abstractNumId="23">
    <w:nsid w:val="1BA026FA"/>
    <w:multiLevelType w:val="hybridMultilevel"/>
    <w:lvl w:ilvl="0">
      <w:lvlJc w:val="left"/>
      <w:lvlText w:val="(%1)"/>
      <w:numFmt w:val="lowerLetter"/>
      <w:start w:val="1"/>
    </w:lvl>
    <w:lvl w:ilvl="1">
      <w:lvlJc w:val="left"/>
      <w:lvlText w:val="(%2)"/>
      <w:numFmt w:val="lowerRoman"/>
      <w:start w:val="1"/>
    </w:lvl>
  </w:abstractNum>
  <w:abstractNum w:abstractNumId="24">
    <w:nsid w:val="79A1DEAA"/>
    <w:multiLevelType w:val="hybridMultilevel"/>
    <w:lvl w:ilvl="0">
      <w:lvlJc w:val="left"/>
      <w:lvlText w:val="%1"/>
      <w:numFmt w:val="lowerLetter"/>
      <w:start w:val="1"/>
    </w:lvl>
    <w:lvl w:ilvl="1">
      <w:lvlJc w:val="left"/>
      <w:lvlText w:val="(%2)"/>
      <w:numFmt w:val="lowerRoman"/>
      <w:start w:val="2"/>
    </w:lvl>
  </w:abstractNum>
  <w:abstractNum w:abstractNumId="25">
    <w:nsid w:val="75C6C33A"/>
    <w:multiLevelType w:val="hybridMultilevel"/>
    <w:lvl w:ilvl="0">
      <w:lvlJc w:val="left"/>
      <w:lvlText w:val="(%1)"/>
      <w:numFmt w:val="lowerLetter"/>
      <w:start w:val="3"/>
    </w:lvl>
    <w:lvl w:ilvl="1">
      <w:lvlJc w:val="left"/>
      <w:lvlText w:val="%2"/>
      <w:numFmt w:val="lowerRoman"/>
      <w:start w:val="1"/>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1"/>
    </w:lvl>
    <w:lvl w:ilvl="1">
      <w:lvlJc w:val="left"/>
      <w:lvlText w:val="(%2)"/>
      <w:numFmt w:val="lowerRoman"/>
      <w:start w:val="1"/>
    </w:lvl>
  </w:abstractNum>
  <w:abstractNum w:abstractNumId="28">
    <w:nsid w:val="520EEDD1"/>
    <w:multiLevelType w:val="hybridMultilevel"/>
    <w:lvl w:ilvl="0">
      <w:lvlJc w:val="left"/>
      <w:lvlText w:val="(%1)"/>
      <w:numFmt w:val="lowerRoman"/>
      <w:start w:val="2"/>
    </w:lvl>
  </w:abstractNum>
  <w:abstractNum w:abstractNumId="29">
    <w:nsid w:val="374A3FE6"/>
    <w:multiLevelType w:val="hybridMultilevel"/>
    <w:lvl w:ilvl="0">
      <w:lvlJc w:val="left"/>
      <w:lvlText w:val="%1"/>
      <w:numFmt w:val="lowerRoman"/>
      <w:start w:val="1"/>
    </w:lvl>
    <w:lvl w:ilvl="1">
      <w:lvlJc w:val="left"/>
      <w:lvlText w:val="(%2)"/>
      <w:numFmt w:val="lowerLetter"/>
      <w:start w:val="1"/>
    </w:lvl>
  </w:abstractNum>
  <w:abstractNum w:abstractNumId="30">
    <w:nsid w:val="4F4EF005"/>
    <w:multiLevelType w:val="hybridMultilevel"/>
    <w:lvl w:ilvl="0">
      <w:lvlJc w:val="left"/>
      <w:lvlText w:val="(%1)"/>
      <w:numFmt w:val="lowerRoman"/>
      <w:start w:val="7"/>
    </w:lvl>
    <w:lvl w:ilvl="1">
      <w:lvlJc w:val="left"/>
      <w:lvlText w:val="(%2)"/>
      <w:numFmt w:val="lowerLetter"/>
      <w:start w:val="2"/>
    </w:lvl>
  </w:abstractNum>
  <w:abstractNum w:abstractNumId="31">
    <w:nsid w:val="23F9C13C"/>
    <w:multiLevelType w:val="hybridMultilevel"/>
    <w:lvl w:ilvl="0">
      <w:lvlJc w:val="left"/>
      <w:lvlText w:val="(%1)"/>
      <w:numFmt w:val="lowerLetter"/>
      <w:start w:val="3"/>
    </w:lvl>
  </w:abstractNum>
  <w:abstractNum w:abstractNumId="32">
    <w:nsid w:val="649BB77C"/>
    <w:multiLevelType w:val="hybridMultilevel"/>
    <w:lvl w:ilvl="0">
      <w:lvlJc w:val="left"/>
      <w:lvlText w:val="(%1)"/>
      <w:numFmt w:val="lowerLetter"/>
      <w:start w:val="7"/>
    </w:lvl>
  </w:abstractNum>
  <w:abstractNum w:abstractNumId="33">
    <w:nsid w:val="275AC794"/>
    <w:multiLevelType w:val="hybridMultilevel"/>
    <w:lvl w:ilvl="0">
      <w:lvlJc w:val="left"/>
      <w:lvlText w:val="%1"/>
      <w:numFmt w:val="lowerLetter"/>
      <w:start w:val="1"/>
    </w:lvl>
    <w:lvl w:ilvl="1">
      <w:lvlJc w:val="left"/>
      <w:lvlText w:val="(%2)"/>
      <w:numFmt w:val="lowerLetter"/>
      <w:start w:val="12"/>
    </w:lvl>
  </w:abstractNum>
  <w:abstractNum w:abstractNumId="34">
    <w:nsid w:val="39386575"/>
    <w:multiLevelType w:val="hybridMultilevel"/>
    <w:lvl w:ilvl="0">
      <w:lvlJc w:val="left"/>
      <w:lvlText w:val="(%1)"/>
      <w:numFmt w:val="lowerLetter"/>
      <w:start w:val="35"/>
    </w:lvl>
    <w:lvl w:ilvl="1">
      <w:lvlJc w:val="left"/>
      <w:lvlText w:val="(%2)"/>
      <w:numFmt w:val="lowerLetter"/>
      <w:start w:val="15"/>
    </w:lvl>
  </w:abstractNum>
  <w:abstractNum w:abstractNumId="35">
    <w:nsid w:val="1CF10FD8"/>
    <w:multiLevelType w:val="hybridMultilevel"/>
    <w:lvl w:ilvl="0">
      <w:lvlJc w:val="left"/>
      <w:lvlText w:val="(%1)"/>
      <w:numFmt w:val="lowerLetter"/>
      <w:start w:val="18"/>
    </w:lvl>
  </w:abstractNum>
  <w:abstractNum w:abstractNumId="36">
    <w:nsid w:val="180115BE"/>
    <w:multiLevelType w:val="hybridMultilevel"/>
    <w:lvl w:ilvl="0">
      <w:lvlJc w:val="left"/>
      <w:lvlText w:val="(%1)"/>
      <w:numFmt w:val="lowerLetter"/>
      <w:start w:val="26"/>
    </w:lvl>
  </w:abstractNum>
  <w:abstractNum w:abstractNumId="37">
    <w:nsid w:val="235BA861"/>
    <w:multiLevelType w:val="hybridMultilevel"/>
    <w:lvl w:ilvl="0">
      <w:lvlJc w:val="left"/>
      <w:lvlText w:val="(%1)"/>
      <w:numFmt w:val="lowerLetter"/>
      <w:start w:val="27"/>
    </w:lvl>
  </w:abstractNum>
  <w:abstractNum w:abstractNumId="38">
    <w:nsid w:val="47398C89"/>
    <w:multiLevelType w:val="hybridMultilevel"/>
    <w:lvl w:ilvl="0">
      <w:lvlJc w:val="left"/>
      <w:lvlText w:val="(%1)"/>
      <w:numFmt w:val="lowerLetter"/>
      <w:start w:val="34"/>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5"/>
    </w:lvl>
  </w:abstractNum>
  <w:abstractNum w:abstractNumId="41">
    <w:nsid w:val="741226BB"/>
    <w:multiLevelType w:val="hybridMultilevel"/>
    <w:lvl w:ilvl="0">
      <w:lvlJc w:val="left"/>
      <w:lvlText w:val="(%1)"/>
      <w:numFmt w:val="lowerLetter"/>
      <w:start w:val="12"/>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Roman"/>
      <w:start w:val="2"/>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lvl w:ilvl="1">
      <w:lvlJc w:val="left"/>
      <w:lvlText w:val="(%2)"/>
      <w:numFmt w:val="lowerLetter"/>
      <w:start w:val="9"/>
    </w:lvl>
  </w:abstractNum>
  <w:abstractNum w:abstractNumId="49">
    <w:nsid w:val="310C50B3"/>
    <w:multiLevelType w:val="hybridMultilevel"/>
    <w:lvl w:ilvl="0">
      <w:lvlJc w:val="left"/>
      <w:lvlText w:val="(%1)"/>
      <w:numFmt w:val="lowerRoman"/>
      <w:start w:val="2"/>
    </w:lvl>
  </w:abstractNum>
  <w:abstractNum w:abstractNumId="50">
    <w:nsid w:val="5FF87E05"/>
    <w:multiLevelType w:val="hybridMultilevel"/>
    <w:lvl w:ilvl="0">
      <w:lvlJc w:val="left"/>
      <w:lvlText w:val="%1"/>
      <w:numFmt w:val="lowerLetter"/>
      <w:start w:val="1"/>
    </w:lvl>
    <w:lvl w:ilvl="1">
      <w:lvlJc w:val="left"/>
      <w:lvlText w:val="(%2)"/>
      <w:numFmt w:val="lowerLetter"/>
      <w:start w:val="24"/>
    </w:lvl>
  </w:abstractNum>
  <w:abstractNum w:abstractNumId="51">
    <w:nsid w:val="2F305DEF"/>
    <w:multiLevelType w:val="hybridMultilevel"/>
    <w:lvl w:ilvl="0">
      <w:lvlJc w:val="left"/>
      <w:lvlText w:val="(%1)"/>
      <w:numFmt w:val="lowerLetter"/>
      <w:start w:val="2"/>
    </w:lvl>
    <w:lvl w:ilvl="1">
      <w:lvlJc w:val="left"/>
      <w:lvlText w:val="%2"/>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3"/>
    </w:lvl>
  </w:abstractNum>
  <w:abstractNum w:abstractNumId="54">
    <w:nsid w:val="4AD084E9"/>
    <w:multiLevelType w:val="hybridMultilevel"/>
    <w:lvl w:ilvl="0">
      <w:lvlJc w:val="left"/>
      <w:lvlText w:val="(%1)"/>
      <w:numFmt w:val="lowerLetter"/>
      <w:start w:val="6"/>
    </w:lvl>
  </w:abstractNum>
  <w:abstractNum w:abstractNumId="55">
    <w:nsid w:val="1F48EAA1"/>
    <w:multiLevelType w:val="hybridMultilevel"/>
    <w:lvl w:ilvl="0">
      <w:lvlJc w:val="left"/>
      <w:lvlText w:val="(%1)"/>
      <w:numFmt w:val="lowerRoman"/>
      <w:start w:val="2"/>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2"/>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1."/>
      <w:numFmt w:val="decimal"/>
      <w:start w:val="2"/>
    </w:lvl>
    <w:lvl w:ilvl="1">
      <w:lvlJc w:val="left"/>
      <w:lvlText w:val="(%2)"/>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Roman"/>
      <w:start w:val="1"/>
    </w:lvl>
    <w:lvl w:ilvl="1">
      <w:lvlJc w:val="left"/>
      <w:lvlText w:val="(%2)"/>
      <w:numFmt w:val="lowerLetter"/>
      <w:start w:val="3"/>
    </w:lvl>
  </w:abstractNum>
  <w:abstractNum w:abstractNumId="63">
    <w:nsid w:val="799D0247"/>
    <w:multiLevelType w:val="hybridMultilevel"/>
    <w:lvl w:ilvl="0">
      <w:lvlJc w:val="left"/>
      <w:lvlText w:val="(%1)"/>
      <w:numFmt w:val="lowerRoman"/>
      <w:start w:val="4"/>
    </w:lvl>
    <w:lvl w:ilvl="1">
      <w:lvlJc w:val="left"/>
      <w:lvlText w:val="%2"/>
      <w:numFmt w:val="lowerLetter"/>
      <w:start w:val="1"/>
    </w:lvl>
  </w:abstractNum>
  <w:abstractNum w:abstractNumId="64">
    <w:nsid w:val="6B94764"/>
    <w:multiLevelType w:val="hybridMultilevel"/>
    <w:lvl w:ilvl="0">
      <w:lvlJc w:val="left"/>
      <w:lvlText w:val="%1"/>
      <w:numFmt w:val="decimal"/>
      <w:start w:val="1"/>
    </w:lvl>
    <w:lvl w:ilvl="1">
      <w:lvlJc w:val="left"/>
      <w:lvlText w:val="(%2)"/>
      <w:numFmt w:val="lowerLetter"/>
      <w:start w:val="4"/>
    </w:lvl>
  </w:abstractNum>
  <w:abstractNum w:abstractNumId="65">
    <w:nsid w:val="42C296BD"/>
    <w:multiLevelType w:val="hybridMultilevel"/>
    <w:lvl w:ilvl="0">
      <w:lvlJc w:val="left"/>
      <w:lvlText w:val="%1."/>
      <w:numFmt w:val="decimal"/>
      <w:start w:val="3"/>
    </w:lvl>
    <w:lvl w:ilvl="1">
      <w:lvlJc w:val="left"/>
      <w:lvlText w:val="%2"/>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2"/>
    </w:lvl>
  </w:abstractNum>
  <w:abstractNum w:abstractNumId="68">
    <w:nsid w:val="661E3F1E"/>
    <w:multiLevelType w:val="hybridMultilevel"/>
    <w:lvl w:ilvl="0">
      <w:lvlJc w:val="left"/>
      <w:lvlText w:val="(%1)"/>
      <w:numFmt w:val="lowerLetter"/>
      <w:start w:val="5"/>
    </w:lvl>
  </w:abstractNum>
  <w:abstractNum w:abstractNumId="69">
    <w:nsid w:val="5DC79EA8"/>
    <w:multiLevelType w:val="hybridMultilevel"/>
    <w:lvl w:ilvl="0">
      <w:lvlJc w:val="left"/>
      <w:lvlText w:val="(%1)"/>
      <w:numFmt w:val="lowerLetter"/>
      <w:start w:val="10"/>
    </w:lvl>
  </w:abstractNum>
  <w:abstractNum w:abstractNumId="70">
    <w:nsid w:val="540A471C"/>
    <w:multiLevelType w:val="hybridMultilevel"/>
    <w:lvl w:ilvl="0">
      <w:lvlJc w:val="left"/>
      <w:lvlText w:val="%1"/>
      <w:numFmt w:val="decimal"/>
      <w:start w:val="1"/>
    </w:lvl>
    <w:lvl w:ilvl="1">
      <w:lvlJc w:val="left"/>
      <w:lvlText w:val="(%2)"/>
      <w:numFmt w:val="lowerLetter"/>
      <w:start w:val="14"/>
    </w:lvl>
  </w:abstractNum>
  <w:abstractNum w:abstractNumId="71">
    <w:nsid w:val="7BD3EE7B"/>
    <w:multiLevelType w:val="hybridMultilevel"/>
    <w:lvl w:ilvl="0">
      <w:lvlJc w:val="left"/>
      <w:lvlText w:val="%1."/>
      <w:numFmt w:val="decimal"/>
      <w:start w:val="4"/>
    </w:lvl>
    <w:lvl w:ilvl="1">
      <w:lvlJc w:val="left"/>
      <w:lvlText w:val="%2"/>
      <w:numFmt w:val="lowerLetter"/>
      <w:start w:val="1"/>
    </w:lvl>
  </w:abstractNum>
  <w:abstractNum w:abstractNumId="72">
    <w:nsid w:val="51D9C564"/>
    <w:multiLevelType w:val="hybridMultilevel"/>
    <w:lvl w:ilvl="0">
      <w:lvlJc w:val="left"/>
      <w:lvlText w:val="%1."/>
      <w:numFmt w:val="decimal"/>
      <w:start w:val="5"/>
    </w:lvl>
    <w:lvl w:ilvl="1">
      <w:lvlJc w:val="left"/>
      <w:lvlText w:val="(%2)"/>
      <w:numFmt w:val="lowerLetter"/>
      <w:start w:val="1"/>
    </w:lvl>
  </w:abstractNum>
  <w:abstractNum w:abstractNumId="73">
    <w:nsid w:val="613EFDC5"/>
    <w:multiLevelType w:val="hybridMultilevel"/>
    <w:lvl w:ilvl="0">
      <w:lvlJc w:val="left"/>
      <w:lvlText w:val="(%1)"/>
      <w:numFmt w:val="lowerLetter"/>
      <w:start w:val="2"/>
    </w:lvl>
  </w:abstractNum>
  <w:abstractNum w:abstractNumId="74">
    <w:nsid w:val="BF72B14"/>
    <w:multiLevelType w:val="hybridMultilevel"/>
    <w:lvl w:ilvl="0">
      <w:lvlJc w:val="left"/>
      <w:lvlText w:val="(%1)"/>
      <w:numFmt w:val="lowerLetter"/>
      <w:start w:val="4"/>
    </w:lvl>
  </w:abstractNum>
  <w:abstractNum w:abstractNumId="75">
    <w:nsid w:val="11447B73"/>
    <w:multiLevelType w:val="hybridMultilevel"/>
    <w:lvl w:ilvl="0">
      <w:lvlJc w:val="left"/>
      <w:lvlText w:val="%1."/>
      <w:numFmt w:val="decimal"/>
      <w:start w:val="6"/>
    </w:lvl>
    <w:lvl w:ilvl="1">
      <w:lvlJc w:val="left"/>
      <w:lvlText w:val="(%2)"/>
      <w:numFmt w:val="lowerLetter"/>
      <w:start w:val="1"/>
    </w:lvl>
  </w:abstractNum>
  <w:abstractNum w:abstractNumId="76">
    <w:nsid w:val="42963E5A"/>
    <w:multiLevelType w:val="hybridMultilevel"/>
    <w:lvl w:ilvl="0">
      <w:lvlJc w:val="left"/>
      <w:lvlText w:val="(%1)"/>
      <w:numFmt w:val="lowerLetter"/>
      <w:start w:val="5"/>
    </w:lvl>
  </w:abstractNum>
  <w:abstractNum w:abstractNumId="77">
    <w:nsid w:val="A0382C5"/>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2025-12-11T15:40:09Z</dcterms:created>
  <dcterms:modified xsi:type="dcterms:W3CDTF">2025-12-11T15:40:09Z</dcterms:modified>
</cp:coreProperties>
</file>