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23,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001-42711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(303)-332-4122</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of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9"/>
              </w:rPr>
              <w:t>DAIC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660" w:type="dxa"/>
            <w:vAlign w:val="bottom"/>
            <w:gridSpan w:val="3"/>
          </w:tcPr>
          <w:p>
            <w:pPr>
              <w:jc w:val="center"/>
              <w:ind w:right="104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w:t>
            </w:r>
          </w:p>
        </w:tc>
        <w:tc>
          <w:tcPr>
            <w:tcW w:w="2980" w:type="dxa"/>
            <w:vAlign w:val="bottom"/>
            <w:gridSpan w:val="2"/>
          </w:tcPr>
          <w:p>
            <w:pPr>
              <w:jc w:val="center"/>
              <w:ind w:right="1020"/>
              <w:spacing w:after="0" w:line="198" w:lineRule="exact"/>
              <w:rPr>
                <w:sz w:val="20"/>
                <w:szCs w:val="20"/>
                <w:color w:val="auto"/>
              </w:rPr>
            </w:pPr>
            <w:r>
              <w:rPr>
                <w:rFonts w:ascii="Times New Roman" w:cs="Times New Roman" w:eastAsia="Times New Roman" w:hAnsi="Times New Roman"/>
                <w:sz w:val="18"/>
                <w:szCs w:val="18"/>
                <w:color w:val="auto"/>
                <w:w w:val="98"/>
              </w:rPr>
              <w:t>DAICW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Common Stock at an exercise price of $287.50</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per share*</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left="340" w:right="16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giving effect to the reverse stock split as of 4:01 p.m. Eastern Time on May 29, 2026 as described in the 8-K filed by CID HoldCo, Inc. with the Securities and Exchange Commission on May 28, 2026.</w:t>
      </w:r>
    </w:p>
    <w:p>
      <w:pPr>
        <w:spacing w:after="0" w:line="16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June 26, 2026, CID HoldCo, Inc. (the “Company”) and SEE ID, Inc., a Nevada corporation and wholly-owned subsidiary of the Company (“SEE ID”), and DOT Works, Inc., a Puerto Rico corporation and wholly-owned subsidiary of the Company (“DOT Works”), entered into a Note Purchase Agreement, dated as of June 23, 2026 (the “Note Purchase Agreement”), with Phillips Equities &amp; Trust, LLC, a Delaware limited liability company (the “Lender”), and a Senior Secured Convertible Promissory Note in the original principal amount of $500,000.00 (the “Note”). In connection with the Note Purchase Agreement and Note, the Company also entered into a Registration Rights Agreement with the Lender (the “Registration Rights Agreement” and together with the Note Purchase Agreement, the Note and the Registration Rights Agreement, the “Transaction Documents”).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Purchase Agreement and Senior Secured Convertible Promissory Note</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SEE ID and DOT Works entered into the Note Purchase Agreement with the Lender, pursuant to which the Lender agreed to purchase the Note from the Company. Proceeds under the Note were funded to the Company in full concurrently with the execution of the Note Purchase Agreement. SEE ID is a guarantor of the Company’s obligations under the Note Purchase Agreement and Note; however, DOT Works is neither a borrower nor guarantor of the obligations under the Note Purchase Agreement and Note and joined in the Note Purchase Agreement solely in respect of certain representations, warranties and covenants to the Lender under the Note Purchase Agreement and Note. The Note was consideration for exclusivity with the Company under the previously disclosed non-binding letter of intent to sell a portion of its designated operating assets used in the SEE ID and DOT Works businesses to the Lender (or an affiliate of the Lender).</w:t>
      </w:r>
    </w:p>
    <w:p>
      <w:pPr>
        <w:spacing w:after="0" w:line="18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Interest and Maturity</w:t>
      </w:r>
      <w:r>
        <w:rPr>
          <w:rFonts w:ascii="Times New Roman" w:cs="Times New Roman" w:eastAsia="Times New Roman" w:hAnsi="Times New Roman"/>
          <w:sz w:val="18"/>
          <w:szCs w:val="18"/>
          <w:color w:val="auto"/>
        </w:rPr>
        <w:t>. The Note bears interest at 6% per annum on the principal amount with the Note maturing twelve months after the funding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not prepay the Note before maturity, without the prior written consent of the Lender.</w:t>
      </w:r>
    </w:p>
    <w:p>
      <w:pPr>
        <w:spacing w:after="0" w:line="158"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Note will be convertible at the option of the Lender into shares of Common Stock at a variable conversion price equal to 80%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lowest daily VWAP of the Common Stock during the 5 consecutive trading days before the conversion notice.</w:t>
      </w:r>
    </w:p>
    <w:p>
      <w:pPr>
        <w:spacing w:after="0" w:line="158"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Beneficial Ownership Limitation</w:t>
      </w:r>
      <w:r>
        <w:rPr>
          <w:rFonts w:ascii="Times New Roman" w:cs="Times New Roman" w:eastAsia="Times New Roman" w:hAnsi="Times New Roman"/>
          <w:sz w:val="18"/>
          <w:szCs w:val="18"/>
          <w:color w:val="auto"/>
        </w:rPr>
        <w:t>. The Note is subject to a beneficial ownership limitation of 4.99%, subject to increase to 9.99% upon 61 days’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notice by the Lender to the Company.</w:t>
      </w:r>
    </w:p>
    <w:p>
      <w:pPr>
        <w:spacing w:after="0" w:line="15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Security Interest</w:t>
      </w:r>
      <w:r>
        <w:rPr>
          <w:rFonts w:ascii="Times New Roman" w:cs="Times New Roman" w:eastAsia="Times New Roman" w:hAnsi="Times New Roman"/>
          <w:sz w:val="18"/>
          <w:szCs w:val="18"/>
          <w:color w:val="auto"/>
        </w:rPr>
        <w:t>. The Note is a senior secured obligation of the Company, with priority over all existing and future indebtedness of the Company.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under the Note are secured by all of the assets, personal property of every kind, intellectual property, claims, products and proceeds of the Company. The Note is currently structured as a second priority lien, subordinated to the Company’s obligations to J.J. Astor &amp; Co. (“J.J. Astor”) pursuant to a loan agreement dated December 4, 2025, until those obligations are discharged in full. So long as any obligation under the Note remains outstanding, the Company may not incur or guarantee any indebtedness that is senior to or pari passu with its obligations under the Note, other than the J.J. Astor obligations. In connection with the Note Purchase Agreement, the Company also entered into a security agreement granting the Lender a second priority lien, subordinated to the Company’s obligations to J.J. Astor, in all assets of the Company, and an intellectual property security agreement granting the Lender a second priority lien, subordinated to the Company’s obligations to J.J. Astor, in all its intellectual property assets.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J.J. Astor informed the Company that the Lender (or an affiliate of the Lender) had purchased the remaining obligations of the Company from J.J. Astor, who assigned the Company’s obligations to the Lender and, as of the date hereof, is the sole holder of such obligations of the Company.</w:t>
      </w:r>
    </w:p>
    <w:p>
      <w:pPr>
        <w:spacing w:after="0" w:line="16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may only use the proceeds of the Note for working capital, transaction expenses, directors’ and officers’ insurance or 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or other purposes approved by the Lender.</w:t>
      </w:r>
    </w:p>
    <w:p>
      <w:pPr>
        <w:spacing w:after="0" w:line="15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Restrictions on Senior and Pari Passu Debt</w:t>
      </w:r>
      <w:r>
        <w:rPr>
          <w:rFonts w:ascii="Times New Roman" w:cs="Times New Roman" w:eastAsia="Times New Roman" w:hAnsi="Times New Roman"/>
          <w:sz w:val="18"/>
          <w:szCs w:val="18"/>
          <w:color w:val="auto"/>
        </w:rPr>
        <w:t>. For so long as the Note remains outstanding, the Company may not enter into any new senior or pari passu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or incur any liens, except in respect of the J.J. Astor obligations (as assigned to the Lender) and other permitted liens.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Events of Default under the Note include, among others: (i) failure to pay principal or interest when due after applicable notice and five</w:t>
      </w:r>
    </w:p>
    <w:p>
      <w:pPr>
        <w:spacing w:after="0" w:line="29" w:lineRule="exact"/>
        <w:rPr>
          <w:sz w:val="20"/>
          <w:szCs w:val="20"/>
          <w:color w:val="auto"/>
        </w:rPr>
      </w:pPr>
    </w:p>
    <w:p>
      <w:pPr>
        <w:ind w:right="80" w:firstLine="8"/>
        <w:spacing w:after="0" w:line="251"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cure period; (ii) failure to deliver conversion shares when required and not prohibited by the ownership limit or the rules of Nasdaq; (iii) breach of any covenant or representation and warranty in the Note Purchase Agreement or any other Transaction Document after notice and, if curable, expiration of a 30-day cure period; (iv) bankruptcy, insolvency, or liquidation; (v) delisting of the Common Stock from Nasdaq; (vi) failure to timely comply with Exchange Act reporting requirements; (vii) unauthorized transfers or liens on the assets of the Company or its subsidiaries or incurrence of restricted indebtedness by the Company or its subsidiaries; (viii) breach of the Company’s exclusivity obligations to the Lender, and (ix) cross-default with all other agreements between the Company and the Lender. Upon and during an Event of Default, the outstanding principal, accrued interest, and all other amounts owed will bear interest at a default rate of 12% per annum. In addition, the Lender may accelerate all outstanding principal, accrued interest, and all other amounts owed to become immediately due and payable</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Stockholder Approval; Exchange Cap</w:t>
      </w:r>
      <w:r>
        <w:rPr>
          <w:rFonts w:ascii="Times New Roman" w:cs="Times New Roman" w:eastAsia="Times New Roman" w:hAnsi="Times New Roman"/>
          <w:sz w:val="18"/>
          <w:szCs w:val="18"/>
          <w:color w:val="auto"/>
        </w:rPr>
        <w:t>. Unless any required stockholder approvals have been obtained, the Company may not issue, and the Lender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right to receive, shares of common stock, par value $0.0001, of the Company (the “Common Stock”) upon conversion of the Note above 19.99% of the Common Stock or voting power outstanding immediately before issuance of the Note net of any shares of Common Stock required to be aggregated under the applicable rules of The Nasdaq Stock Market LLC, subject to adjustment for stock splits and similar adjustments. Failure to receive any required stockholder approvals shall not constitute an Event of Default nor result in any adjustment to the interest rate or principal amount of the Note, will not result in a reduction of the conversion price and shall not create any penalty, liquidated damages, redemption premium, make-whole or other economic consequences to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Note Purchase Agreement and Note, the Company entered into the Registration Rights Agreement with the Lender, pursuant to which the Company has agreed to file a registration statement on Form S-1 (the “Registration Statement”) with the SEC within 45 calendar days after the funding date of the Note, covering the resale by the Lender of the shares of Common Stock issuable upon conversion of the Note.</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Note Purchase Agreement, Note and Registration Rights Agreement does not purport to be complete and is qualified in its entirety by reference to the full text of the Note Purchase Agreement, Note and Registration Rights Agreement, which will be filed by the Company on its next Quarterly Report on Form 10-Q for the quarter ended June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June 26, 2026, the Company and White Lion Capital, LLC (“White Lion”) entered into an Acknowledgment of Full Conversion, Termination of Notes, Release of Liens, and Authorization to File Termination Statements (the “Acknowledgment”), pursuant to which the parties confirmed the termination of the Senior Secured Convertible Promissory Notes (the “White Lion Notes”) issued by the Company to White Lion under that certain Note Purchase Agreement, dated as of April 17, 2026, by and between the Company and White Lion (the “White Lion Note Purchase Agreement”).</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Pursuant to the Acknowledgment, White Lion confirmed that the White Lion Notes have been fully converted into shares of common stock of the Company or otherwise fully satisfied, and that no principal, accrued interest, fees, penalties, liquidated damages, or other amounts remain due or payable by the Company to White Lion under or with respect to the White Lion Notes. The White Lion Notes are deemed fully paid, cancelled, terminated, and satisfied in full.</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connection with the termination of the White Lion Notes, White Lion irrevocably released all liens, pledges, security interests, collateral assignments, encumbrances, and similar rights in or against any assets or property of the Company arising under the White Lion Notes, the White Lion Note Purchase Agreement, or any related financing statement. White Lion also confirmed the termination of all covenants, restrictions, consent rights, veto rights, participation rights, lender protections, and noteholder rights arising solely by reason of the White Lion Notes being outstanding, including any rights to require repayment, redemption, prepayment, acceleration, or default conversion of the White Lion Notes, and any variable-rate transaction consent rights, transfer-agent instruction rights, or financing restrictions related thereto.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contained in Item 1.01 of this Current Report is incorporated by reference in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herein by 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Item 1.01 above, on June 26, 2026, the Company issued the Note to the Lender with an original principal amount of $500,000.00.</w:t>
      </w:r>
    </w:p>
    <w:p>
      <w:pPr>
        <w:spacing w:after="0" w:line="207"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The Note issued in connection with the Note Purchase Agreement was not registered under the Securities Act and was issued in reliance upon the exemption from registration provided by Section 4(a)(2) of the Securities Act of 1933, as amended or Regulation D promulgated thereunder as a transaction by an issuer not involving any public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July 2, 2026, the Company issued a press release relating to the Company’s entry into the Note Purchase Agreement and Note, the Acknowledgment confirming the termination of the White Lion Notes and notification as to the Company’s compliance with Nasdaq’s minimum bid price requirements. A copy of the press release is furnished herewith as Exhibit 99.1.</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press release attached as Exhibit 99.1 hereto, is being furnished, but shall not be deemed to be “filed” for purposes of Section 18 of the Securities Exchange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made by the Company, whether made before or after the date hereof, regardless of any general incorporation language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February 5, 2026, the Company, received deficiency notices from the Nasdaq Listing Qualifications staff (the “Staff”) of The Nasdaq Stock Market LLC (“Nasdaq”) that it was not in compliance with the requirement to maintain a minimum bid price of $1.00 per share, as set forth in Nasdaq Listing Rule 5550(a)(2) (the “Bid Price Requirement”), because the closing bid price of the Company’s common stock (the “Common Stock”) was below $1.00 per share for 30 consecutive business days. In accordance with Nasdaq Listing Rule 5810(c)(3)(A), the Company was given a period of 180 calendar days from the date of the Notice, or until August 4, 2026, to regain compliance with the Bid Price Requirement.</w:t>
      </w:r>
    </w:p>
    <w:p>
      <w:pPr>
        <w:spacing w:after="0" w:line="183"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On June 23, 2026, the Company received formal written notice from Nasdaq indicating that the Company had regained compliance with the Bid Price Requirement for continued listing on the Nasdaq Capital Market, because the closing bid price of the Common Stock had been $1.00 per share or greater for the last 12 consecutive business days from June 8, 2026 to June 22, 2026. Accordingly, Nasdaq has determined that the matter is now closed.</w:t>
      </w:r>
    </w:p>
    <w:p>
      <w:pPr>
        <w:spacing w:after="0" w:line="1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continues to evaluate available options to resolve the deficiencies and regain compliance with the previously disclosed deficiencies in Nasdaq’s continued listing requirements to maintain a minimum market value of listed securities (or “MVLS”) of $50,000,000 and maintain a minimum market value of publicly held shares (or “MVPHS”) of $15.0 million within the applicable compliance dates.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Forward-looking statements include all statements that are not historical facts, including statements regarding the proposed sale of a portion of the Company’s operating business, the anticipated use of proceeds, the Company’s evaluation of options to come into compliance with Nasdaq’s MVLS and MVPHS requirements, and the negotiation of definitive documents. All forward-looking statements are based on the Company’s current expectations and beliefs concerning future developments and their potential effects on the Company. Forward-looking statements are subject to risks and uncertainties, including, without limitation, the risk that definitive agreements for the proposed sale of a portion of the Company’s operating business may not be executed, that required stockholder, lender, Nasdaq, or regulatory approvals may not be obtained, and that the proposed transaction may not be completed on the terms described or at all, which could cause actual results to differ materially from those expressed in the forward-looking statements. Readers are cautioned not to put undue reliance on forward-looking statements. 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Report on Form 10-K and Quarterly Report on Form 10-Q (and other periodic reports filed with the SEC) of the Company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Assurances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letter of intent relating to a sale of a portion of the designated operating assets used in the SEE ID and DOT Works businesses is non-binding, other than certain provisions relating to exclusivity, and expenses, and does not constitute a binding commitment to complete the proposed transaction. Completion of the proposed transaction is subject in all respects to the negotiation and execution of definitive agreements, satisfactory completion of due diligence, board approval, receipt of any required stockholder, lender, Nasdaq, and regulatory consents or approvals, market conditions, and the satisfaction of customary closing conditions, including maintenance of the Company’s listing on The Nasdaq Stock Market LLC. There can be no assurance that definitive agreements will be executed, that the proposed transaction will be completed on the terms described in the letter of intent or at all, or as to the timing of any such transaction. The Company does not intend to disclose further developments unless and until it determines that additional disclosure is appropriate or required.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nor shall there be any sale of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July 2, 2026</w:t>
      </w:r>
    </w:p>
    <w:p>
      <w:pPr>
        <w:spacing w:after="0" w:line="27" w:lineRule="exact"/>
        <w:rPr>
          <w:sz w:val="20"/>
          <w:szCs w:val="20"/>
          <w:color w:val="auto"/>
        </w:rPr>
      </w:pPr>
    </w:p>
    <w:p>
      <w:pPr>
        <w:ind w:left="5580" w:right="4320" w:hanging="5572"/>
        <w:spacing w:after="0" w:line="761" w:lineRule="auto"/>
        <w:tabs>
          <w:tab w:leader="none" w:pos="1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CID HoldCo, Inc.</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July 2, 2026</w:t>
      </w:r>
      <w:r>
        <w:rPr>
          <w:sz w:val="20"/>
          <w:szCs w:val="20"/>
          <w:color w:val="auto"/>
        </w:rPr>
        <w:tab/>
      </w:r>
      <w:r>
        <w:rPr>
          <w:rFonts w:ascii="Times New Roman" w:cs="Times New Roman" w:eastAsia="Times New Roman" w:hAnsi="Times New Roman"/>
          <w:sz w:val="18"/>
          <w:szCs w:val="18"/>
          <w:color w:val="auto"/>
        </w:rPr>
        <w:t>By:</w:t>
        <w:tab/>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Dot Ai Fortifies Balance Sheet Through Series of Capital Structure Actions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Retires White Lion Notes in Full, new investor advances $500,000 in Additional Secured Convertible Financing</w:t>
      </w:r>
    </w:p>
    <w:p>
      <w:pPr>
        <w:spacing w:after="0" w:line="223"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LAS VEGAS, NV / July 2, 2026 / </w:t>
      </w:r>
      <w:r>
        <w:rPr>
          <w:rFonts w:ascii="Times New Roman" w:cs="Times New Roman" w:eastAsia="Times New Roman" w:hAnsi="Times New Roman"/>
          <w:sz w:val="18"/>
          <w:szCs w:val="18"/>
          <w:color w:val="auto"/>
        </w:rPr>
        <w:t>Dot Ai, Inc. (Nasdaq: DAIC) (“Dot Ai” or the “Company”), an IoT and AI-based SaaS company redefining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intelligence for industrial technology, today announced a series of actions to fortify its balance sheet and simplify its capital structure, including the retirement in full of its outstanding secured convertible promissory notes held by White Lion Capital, LLC, in the aggregate principal amount of approximately $867,000. The retirement releases the security interests that secured the notes, eliminates the associated debt obligation and further simplifies the Company’s capital structure.</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addition, as previously contemplated in the previously announced non-binding LOI, a potential new investor has agreed to provide $500,000 of new capital to the Company through an additional secured convertible note. This new capital provides Dot Ai with incremental resources to support its operating initiatives and general corporate purposes.</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“Retiring the White Lion notes in full is a meaningful step forward in strengthening our balance sheet and simplifying Dot Ai’s capital structure,” said Ed Nabrotzky, Co-Founder and Chief Executive Officer of Dot Ai. “By eliminating this secured obligation and releasing the security interests that backed it, we are removing both complexity and risk from our financial structure while creating greater flexibility to execute on our strategic plan. We are equally encouraged that the new investor contemplated in the previously announced LOI has provided additional capital as a first step towards a significant potential transaction for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Dot Ai</w:t>
      </w:r>
    </w:p>
    <w:p>
      <w:pPr>
        <w:spacing w:after="0" w:line="229"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Dot Ai (Nasdaq: DAIC) is an IoT and AI-based SaaS company at the forefront of Asset Intelligence technology for smart supply chain operations. Leveraging state-of-the-art AI engines, cutting-edge 5G RF and BLE technology, sensor-agnostic architecture and seamless cloud integrations, Dot Ai offers continuous asset visibility and predictive analytics that integrate with existing/legacyinfrastructure. The Company serves multiple industries including aviation, construction, delivery, military, mining, retail, sea ports, medical logistics, warehousing and manufacturing. For more information, please visit daic.ai.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include all statements that are not historical facts, including statements regarding the Company’s capital structure, balance sheet, and strategic plans and include statements regarding the proposed sale of a portion of the Company’s operating business. All forward-looking statements are based on Dot Ai’s current expectations and beliefs concerning future developments and their potential effects on the Company. Forward-looking statements are subject to risks and uncertainties that could cause actual results to differ materially from those expressed in the forward-looking statements. Readers are cautioned not to put undue reliance on forward-looking statements, and Dot Ai assumes no obligation to update or revise these forward-looking statements, whether as a result of new information, future events, or otherwise,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Assurances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letter of intent (LOI) relating to a sale of a portion of the Company’s operating is non-binding, other than certain provisions relating to exclusivity, and expenses, and does not constitute a binding commitment to complete the proposed transaction. Completion of the proposed transaction is subject in all respects to the negotiation and execution of definitive agreements, satisfactory completion of due diligence, board approval, receipt of any required stockholder, lender, Nasdaq, and regulatory consents or approvals, market conditions, and the satisfaction of customary closing conditions, including maintenance of the Company’s listing on The Nasdaq Stock Market LLC. There can be no assurance that definitive agreements will be executed, that the proposed transaction will be completed on the terms described in the letter of intent or at all, or as to the timing of any such transaction. The Company does not intend to disclose further developments unless and until it determines that additional disclosure is appropriate or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nor shall there be any sale of securities in any state or jurisdiction in which such offer, solicitation or sale would be unlawful prior to registration or qualification under the securities laws of any such state or jurisdiction.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Lucas A. Zimmerman &amp; Ian Scargill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MZ Group - MZ North America</w:t>
      </w:r>
    </w:p>
    <w:p>
      <w:pPr>
        <w:spacing w:after="0" w:line="9" w:lineRule="exact"/>
        <w:rPr>
          <w:sz w:val="20"/>
          <w:szCs w:val="20"/>
          <w:color w:val="auto"/>
        </w:rPr>
      </w:pPr>
    </w:p>
    <w:p>
      <w:pPr>
        <w:ind w:right="9780" w:firstLine="8"/>
        <w:spacing w:after="0" w:line="255"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357-2918 DAIC@mzgroup.us www.mzgroup.us</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04"/>
    </w:lvl>
  </w:abstractNum>
  <w:abstractNum w:abstractNumId="4">
    <w:nsid w:val="46E87CCD"/>
    <w:multiLevelType w:val="hybridMultilevel"/>
    <w:lvl w:ilvl="0">
      <w:lvlJc w:val="left"/>
      <w:lvlText w:val="(%1)"/>
      <w:numFmt w:val="decimal"/>
      <w:start w:val="26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2026-07-02T07:41:58Z</dcterms:created>
  <dcterms:modified xsi:type="dcterms:W3CDTF">2026-07-02T07:41:58Z</dcterms:modified>
</cp:coreProperties>
</file>